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0"/>
        </w:rPr>
        <w:t>GymAccess</w:t>
      </w:r>
    </w:p>
    <w:p>
      <w:pPr>
        <w:jc w:val="center"/>
      </w:pPr>
      <w:r>
        <w:rPr>
          <w:b/>
          <w:sz w:val="28"/>
        </w:rPr>
        <w:t>Acuerdo de Confidencialidad</w:t>
      </w:r>
    </w:p>
    <w:p>
      <w:pPr>
        <w:jc w:val="center"/>
      </w:pPr>
      <w:r>
        <w:rPr>
          <w:i/>
          <w:color w:val="555555"/>
          <w:sz w:val="20"/>
        </w:rPr>
        <w:t>(NDA — Non-Disclosure Agreement)</w:t>
      </w:r>
    </w:p>
    <w:p/>
    <w:p>
      <w:r>
        <w:rPr>
          <w:b w:val="0"/>
          <w:i w:val="0"/>
        </w:rPr>
        <w:t>El presente Acuerdo de Confidencialidad se celebra entre Round3Boxing, representado por Diego Sandoval (en adelante "el Cliente"), y Adrian Valencia, operando bajo la marca GymAccess (en adelante "el Proveedor"), en conjunto referidos como "las Partes", con el objeto de proteger la información confidencial que se compartan mutuamente con motivo de la prestación del servicio de gestión y control de acceso para gimnasios.</w:t>
      </w:r>
    </w:p>
    <w:p>
      <w:pPr>
        <w:pStyle w:val="Heading1"/>
      </w:pPr>
      <w:r>
        <w:rPr>
          <w:color w:val="1F3B57"/>
        </w:rPr>
        <w:t>1. Definición de información confidencial</w:t>
      </w:r>
    </w:p>
    <w:p>
      <w:r>
        <w:rPr>
          <w:b w:val="0"/>
          <w:i w:val="0"/>
        </w:rPr>
        <w:t>Se considera información confidencial, de forma enunciativa mas no limitativa:</w:t>
      </w:r>
    </w:p>
    <w:p>
      <w:pPr>
        <w:pStyle w:val="ListBullet"/>
      </w:pPr>
      <w:r>
        <w:t>Del Cliente: base de datos de socios, información financiera y de cobranza, procesos internos de operación del gimnasio, listas de precios y promociones internas.</w:t>
      </w:r>
    </w:p>
    <w:p>
      <w:pPr>
        <w:pStyle w:val="ListBullet"/>
      </w:pPr>
      <w:r>
        <w:t>Del Proveedor: código fuente, arquitectura del sistema, metodologías de desarrollo, estructura de precios y condiciones comerciales no publicadas.</w:t>
      </w:r>
    </w:p>
    <w:p>
      <w:pPr>
        <w:pStyle w:val="Heading1"/>
      </w:pPr>
      <w:r>
        <w:rPr>
          <w:color w:val="1F3B57"/>
        </w:rPr>
        <w:t>2. Obligaciones de las partes</w:t>
      </w:r>
    </w:p>
    <w:p>
      <w:pPr>
        <w:pStyle w:val="ListBullet"/>
      </w:pPr>
      <w:r>
        <w:t>Utilizar la información confidencial únicamente para los fines relacionados con la prestación del servicio.</w:t>
      </w:r>
    </w:p>
    <w:p>
      <w:pPr>
        <w:pStyle w:val="ListBullet"/>
      </w:pPr>
      <w:r>
        <w:t>No divulgar, publicar, ni compartir la información confidencial con terceros sin autorización previa y por escrito de la otra parte.</w:t>
      </w:r>
    </w:p>
    <w:p>
      <w:pPr>
        <w:pStyle w:val="ListBullet"/>
      </w:pPr>
      <w:r>
        <w:t>Aplicar medidas razonables de seguridad para resguardar la información confidencial a la que tengan acceso.</w:t>
      </w:r>
    </w:p>
    <w:p>
      <w:pPr>
        <w:pStyle w:val="ListBullet"/>
      </w:pPr>
      <w:r>
        <w:t>Limitar el acceso a la información confidencial únicamente al personal que la requiera para cumplir con el objeto del servicio.</w:t>
      </w:r>
    </w:p>
    <w:p>
      <w:pPr>
        <w:pStyle w:val="Heading1"/>
      </w:pPr>
      <w:r>
        <w:rPr>
          <w:color w:val="1F3B57"/>
        </w:rPr>
        <w:t>3. Excepciones</w:t>
      </w:r>
    </w:p>
    <w:p>
      <w:r>
        <w:rPr>
          <w:b w:val="0"/>
          <w:i w:val="0"/>
        </w:rPr>
        <w:t>No se considera incumplimiento cuando la información:</w:t>
      </w:r>
    </w:p>
    <w:p>
      <w:pPr>
        <w:pStyle w:val="ListBullet"/>
      </w:pPr>
      <w:r>
        <w:t>Sea de dominio público sin culpa de la parte receptora.</w:t>
      </w:r>
    </w:p>
    <w:p>
      <w:pPr>
        <w:pStyle w:val="ListBullet"/>
      </w:pPr>
      <w:r>
        <w:t>Deba divulgarse por requerimiento de autoridad competente, notificando previamente a la otra parte cuando sea legalmente posible.</w:t>
      </w:r>
    </w:p>
    <w:p>
      <w:pPr>
        <w:pStyle w:val="ListBullet"/>
      </w:pPr>
      <w:r>
        <w:t>Ya fuera conocida por la parte receptora antes de la firma del presente acuerdo.</w:t>
      </w:r>
    </w:p>
    <w:p>
      <w:pPr>
        <w:pStyle w:val="Heading1"/>
      </w:pPr>
      <w:r>
        <w:rPr>
          <w:color w:val="1F3B57"/>
        </w:rPr>
        <w:t>4. Vigencia</w:t>
      </w:r>
    </w:p>
    <w:p>
      <w:r>
        <w:rPr>
          <w:b w:val="0"/>
          <w:i w:val="0"/>
        </w:rPr>
        <w:t>Este acuerdo entra en vigor a partir de la fecha de firma y permanece vigente durante toda la relación comercial entre las Partes, y se extiende por un periodo de 2 (dos) años posteriores a la terminación del Contrato de Prestación de Servicios, respecto de la información confidencial compartida durante la vigencia de dicha relación.</w:t>
      </w:r>
    </w:p>
    <w:p>
      <w:pPr>
        <w:pStyle w:val="Heading1"/>
      </w:pPr>
      <w:r>
        <w:rPr>
          <w:color w:val="1F3B57"/>
        </w:rPr>
        <w:t>5. Propiedad de la información</w:t>
      </w:r>
    </w:p>
    <w:p>
      <w:r>
        <w:rPr>
          <w:b w:val="0"/>
          <w:i w:val="0"/>
        </w:rPr>
        <w:t>Ninguna disposición de este acuerdo se interpreta como transferencia de derechos de propiedad intelectual o de datos. Cada parte conserva la titularidad de su propia información confidencial.</w:t>
      </w:r>
    </w:p>
    <w:p>
      <w:pPr>
        <w:pStyle w:val="Heading1"/>
      </w:pPr>
      <w:r>
        <w:rPr>
          <w:color w:val="1F3B57"/>
        </w:rPr>
        <w:t>6. Jurisdicción</w:t>
      </w:r>
    </w:p>
    <w:p>
      <w:r>
        <w:rPr>
          <w:b w:val="0"/>
          <w:i w:val="0"/>
        </w:rPr>
        <w:t>Para la interpretación y cumplimiento del presente acuerdo, las Partes se someten a las leyes aplicables en Jalisco, México, renunciando a cualquier otro fuero que pudiera corresponderles por razón de su domicilio presente o futuro.</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rPr>
              <w:t>Cliente</w:t>
            </w:r>
          </w:p>
        </w:tc>
        <w:tc>
          <w:tcPr>
            <w:tcW w:type="dxa" w:w="4873"/>
          </w:tcPr>
          <w:p>
            <w:r>
              <w:t>Round3Boxing — Diego Sandoval</w:t>
            </w:r>
          </w:p>
        </w:tc>
      </w:tr>
      <w:tr>
        <w:tc>
          <w:tcPr>
            <w:tcW w:type="dxa" w:w="4873"/>
          </w:tcPr>
          <w:p>
            <w:r>
              <w:rPr>
                <w:b/>
              </w:rPr>
              <w:t>Proveedor</w:t>
            </w:r>
          </w:p>
        </w:tc>
        <w:tc>
          <w:tcPr>
            <w:tcW w:type="dxa" w:w="4873"/>
          </w:tcPr>
          <w:p>
            <w:r>
              <w:t>GymAccess — Adrian Valencia</w:t>
            </w:r>
          </w:p>
        </w:tc>
      </w:tr>
      <w:tr>
        <w:tc>
          <w:tcPr>
            <w:tcW w:type="dxa" w:w="4873"/>
          </w:tcPr>
          <w:p>
            <w:r>
              <w:rPr>
                <w:b/>
              </w:rPr>
              <w:t>Contacto proveedor</w:t>
            </w:r>
          </w:p>
        </w:tc>
        <w:tc>
          <w:tcPr>
            <w:tcW w:type="dxa" w:w="4873"/>
          </w:tcPr>
          <w:p>
            <w:r>
              <w:t>3322332046 · angel10000sv@gmail.com</w:t>
            </w:r>
          </w:p>
        </w:tc>
      </w:tr>
      <w:tr>
        <w:tc>
          <w:tcPr>
            <w:tcW w:type="dxa" w:w="4873"/>
          </w:tcPr>
          <w:p>
            <w:r>
              <w:rPr>
                <w:b/>
              </w:rPr>
              <w:t>Fecha</w:t>
            </w:r>
          </w:p>
        </w:tc>
        <w:tc>
          <w:tcPr>
            <w:tcW w:type="dxa" w:w="4873"/>
          </w:tcPr>
          <w:p>
            <w:r>
              <w:t>25/07/2026</w:t>
            </w:r>
          </w:p>
        </w:tc>
      </w:tr>
    </w:tbl>
    <w:p>
      <w:pPr>
        <w:pStyle w:val="Heading1"/>
      </w:pPr>
      <w:r>
        <w:rPr>
          <w:color w:val="1F3B57"/>
        </w:rPr>
        <w:t>Conformidad</w:t>
      </w:r>
    </w:p>
    <w:p>
      <w:r>
        <w:rPr>
          <w:b w:val="0"/>
          <w:i w:val="0"/>
        </w:rPr>
        <w:t>Ambas partes firman de conformidad con los términos aquí descritos.</w:t>
      </w:r>
    </w:p>
    <w:p/>
    <w:p/>
    <w:tbl>
      <w:tblPr>
        <w:tblW w:type="auto" w:w="0"/>
        <w:tblLayout w:type="autofit"/>
        <w:tblLook w:firstColumn="1" w:firstRow="1" w:lastColumn="0" w:lastRow="0" w:noHBand="0" w:noVBand="1" w:val="04A0"/>
      </w:tblPr>
      <w:tblGrid>
        <w:gridCol w:w="4873"/>
        <w:gridCol w:w="4873"/>
      </w:tblGrid>
      <w:tr>
        <w:tc>
          <w:tcPr>
            <w:tcW w:type="dxa" w:w="4873"/>
          </w:tcPr>
          <w:p>
            <w:pPr>
              <w:jc w:val="center"/>
            </w:pPr>
            <w:r>
              <w:t>_____________________________</w:t>
            </w:r>
          </w:p>
        </w:tc>
        <w:tc>
          <w:tcPr>
            <w:tcW w:type="dxa" w:w="4873"/>
          </w:tcPr>
          <w:p>
            <w:pPr>
              <w:jc w:val="center"/>
            </w:pPr>
            <w:r>
              <w:t>_____________________________</w:t>
            </w:r>
          </w:p>
        </w:tc>
      </w:tr>
      <w:tr>
        <w:tc>
          <w:tcPr>
            <w:tcW w:type="dxa" w:w="4873"/>
          </w:tcPr>
          <w:p>
            <w:pPr>
              <w:jc w:val="center"/>
            </w:pPr>
            <w:r>
              <w:t>Por el Cliente — Diego Sandoval</w:t>
            </w:r>
          </w:p>
        </w:tc>
        <w:tc>
          <w:tcPr>
            <w:tcW w:type="dxa" w:w="4873"/>
          </w:tcPr>
          <w:p>
            <w:pPr>
              <w:jc w:val="center"/>
            </w:pPr>
            <w:r>
              <w:t>Por el Proveedor — Adrian Valencia</w:t>
            </w:r>
          </w:p>
        </w:tc>
      </w:tr>
    </w:tbl>
    <w:p/>
    <w:p>
      <w:pPr>
        <w:jc w:val="center"/>
      </w:pPr>
      <w:r>
        <w:rPr>
          <w:b w:val="0"/>
          <w:i/>
        </w:rPr>
        <w:t>GymAccess · Adrian Valencia · 3322332046 · angel10000sv@gmail.com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