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40"/>
        </w:rPr>
        <w:t>GymAccess</w:t>
      </w:r>
    </w:p>
    <w:p>
      <w:pPr>
        <w:jc w:val="center"/>
      </w:pPr>
      <w:r>
        <w:rPr>
          <w:b/>
          <w:sz w:val="28"/>
        </w:rPr>
        <w:t>Contrato de Prestación de Servicios</w:t>
      </w:r>
    </w:p>
    <w:p>
      <w:pPr>
        <w:jc w:val="center"/>
      </w:pPr>
      <w:r>
        <w:rPr>
          <w:i/>
          <w:color w:val="555555"/>
          <w:sz w:val="20"/>
        </w:rPr>
        <w:t>Sistema de gestión y control de acceso para gimnasios</w:t>
      </w:r>
    </w:p>
    <w:p/>
    <w:p>
      <w:r>
        <w:rPr>
          <w:b w:val="0"/>
          <w:i w:val="0"/>
        </w:rPr>
        <w:t>Contrato que celebran, por una parte Round3Boxing, representado por Diego Sandoval (en adelante "el Cliente"), y por otra parte Adrian Valencia, operando bajo la marca GymAccess (en adelante "el Proveedor"), al tenor de las siguientes cláusulas.</w:t>
      </w:r>
    </w:p>
    <w:p>
      <w:pPr>
        <w:pStyle w:val="Heading1"/>
      </w:pPr>
      <w:r>
        <w:rPr>
          <w:color w:val="1F3B57"/>
        </w:rPr>
        <w:t>1. Objeto del contrato</w:t>
      </w:r>
    </w:p>
    <w:p>
      <w:r>
        <w:rPr>
          <w:b w:val="0"/>
          <w:i w:val="0"/>
        </w:rPr>
        <w:t>El Proveedor se compromete a instalar, configurar, dar mantenimiento y soporte al sistema GymAccess en las instalaciones del Cliente, conforme al plan de suscripción, equipo y condiciones económicas establecidas en la Cotización firmada entre las partes, misma que forma parte integral de este contrato como Anexo A.</w:t>
      </w:r>
    </w:p>
    <w:p>
      <w:pPr>
        <w:pStyle w:val="Heading1"/>
      </w:pPr>
      <w:r>
        <w:rPr>
          <w:color w:val="1F3B57"/>
        </w:rPr>
        <w:t>2. Vigencia</w:t>
      </w:r>
    </w:p>
    <w:p>
      <w:r>
        <w:rPr>
          <w:b w:val="0"/>
          <w:i w:val="0"/>
        </w:rPr>
        <w:t>El presente contrato tiene vigencia indefinida a partir de la fecha de firma, sujeto a renovación mensual automática conforme al ciclo de facturación del plan contratado, salvo terminación conforme a la cláusula 6.</w:t>
      </w:r>
    </w:p>
    <w:p>
      <w:pPr>
        <w:pStyle w:val="Heading1"/>
      </w:pPr>
      <w:r>
        <w:rPr>
          <w:color w:val="1F3B57"/>
        </w:rPr>
        <w:t>3. Propiedad intelectual</w:t>
      </w:r>
    </w:p>
    <w:p>
      <w:r>
        <w:rPr>
          <w:b w:val="0"/>
          <w:i w:val="0"/>
        </w:rPr>
        <w:t>El código fuente, arquitectura, y demás elementos de propiedad intelectual del sistema GymAccess son y permanecen propiedad exclusiva del Proveedor. El Cliente adquiere únicamente una licencia de uso del sistema durante la vigencia de este contrato, no transferible, para los fines de operación de su gimnasio.</w:t>
      </w:r>
    </w:p>
    <w:p>
      <w:r>
        <w:rPr>
          <w:b w:val="0"/>
          <w:i w:val="0"/>
        </w:rPr>
        <w:t>El equipo físico (mini PC, monitor, lector QR, periféricos) es propiedad del Cliente una vez cubierto su pago conforme al Anexo A.</w:t>
      </w:r>
    </w:p>
    <w:p>
      <w:pPr>
        <w:pStyle w:val="Heading1"/>
      </w:pPr>
      <w:r>
        <w:rPr>
          <w:color w:val="1F3B57"/>
        </w:rPr>
        <w:t>4. Propiedad y tratamiento de datos</w:t>
      </w:r>
    </w:p>
    <w:p>
      <w:r>
        <w:rPr>
          <w:b w:val="0"/>
          <w:i w:val="0"/>
        </w:rPr>
        <w:t>Los datos personales de socios y empleados capturados en el sistema (incluyendo datos biométricos como huella dactilar) son y permanecen propiedad del Cliente, quien funge como Responsable del tratamiento de dichos datos conforme al Aviso de Privacidad vigente.</w:t>
      </w:r>
    </w:p>
    <w:p>
      <w:r>
        <w:rPr>
          <w:b w:val="0"/>
          <w:i w:val="0"/>
        </w:rPr>
        <w:t>El Proveedor funge como Encargado del tratamiento y se obliga a:</w:t>
      </w:r>
    </w:p>
    <w:p>
      <w:pPr>
        <w:pStyle w:val="ListBullet"/>
      </w:pPr>
      <w:r>
        <w:t>Tratar los datos personales únicamente conforme a las instrucciones del Cliente y para los fines del servicio contratado.</w:t>
      </w:r>
    </w:p>
    <w:p>
      <w:pPr>
        <w:pStyle w:val="ListBullet"/>
      </w:pPr>
      <w:r>
        <w:t>No utilizar los datos del Cliente para fines distintos a la prestación del servicio, ni compartirlos con terceros no autorizados.</w:t>
      </w:r>
    </w:p>
    <w:p>
      <w:pPr>
        <w:pStyle w:val="ListBullet"/>
      </w:pPr>
      <w:r>
        <w:t>Implementar medidas de seguridad técnicas y administrativas razonables (respaldos, control de acceso al servidor, cifrado cuando aplique).</w:t>
      </w:r>
    </w:p>
    <w:p>
      <w:pPr>
        <w:pStyle w:val="ListBullet"/>
      </w:pPr>
      <w:r>
        <w:t>Notificar al Cliente en un plazo no mayor a 72 horas ante cualquier incidente de seguridad que comprometa los datos personales.</w:t>
      </w:r>
    </w:p>
    <w:p>
      <w:pPr>
        <w:pStyle w:val="ListBullet"/>
      </w:pPr>
      <w:r>
        <w:t>A la terminación del contrato, entregar al Cliente una copia completa de su base de datos y eliminar dicha información de los sistemas del Proveedor en un plazo de 30 días naturales, salvo obligación legal de conservación.</w:t>
      </w:r>
    </w:p>
    <w:p>
      <w:pPr>
        <w:pStyle w:val="Heading1"/>
      </w:pPr>
      <w:r>
        <w:rPr>
          <w:color w:val="1F3B57"/>
        </w:rPr>
        <w:t>5. Nivel de servicio y soporte (SLA)</w:t>
      </w:r>
    </w:p>
    <w:p>
      <w:r>
        <w:rPr>
          <w:b w:val="0"/>
          <w:i w:val="0"/>
        </w:rPr>
        <w:t>El Proveedor ofrece soporte técnico conforme al plan contratado, con los siguientes tiempos de respuesta:</w:t>
      </w:r>
    </w:p>
    <w:p>
      <w:pPr>
        <w:pStyle w:val="ListBullet"/>
      </w:pPr>
      <w:r>
        <w:t>Incidencias críticas (sistema caído, sin control de acceso): respuesta en un máximo de 4 horas hábiles.</w:t>
      </w:r>
    </w:p>
    <w:p>
      <w:pPr>
        <w:pStyle w:val="ListBullet"/>
      </w:pPr>
      <w:r>
        <w:t>Incidencias de prioridad alta (falla parcial, error en cobros/reportes): respuesta en un máximo de 24 horas hábiles.</w:t>
      </w:r>
    </w:p>
    <w:p>
      <w:pPr>
        <w:pStyle w:val="ListBullet"/>
      </w:pPr>
      <w:r>
        <w:t>Incidencias de prioridad media/baja (dudas, ajustes menores): respuesta en un máximo de 48 horas hábiles.</w:t>
      </w:r>
    </w:p>
    <w:p>
      <w:pPr>
        <w:pStyle w:val="ListBullet"/>
      </w:pPr>
      <w:r>
        <w:t>Canal de soporte: WhatsApp/correo indicados en este contrato, en horario de 9:00 a 20:00 hrs, de lunes a sábado.</w:t>
      </w:r>
    </w:p>
    <w:p>
      <w:r>
        <w:rPr>
          <w:b w:val="0"/>
          <w:i w:val="0"/>
        </w:rPr>
        <w:t>"Respuesta" implica confirmación de recepción del reporte y diagnóstico inicial, no necesariamente la resolución total del problema en dicho plazo, misma que dependerá de la complejidad de la falla.</w:t>
      </w:r>
    </w:p>
    <w:p>
      <w:pPr>
        <w:pStyle w:val="Heading1"/>
      </w:pPr>
      <w:r>
        <w:rPr>
          <w:color w:val="1F3B57"/>
        </w:rPr>
        <w:t>6. Terminación y cancelación</w:t>
      </w:r>
    </w:p>
    <w:p>
      <w:r>
        <w:rPr>
          <w:b w:val="0"/>
          <w:i w:val="0"/>
        </w:rPr>
        <w:t>Cualquiera de las partes puede dar por terminado este contrato bajo las siguientes condiciones:</w:t>
      </w:r>
    </w:p>
    <w:p>
      <w:pPr>
        <w:pStyle w:val="ListBullet"/>
      </w:pPr>
      <w:r>
        <w:t>Aviso previo: la parte que desee terminar el contrato debe notificar a la otra con al menos 30 días naturales de anticipación.</w:t>
      </w:r>
    </w:p>
    <w:p>
      <w:pPr>
        <w:pStyle w:val="ListBullet"/>
      </w:pPr>
      <w:r>
        <w:t>El Cliente puede cancelar el servicio de suscripción mensual en cualquier momento posterior al mes de prueba, sin penalización, notificando conforme al plazo anterior.</w:t>
      </w:r>
    </w:p>
    <w:p>
      <w:pPr>
        <w:pStyle w:val="ListBullet"/>
      </w:pPr>
      <w:r>
        <w:t>El equipo adquirido por el Cliente (pagado conforme al Anexo A) es de su propiedad y no es reembolsable una vez comprado e instalado, dado que constituye una inversión única e independiente de la suscripción mensual.</w:t>
      </w:r>
    </w:p>
    <w:p>
      <w:pPr>
        <w:pStyle w:val="ListBullet"/>
      </w:pPr>
      <w:r>
        <w:t>En caso de cancelación durante el proceso de instalación (posterior al pago del anticipo y previo a la entrega del equipo), el Proveedor reembolsará el anticipo únicamente descontando los costos ya erogados en la adquisición del equipo (comprobables mediante factura o comprobante de compra).</w:t>
      </w:r>
    </w:p>
    <w:p>
      <w:pPr>
        <w:pStyle w:val="ListBullet"/>
      </w:pPr>
      <w:r>
        <w:t>El Proveedor puede suspender o terminar el servicio por falta de pago de la suscripción mensual, previa notificación al Cliente con 5 días naturales para regularizar el pago antes de la suspensión.</w:t>
      </w:r>
    </w:p>
    <w:p>
      <w:pPr>
        <w:pStyle w:val="ListBullet"/>
      </w:pPr>
      <w:r>
        <w:t>A la terminación del contrato por cualquier causa, aplica lo establecido en la cláusula 4 respecto a la entrega y eliminación de datos.</w:t>
      </w:r>
    </w:p>
    <w:p>
      <w:pPr>
        <w:pStyle w:val="Heading1"/>
      </w:pPr>
      <w:r>
        <w:rPr>
          <w:color w:val="1F3B57"/>
        </w:rPr>
        <w:t>7. Responsabilidad</w:t>
      </w:r>
    </w:p>
    <w:p>
      <w:r>
        <w:rPr>
          <w:b w:val="0"/>
          <w:i w:val="0"/>
        </w:rPr>
        <w:t>El Proveedor no será responsable por fallas derivadas de causas ajenas a su control, incluyendo fallas de conectividad a internet, suministro eléctrico, o mal uso del equipo por parte del personal del Cliente. El Proveedor es responsable de la operación, mantenimiento, seguridad y respaldo del servidor y del sistema.</w:t>
      </w:r>
    </w:p>
    <w:p>
      <w:pPr>
        <w:pStyle w:val="Heading1"/>
      </w:pPr>
      <w:r>
        <w:rPr>
          <w:color w:val="1F3B57"/>
        </w:rPr>
        <w:t>8. Jurisdicción y ley aplicable</w:t>
      </w:r>
    </w:p>
    <w:p>
      <w:r>
        <w:rPr>
          <w:b w:val="0"/>
          <w:i w:val="0"/>
        </w:rPr>
        <w:t>Para la interpretación y cumplimiento del presente contrato, así como para todo aquello que no esté expresamente previsto en el mismo, las Partes se someten a la legislación aplicable en Jalisco, México, y a los tribunales competentes de dicha jurisdicción, renunciando expresamente a cualquier otro fuero que pudiera corresponderles por razón de su domicilio presente o futuro.</w:t>
      </w:r>
    </w:p>
    <w:p>
      <w:pPr>
        <w:pStyle w:val="Heading1"/>
      </w:pPr>
      <w:r>
        <w:rPr>
          <w:color w:val="1F3B57"/>
        </w:rPr>
        <w:t>9. Documentos que forman parte del contrato</w:t>
      </w:r>
    </w:p>
    <w:p>
      <w:pPr>
        <w:pStyle w:val="ListBullet"/>
      </w:pPr>
      <w:r>
        <w:t>Anexo A: Cotización de Servicio (GymAccess_Acuerdo_Cotizacion.docx).</w:t>
      </w:r>
    </w:p>
    <w:p>
      <w:pPr>
        <w:pStyle w:val="ListBullet"/>
      </w:pPr>
      <w:r>
        <w:t>Anexo B: Aviso de Privacidad (GymAccess_Aviso_de_Privacidad.docx).</w:t>
      </w:r>
    </w:p>
    <w:p>
      <w:pPr>
        <w:pStyle w:val="ListBullet"/>
      </w:pPr>
      <w:r>
        <w:t>Anexo C: Acuerdo de Confidencialidad (GymAccess_Acuerdo_Confidencialidad.docx).</w:t>
      </w:r>
    </w:p>
    <w:tbl>
      <w:tblPr>
        <w:tblStyle w:val="LightGrid-Accent1"/>
        <w:tblW w:type="auto" w:w="0"/>
        <w:jc w:val="center"/>
        <w:tblLook w:firstColumn="1" w:firstRow="1" w:lastColumn="0" w:lastRow="0" w:noHBand="0" w:noVBand="1" w:val="04A0"/>
      </w:tblPr>
      <w:tblGrid>
        <w:gridCol w:w="4873"/>
        <w:gridCol w:w="4873"/>
      </w:tblGrid>
      <w:tr>
        <w:tc>
          <w:tcPr>
            <w:tcW w:type="dxa" w:w="4873"/>
          </w:tcPr>
          <w:p>
            <w:r>
              <w:rPr>
                <w:b/>
              </w:rPr>
              <w:t>Cliente</w:t>
            </w:r>
          </w:p>
        </w:tc>
        <w:tc>
          <w:tcPr>
            <w:tcW w:type="dxa" w:w="4873"/>
          </w:tcPr>
          <w:p>
            <w:r>
              <w:t>Round3Boxing — Diego Sandoval</w:t>
            </w:r>
          </w:p>
        </w:tc>
      </w:tr>
      <w:tr>
        <w:tc>
          <w:tcPr>
            <w:tcW w:type="dxa" w:w="4873"/>
          </w:tcPr>
          <w:p>
            <w:r>
              <w:rPr>
                <w:b/>
              </w:rPr>
              <w:t>Proveedor</w:t>
            </w:r>
          </w:p>
        </w:tc>
        <w:tc>
          <w:tcPr>
            <w:tcW w:type="dxa" w:w="4873"/>
          </w:tcPr>
          <w:p>
            <w:r>
              <w:t>GymAccess — Adrian Valencia</w:t>
            </w:r>
          </w:p>
        </w:tc>
      </w:tr>
      <w:tr>
        <w:tc>
          <w:tcPr>
            <w:tcW w:type="dxa" w:w="4873"/>
          </w:tcPr>
          <w:p>
            <w:r>
              <w:rPr>
                <w:b/>
              </w:rPr>
              <w:t>Contacto proveedor</w:t>
            </w:r>
          </w:p>
        </w:tc>
        <w:tc>
          <w:tcPr>
            <w:tcW w:type="dxa" w:w="4873"/>
          </w:tcPr>
          <w:p>
            <w:r>
              <w:t>3322332046 · angel10000sv@gmail.com</w:t>
            </w:r>
          </w:p>
        </w:tc>
      </w:tr>
      <w:tr>
        <w:tc>
          <w:tcPr>
            <w:tcW w:type="dxa" w:w="4873"/>
          </w:tcPr>
          <w:p>
            <w:r>
              <w:rPr>
                <w:b/>
              </w:rPr>
              <w:t>Fecha</w:t>
            </w:r>
          </w:p>
        </w:tc>
        <w:tc>
          <w:tcPr>
            <w:tcW w:type="dxa" w:w="4873"/>
          </w:tcPr>
          <w:p>
            <w:r>
              <w:t>25/07/2026</w:t>
            </w:r>
          </w:p>
        </w:tc>
      </w:tr>
    </w:tbl>
    <w:p>
      <w:pPr>
        <w:pStyle w:val="Heading1"/>
      </w:pPr>
      <w:r>
        <w:rPr>
          <w:color w:val="1F3B57"/>
        </w:rPr>
        <w:t>Conformidad</w:t>
      </w:r>
    </w:p>
    <w:p>
      <w:r>
        <w:rPr>
          <w:b w:val="0"/>
          <w:i w:val="0"/>
        </w:rPr>
        <w:t>Ambas partes firman de conformidad con los términos aquí descritos.</w:t>
      </w:r>
    </w:p>
    <w:p/>
    <w:p/>
    <w:tbl>
      <w:tblPr>
        <w:tblW w:type="auto" w:w="0"/>
        <w:tblLayout w:type="autofit"/>
        <w:tblLook w:firstColumn="1" w:firstRow="1" w:lastColumn="0" w:lastRow="0" w:noHBand="0" w:noVBand="1" w:val="04A0"/>
      </w:tblPr>
      <w:tblGrid>
        <w:gridCol w:w="4873"/>
        <w:gridCol w:w="4873"/>
      </w:tblGrid>
      <w:tr>
        <w:tc>
          <w:tcPr>
            <w:tcW w:type="dxa" w:w="4873"/>
          </w:tcPr>
          <w:p>
            <w:pPr>
              <w:jc w:val="center"/>
            </w:pPr>
            <w:r>
              <w:t>_____________________________</w:t>
            </w:r>
          </w:p>
        </w:tc>
        <w:tc>
          <w:tcPr>
            <w:tcW w:type="dxa" w:w="4873"/>
          </w:tcPr>
          <w:p>
            <w:pPr>
              <w:jc w:val="center"/>
            </w:pPr>
            <w:r>
              <w:t>_____________________________</w:t>
            </w:r>
          </w:p>
        </w:tc>
      </w:tr>
      <w:tr>
        <w:tc>
          <w:tcPr>
            <w:tcW w:type="dxa" w:w="4873"/>
          </w:tcPr>
          <w:p>
            <w:pPr>
              <w:jc w:val="center"/>
            </w:pPr>
            <w:r>
              <w:t>Por el Cliente — Diego Sandoval</w:t>
            </w:r>
          </w:p>
        </w:tc>
        <w:tc>
          <w:tcPr>
            <w:tcW w:type="dxa" w:w="4873"/>
          </w:tcPr>
          <w:p>
            <w:pPr>
              <w:jc w:val="center"/>
            </w:pPr>
            <w:r>
              <w:t>Por el Proveedor — Adrian Valencia</w:t>
            </w:r>
          </w:p>
        </w:tc>
      </w:tr>
    </w:tbl>
    <w:p/>
    <w:p>
      <w:pPr>
        <w:jc w:val="center"/>
      </w:pPr>
      <w:r>
        <w:rPr>
          <w:b w:val="0"/>
          <w:i/>
        </w:rPr>
        <w:t>GymAccess · Adrian Valencia · 3322332046 · angel10000sv@gmail.com</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