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22.001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22.001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241425"/>
                <wp:effectExtent l="0" t="0" r="0" b="0"/>
                <wp:wrapTopAndBottom/>
                <wp:docPr id="3" name="Frame3"/>
                <a:graphic xmlns:a="http://schemas.openxmlformats.org/drawingml/2006/main">
                  <a:graphicData uri="http://schemas.microsoft.com/office/word/2010/wordprocessingShape">
                    <wps:wsp>
                      <wps:cNvSpPr txBox="1"/>
                      <wps:spPr>
                        <a:xfrm>
                          <a:off x="0" y="0"/>
                          <a:ext cx="6301105" cy="124142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Principles of circuit telecommunication services supported</w:t>
                            </w:r>
                          </w:p>
                          <w:p>
                            <w:pPr>
                              <w:pStyle w:val="ZT"/>
                              <w:widowControl w:val="false"/>
                              <w:overflowPunct w:val="false"/>
                              <w:autoSpaceDE w:val="false"/>
                              <w:bidi w:val="0"/>
                              <w:spacing w:lineRule="atLeast" w:line="240"/>
                              <w:jc w:val="end"/>
                              <w:textAlignment w:val="baseline"/>
                              <w:rPr/>
                            </w:pPr>
                            <w:r>
                              <w:rPr/>
                              <w:t>by a Public Land Mobile Network (PLMN)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vanish/>
                              </w:rPr>
                            </w:pPr>
                            <w:r>
                              <w:rPr>
                                <w:vanish/>
                              </w:rPr>
                            </w:r>
                          </w:p>
                        </w:txbxContent>
                      </wps:txbx>
                      <wps:bodyPr anchor="t" lIns="0" tIns="0" rIns="0" bIns="0">
                        <a:noAutofit/>
                      </wps:bodyPr>
                    </wps:wsp>
                  </a:graphicData>
                </a:graphic>
              </wp:anchor>
            </w:drawing>
          </mc:Choice>
          <mc:Fallback>
            <w:pict>
              <v:rect fillcolor="#FFFFFF" style="position:absolute;rotation:0;width:496.1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Principles of circuit telecommunication services supported</w:t>
                      </w:r>
                    </w:p>
                    <w:p>
                      <w:pPr>
                        <w:pStyle w:val="ZT"/>
                        <w:widowControl w:val="false"/>
                        <w:overflowPunct w:val="false"/>
                        <w:autoSpaceDE w:val="false"/>
                        <w:bidi w:val="0"/>
                        <w:spacing w:lineRule="atLeast" w:line="240"/>
                        <w:jc w:val="end"/>
                        <w:textAlignment w:val="baseline"/>
                        <w:rPr/>
                      </w:pPr>
                      <w:r>
                        <w:rPr/>
                        <w:t>by a Public Land Mobile Network (PLMN)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vanish/>
                        </w:rPr>
                      </w:pPr>
                      <w:r>
                        <w:rPr>
                          <w:vanish/>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T2e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T2e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4947920" cy="452755"/>
                <wp:effectExtent l="0" t="0" r="0" b="0"/>
                <wp:wrapTopAndBottom/>
                <wp:docPr id="9" name="Frame7"/>
                <a:graphic xmlns:a="http://schemas.openxmlformats.org/drawingml/2006/main">
                  <a:graphicData uri="http://schemas.microsoft.com/office/word/2010/wordprocessingShape">
                    <wps:wsp>
                      <wps:cNvSpPr txBox="1"/>
                      <wps:spPr>
                        <a:xfrm>
                          <a:off x="0" y="0"/>
                          <a:ext cx="49479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service</w:t>
                            </w:r>
                          </w:p>
                        </w:txbxContent>
                      </wps:txbx>
                      <wps:bodyPr anchor="t" lIns="0" tIns="0" rIns="0" bIns="12700">
                        <a:noAutofit/>
                      </wps:bodyPr>
                    </wps:wsp>
                  </a:graphicData>
                </a:graphic>
              </wp:anchor>
            </w:drawing>
          </mc:Choice>
          <mc:Fallback>
            <w:pict>
              <v:rect fillcolor="#FFFFFF" style="position:absolute;rotation:0;width:389.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IGURETITLE"/>
        <w:keepLines w:val="false"/>
        <w:bidi w:val="0"/>
        <w:spacing w:lineRule="auto" w:line="240" w:before="0" w:after="180"/>
        <w:rPr>
          <w:rFonts w:ascii="Times New Roman" w:hAnsi="Times New Roman" w:cs="Times New Roman"/>
          <w:lang w:val="en-US" w:eastAsia="en-US"/>
        </w:rPr>
      </w:pPr>
      <w:r>
        <w:rPr>
          <w:rFonts w:cs="Times New Roman" w:ascii="Times New Roman" w:hAnsi="Times New Roman"/>
          <w:lang w:val="en-US" w:eastAsia="en-US"/>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943735"/>
                <wp:effectExtent l="0" t="0" r="0" b="0"/>
                <wp:wrapTopAndBottom/>
                <wp:docPr id="11"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2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728495">
            <w:r>
              <w:rPr>
                <w:rStyle w:val="IndexLink"/>
              </w:rPr>
              <w:t>5</w:t>
            </w:r>
          </w:hyperlink>
        </w:p>
        <w:p>
          <w:pPr>
            <w:pStyle w:val="Contents1"/>
            <w:tabs>
              <w:tab w:val="clear" w:pos="9639"/>
              <w:tab w:val="right" w:pos="9638" w:leader="dot"/>
            </w:tabs>
            <w:bidi w:val="0"/>
            <w:jc w:val="start"/>
            <w:rPr/>
          </w:pPr>
          <w:r>
            <w:rPr/>
            <w:t>0 Scope</w:t>
            <w:tab/>
          </w:r>
          <w:hyperlink w:anchor="__RefHeading___Toc217728496">
            <w:r>
              <w:rPr>
                <w:rStyle w:val="IndexLink"/>
              </w:rPr>
              <w:t>6</w:t>
            </w:r>
          </w:hyperlink>
        </w:p>
        <w:p>
          <w:pPr>
            <w:pStyle w:val="Contents2"/>
            <w:tabs>
              <w:tab w:val="clear" w:pos="9639"/>
              <w:tab w:val="right" w:pos="9638" w:leader="dot"/>
            </w:tabs>
            <w:bidi w:val="0"/>
            <w:jc w:val="start"/>
            <w:rPr/>
          </w:pPr>
          <w:r>
            <w:rPr/>
            <w:t>0.1 References</w:t>
            <w:tab/>
          </w:r>
          <w:hyperlink w:anchor="__RefHeading___Toc217728497">
            <w:r>
              <w:rPr>
                <w:rStyle w:val="IndexLink"/>
              </w:rPr>
              <w:t>6</w:t>
            </w:r>
          </w:hyperlink>
        </w:p>
        <w:p>
          <w:pPr>
            <w:pStyle w:val="Contents2"/>
            <w:tabs>
              <w:tab w:val="clear" w:pos="9639"/>
              <w:tab w:val="right" w:pos="9638" w:leader="dot"/>
            </w:tabs>
            <w:bidi w:val="0"/>
            <w:jc w:val="start"/>
            <w:rPr/>
          </w:pPr>
          <w:r>
            <w:rPr/>
            <w:t>0.2 Abbreviations</w:t>
            <w:tab/>
          </w:r>
          <w:hyperlink w:anchor="__RefHeading___Toc217728498">
            <w:r>
              <w:rPr>
                <w:rStyle w:val="IndexLink"/>
              </w:rPr>
              <w:t>6</w:t>
            </w:r>
          </w:hyperlink>
        </w:p>
        <w:p>
          <w:pPr>
            <w:pStyle w:val="Contents1"/>
            <w:tabs>
              <w:tab w:val="clear" w:pos="9639"/>
              <w:tab w:val="right" w:pos="9638" w:leader="dot"/>
            </w:tabs>
            <w:bidi w:val="0"/>
            <w:jc w:val="start"/>
            <w:rPr/>
          </w:pPr>
          <w:r>
            <w:rPr/>
            <w:t>1 Framework for the description of telecommunication services</w:t>
            <w:tab/>
          </w:r>
          <w:hyperlink w:anchor="__RefHeading___Toc217728499">
            <w:r>
              <w:rPr>
                <w:rStyle w:val="IndexLink"/>
              </w:rPr>
              <w:t>7</w:t>
            </w:r>
          </w:hyperlink>
        </w:p>
        <w:p>
          <w:pPr>
            <w:pStyle w:val="Contents2"/>
            <w:tabs>
              <w:tab w:val="clear" w:pos="9639"/>
              <w:tab w:val="right" w:pos="9638" w:leader="dot"/>
            </w:tabs>
            <w:bidi w:val="0"/>
            <w:jc w:val="start"/>
            <w:rPr/>
          </w:pPr>
          <w:r>
            <w:rPr/>
            <w:t>1.1 The attribute method of characterization of circuit telecommunication services</w:t>
            <w:tab/>
          </w:r>
          <w:hyperlink w:anchor="__RefHeading___Toc217728500">
            <w:r>
              <w:rPr>
                <w:rStyle w:val="IndexLink"/>
              </w:rPr>
              <w:t>7</w:t>
            </w:r>
          </w:hyperlink>
        </w:p>
        <w:p>
          <w:pPr>
            <w:pStyle w:val="Contents1"/>
            <w:tabs>
              <w:tab w:val="clear" w:pos="9639"/>
              <w:tab w:val="right" w:pos="9638" w:leader="dot"/>
            </w:tabs>
            <w:bidi w:val="0"/>
            <w:jc w:val="start"/>
            <w:rPr/>
          </w:pPr>
          <w:r>
            <w:rPr/>
            <w:t>2 Description of circuit telecommunication services by the attribute method</w:t>
            <w:tab/>
          </w:r>
          <w:hyperlink w:anchor="__RefHeading___Toc217728501">
            <w:r>
              <w:rPr>
                <w:rStyle w:val="IndexLink"/>
              </w:rPr>
              <w:t>7</w:t>
            </w:r>
          </w:hyperlink>
        </w:p>
        <w:p>
          <w:pPr>
            <w:pStyle w:val="Contents2"/>
            <w:tabs>
              <w:tab w:val="clear" w:pos="9639"/>
              <w:tab w:val="right" w:pos="9638" w:leader="dot"/>
            </w:tabs>
            <w:bidi w:val="0"/>
            <w:jc w:val="start"/>
            <w:rPr/>
          </w:pPr>
          <w:r>
            <w:rPr/>
            <w:t>2.1 General</w:t>
            <w:tab/>
          </w:r>
          <w:hyperlink w:anchor="__RefHeading___Toc217728502">
            <w:r>
              <w:rPr>
                <w:rStyle w:val="IndexLink"/>
              </w:rPr>
              <w:t>7</w:t>
            </w:r>
          </w:hyperlink>
        </w:p>
        <w:p>
          <w:pPr>
            <w:pStyle w:val="Contents2"/>
            <w:tabs>
              <w:tab w:val="clear" w:pos="9639"/>
              <w:tab w:val="right" w:pos="9638" w:leader="dot"/>
            </w:tabs>
            <w:bidi w:val="0"/>
            <w:jc w:val="start"/>
            <w:rPr/>
          </w:pPr>
          <w:r>
            <w:rPr/>
            <w:t>2.2 Categorisation of telecommunication services</w:t>
            <w:tab/>
          </w:r>
          <w:hyperlink w:anchor="__RefHeading___Toc217728503">
            <w:r>
              <w:rPr>
                <w:rStyle w:val="IndexLink"/>
              </w:rPr>
              <w:t>7</w:t>
            </w:r>
          </w:hyperlink>
        </w:p>
        <w:p>
          <w:pPr>
            <w:pStyle w:val="Contents1"/>
            <w:tabs>
              <w:tab w:val="clear" w:pos="9639"/>
              <w:tab w:val="right" w:pos="9638" w:leader="dot"/>
            </w:tabs>
            <w:bidi w:val="0"/>
            <w:jc w:val="start"/>
            <w:rPr/>
          </w:pPr>
          <w:r>
            <w:rPr/>
            <w:t>3 Characterization of circuit telecommunication services</w:t>
            <w:tab/>
          </w:r>
          <w:hyperlink w:anchor="__RefHeading___Toc217728504">
            <w:r>
              <w:rPr>
                <w:rStyle w:val="IndexLink"/>
              </w:rPr>
              <w:t>7</w:t>
            </w:r>
          </w:hyperlink>
        </w:p>
        <w:p>
          <w:pPr>
            <w:pStyle w:val="Contents2"/>
            <w:tabs>
              <w:tab w:val="clear" w:pos="9639"/>
              <w:tab w:val="right" w:pos="9638" w:leader="dot"/>
            </w:tabs>
            <w:bidi w:val="0"/>
            <w:jc w:val="start"/>
            <w:rPr/>
          </w:pPr>
          <w:r>
            <w:rPr/>
            <w:t>3.1 General</w:t>
            <w:tab/>
          </w:r>
          <w:hyperlink w:anchor="__RefHeading___Toc217728505">
            <w:r>
              <w:rPr>
                <w:rStyle w:val="IndexLink"/>
              </w:rPr>
              <w:t>7</w:t>
            </w:r>
          </w:hyperlink>
        </w:p>
        <w:p>
          <w:pPr>
            <w:pStyle w:val="Contents2"/>
            <w:tabs>
              <w:tab w:val="clear" w:pos="9639"/>
              <w:tab w:val="right" w:pos="9638" w:leader="dot"/>
            </w:tabs>
            <w:bidi w:val="0"/>
            <w:jc w:val="start"/>
            <w:rPr/>
          </w:pPr>
          <w:r>
            <w:rPr/>
            <w:t>3.2 Bearer services</w:t>
            <w:tab/>
          </w:r>
          <w:hyperlink w:anchor="__RefHeading___Toc84_3899700106">
            <w:r>
              <w:rPr>
                <w:rStyle w:val="IndexLink"/>
              </w:rPr>
              <w:t>8</w:t>
            </w:r>
          </w:hyperlink>
        </w:p>
        <w:p>
          <w:pPr>
            <w:pStyle w:val="Contents2"/>
            <w:tabs>
              <w:tab w:val="clear" w:pos="9639"/>
              <w:tab w:val="right" w:pos="9638" w:leader="dot"/>
            </w:tabs>
            <w:bidi w:val="0"/>
            <w:jc w:val="start"/>
            <w:rPr/>
          </w:pPr>
          <w:r>
            <w:rPr/>
            <w:t>3.3 Teleservices</w:t>
            <w:tab/>
          </w:r>
          <w:hyperlink w:anchor="__RefHeading___Toc86_3899700106">
            <w:r>
              <w:rPr>
                <w:rStyle w:val="IndexLink"/>
              </w:rPr>
              <w:t>8</w:t>
            </w:r>
          </w:hyperlink>
        </w:p>
        <w:p>
          <w:pPr>
            <w:pStyle w:val="Contents1"/>
            <w:tabs>
              <w:tab w:val="clear" w:pos="9639"/>
              <w:tab w:val="right" w:pos="9638" w:leader="dot"/>
            </w:tabs>
            <w:bidi w:val="0"/>
            <w:jc w:val="start"/>
            <w:rPr/>
          </w:pPr>
          <w:r>
            <w:rPr/>
            <w:t>4 Provision of telecommunication services</w:t>
            <w:tab/>
          </w:r>
          <w:hyperlink w:anchor="__RefHeading___Toc217728508">
            <w:r>
              <w:rPr>
                <w:rStyle w:val="IndexLink"/>
              </w:rPr>
              <w:t>8</w:t>
            </w:r>
          </w:hyperlink>
        </w:p>
        <w:p>
          <w:pPr>
            <w:pStyle w:val="Contents2"/>
            <w:tabs>
              <w:tab w:val="clear" w:pos="9639"/>
              <w:tab w:val="right" w:pos="9638" w:leader="dot"/>
            </w:tabs>
            <w:bidi w:val="0"/>
            <w:jc w:val="start"/>
            <w:rPr/>
          </w:pPr>
          <w:r>
            <w:rPr/>
            <w:t>4.1 Subscription checking for Basic Services</w:t>
            <w:tab/>
          </w:r>
          <w:hyperlink w:anchor="__RefHeading___Toc217728509">
            <w:r>
              <w:rPr>
                <w:rStyle w:val="IndexLink"/>
              </w:rPr>
              <w:t>9</w:t>
            </w:r>
          </w:hyperlink>
        </w:p>
        <w:p>
          <w:pPr>
            <w:pStyle w:val="Contents2"/>
            <w:tabs>
              <w:tab w:val="clear" w:pos="9639"/>
              <w:tab w:val="right" w:pos="9638" w:leader="dot"/>
            </w:tabs>
            <w:bidi w:val="0"/>
            <w:jc w:val="start"/>
            <w:rPr/>
          </w:pPr>
          <w:r>
            <w:rPr/>
            <w:t>4.2 Subscription checking for Supplementary Services</w:t>
            <w:tab/>
          </w:r>
          <w:hyperlink w:anchor="__RefHeading___Toc217728510">
            <w:r>
              <w:rPr>
                <w:rStyle w:val="IndexLink"/>
              </w:rPr>
              <w:t>10</w:t>
            </w:r>
          </w:hyperlink>
        </w:p>
        <w:p>
          <w:pPr>
            <w:pStyle w:val="Contents8"/>
            <w:tabs>
              <w:tab w:val="clear" w:pos="9639"/>
              <w:tab w:val="right" w:pos="9638" w:leader="dot"/>
            </w:tabs>
            <w:bidi w:val="0"/>
            <w:jc w:val="start"/>
            <w:rPr/>
          </w:pPr>
          <w:r>
            <w:rPr/>
            <w:t>Annex A (normative): List of definition of attributes and values used for bearer services</w:t>
            <w:tab/>
          </w:r>
          <w:hyperlink w:anchor="__RefHeading___Toc217728511">
            <w:r>
              <w:rPr>
                <w:rStyle w:val="IndexLink"/>
              </w:rPr>
              <w:t>11</w:t>
            </w:r>
          </w:hyperlink>
        </w:p>
        <w:p>
          <w:pPr>
            <w:pStyle w:val="Contents1"/>
            <w:tabs>
              <w:tab w:val="clear" w:pos="9639"/>
              <w:tab w:val="right" w:pos="9638" w:leader="dot"/>
            </w:tabs>
            <w:bidi w:val="0"/>
            <w:jc w:val="start"/>
            <w:rPr/>
          </w:pPr>
          <w:r>
            <w:rPr/>
            <w:t>A.1 Information transfer attributes</w:t>
            <w:tab/>
          </w:r>
          <w:hyperlink w:anchor="__RefHeading___Toc217728512">
            <w:r>
              <w:rPr>
                <w:rStyle w:val="IndexLink"/>
              </w:rPr>
              <w:t>11</w:t>
            </w:r>
          </w:hyperlink>
        </w:p>
        <w:p>
          <w:pPr>
            <w:pStyle w:val="Contents2"/>
            <w:tabs>
              <w:tab w:val="clear" w:pos="9639"/>
              <w:tab w:val="right" w:pos="9638" w:leader="dot"/>
            </w:tabs>
            <w:bidi w:val="0"/>
            <w:jc w:val="start"/>
            <w:rPr/>
          </w:pPr>
          <w:r>
            <w:rPr/>
            <w:t>A.1.1 Information transfer capability</w:t>
            <w:tab/>
          </w:r>
          <w:hyperlink w:anchor="__RefHeading___Toc217728513">
            <w:r>
              <w:rPr>
                <w:rStyle w:val="IndexLink"/>
              </w:rPr>
              <w:t>11</w:t>
            </w:r>
          </w:hyperlink>
        </w:p>
        <w:p>
          <w:pPr>
            <w:pStyle w:val="Contents2"/>
            <w:tabs>
              <w:tab w:val="clear" w:pos="9639"/>
              <w:tab w:val="right" w:pos="9638" w:leader="dot"/>
            </w:tabs>
            <w:bidi w:val="0"/>
            <w:jc w:val="start"/>
            <w:rPr/>
          </w:pPr>
          <w:r>
            <w:rPr/>
            <w:t>A.1.2 Information transfer mode</w:t>
            <w:tab/>
          </w:r>
          <w:hyperlink w:anchor="__RefHeading___Toc217728514">
            <w:r>
              <w:rPr>
                <w:rStyle w:val="IndexLink"/>
              </w:rPr>
              <w:t>11</w:t>
            </w:r>
          </w:hyperlink>
        </w:p>
        <w:p>
          <w:pPr>
            <w:pStyle w:val="Contents2"/>
            <w:tabs>
              <w:tab w:val="clear" w:pos="9639"/>
              <w:tab w:val="right" w:pos="9638" w:leader="dot"/>
            </w:tabs>
            <w:bidi w:val="0"/>
            <w:jc w:val="start"/>
            <w:rPr/>
          </w:pPr>
          <w:r>
            <w:rPr/>
            <w:t>A.1.3 Information transfer rate</w:t>
            <w:tab/>
          </w:r>
          <w:hyperlink w:anchor="__RefHeading___Toc217728515">
            <w:r>
              <w:rPr>
                <w:rStyle w:val="IndexLink"/>
              </w:rPr>
              <w:t>11</w:t>
            </w:r>
          </w:hyperlink>
        </w:p>
        <w:p>
          <w:pPr>
            <w:pStyle w:val="Contents2"/>
            <w:tabs>
              <w:tab w:val="clear" w:pos="9639"/>
              <w:tab w:val="right" w:pos="9638" w:leader="dot"/>
            </w:tabs>
            <w:bidi w:val="0"/>
            <w:jc w:val="start"/>
            <w:rPr/>
          </w:pPr>
          <w:r>
            <w:rPr/>
            <w:t>A.1.4 Structure</w:t>
            <w:tab/>
          </w:r>
          <w:hyperlink w:anchor="__RefHeading___Toc217728516">
            <w:r>
              <w:rPr>
                <w:rStyle w:val="IndexLink"/>
              </w:rPr>
              <w:t>11</w:t>
            </w:r>
          </w:hyperlink>
        </w:p>
        <w:p>
          <w:pPr>
            <w:pStyle w:val="Contents2"/>
            <w:tabs>
              <w:tab w:val="clear" w:pos="9639"/>
              <w:tab w:val="right" w:pos="9638" w:leader="dot"/>
            </w:tabs>
            <w:bidi w:val="0"/>
            <w:jc w:val="start"/>
            <w:rPr/>
          </w:pPr>
          <w:r>
            <w:rPr/>
            <w:t>A.1.5 Establishment of communication</w:t>
            <w:tab/>
          </w:r>
          <w:hyperlink w:anchor="__RefHeading___Toc217728517">
            <w:r>
              <w:rPr>
                <w:rStyle w:val="IndexLink"/>
              </w:rPr>
              <w:t>12</w:t>
            </w:r>
          </w:hyperlink>
        </w:p>
        <w:p>
          <w:pPr>
            <w:pStyle w:val="Contents2"/>
            <w:tabs>
              <w:tab w:val="clear" w:pos="9639"/>
              <w:tab w:val="right" w:pos="9638" w:leader="dot"/>
            </w:tabs>
            <w:bidi w:val="0"/>
            <w:jc w:val="start"/>
            <w:rPr/>
          </w:pPr>
          <w:r>
            <w:rPr/>
            <w:t>A.1.6 Communication configuration</w:t>
            <w:tab/>
          </w:r>
          <w:hyperlink w:anchor="__RefHeading___Toc217728518">
            <w:r>
              <w:rPr>
                <w:rStyle w:val="IndexLink"/>
              </w:rPr>
              <w:t>12</w:t>
            </w:r>
          </w:hyperlink>
        </w:p>
        <w:p>
          <w:pPr>
            <w:pStyle w:val="Contents2"/>
            <w:tabs>
              <w:tab w:val="clear" w:pos="9639"/>
              <w:tab w:val="right" w:pos="9638" w:leader="dot"/>
            </w:tabs>
            <w:bidi w:val="0"/>
            <w:jc w:val="start"/>
            <w:rPr/>
          </w:pPr>
          <w:r>
            <w:rPr/>
            <w:t>A.1.7 Symmetry</w:t>
            <w:tab/>
          </w:r>
          <w:hyperlink w:anchor="__RefHeading___Toc217728519">
            <w:r>
              <w:rPr>
                <w:rStyle w:val="IndexLink"/>
              </w:rPr>
              <w:t>12</w:t>
            </w:r>
          </w:hyperlink>
        </w:p>
        <w:p>
          <w:pPr>
            <w:pStyle w:val="Contents2"/>
            <w:tabs>
              <w:tab w:val="clear" w:pos="9639"/>
              <w:tab w:val="right" w:pos="9638" w:leader="dot"/>
            </w:tabs>
            <w:bidi w:val="0"/>
            <w:jc w:val="start"/>
            <w:rPr/>
          </w:pPr>
          <w:r>
            <w:rPr/>
            <w:t>A.1.8 Data compression</w:t>
            <w:tab/>
          </w:r>
          <w:hyperlink w:anchor="__RefHeading___Toc217728520">
            <w:r>
              <w:rPr>
                <w:rStyle w:val="IndexLink"/>
              </w:rPr>
              <w:t>13</w:t>
            </w:r>
          </w:hyperlink>
        </w:p>
        <w:p>
          <w:pPr>
            <w:pStyle w:val="Contents1"/>
            <w:tabs>
              <w:tab w:val="clear" w:pos="9639"/>
              <w:tab w:val="right" w:pos="9638" w:leader="dot"/>
            </w:tabs>
            <w:bidi w:val="0"/>
            <w:jc w:val="start"/>
            <w:rPr/>
          </w:pPr>
          <w:r>
            <w:rPr/>
            <w:t>A.2 Attributes describing the access at the user equipment</w:t>
            <w:tab/>
          </w:r>
          <w:hyperlink w:anchor="__RefHeading___Toc217728521">
            <w:r>
              <w:rPr>
                <w:rStyle w:val="IndexLink"/>
              </w:rPr>
              <w:t>13</w:t>
            </w:r>
          </w:hyperlink>
        </w:p>
        <w:p>
          <w:pPr>
            <w:pStyle w:val="Contents2"/>
            <w:tabs>
              <w:tab w:val="clear" w:pos="9639"/>
              <w:tab w:val="right" w:pos="9638" w:leader="dot"/>
            </w:tabs>
            <w:bidi w:val="0"/>
            <w:jc w:val="start"/>
            <w:rPr/>
          </w:pPr>
          <w:r>
            <w:rPr/>
            <w:t>A.2.1 Signalling access</w:t>
            <w:tab/>
          </w:r>
          <w:hyperlink w:anchor="__RefHeading___Toc217728522">
            <w:r>
              <w:rPr>
                <w:rStyle w:val="IndexLink"/>
              </w:rPr>
              <w:t>13</w:t>
            </w:r>
          </w:hyperlink>
        </w:p>
        <w:p>
          <w:pPr>
            <w:pStyle w:val="Contents2"/>
            <w:tabs>
              <w:tab w:val="clear" w:pos="9639"/>
              <w:tab w:val="right" w:pos="9638" w:leader="dot"/>
            </w:tabs>
            <w:bidi w:val="0"/>
            <w:jc w:val="start"/>
            <w:rPr/>
          </w:pPr>
          <w:r>
            <w:rPr/>
            <w:t>A.2.2 Information access</w:t>
            <w:tab/>
          </w:r>
          <w:hyperlink w:anchor="__RefHeading___Toc217728523">
            <w:r>
              <w:rPr>
                <w:rStyle w:val="IndexLink"/>
              </w:rPr>
              <w:t>13</w:t>
            </w:r>
          </w:hyperlink>
        </w:p>
        <w:p>
          <w:pPr>
            <w:pStyle w:val="Contents3"/>
            <w:tabs>
              <w:tab w:val="clear" w:pos="9639"/>
              <w:tab w:val="right" w:pos="9638" w:leader="dot"/>
            </w:tabs>
            <w:bidi w:val="0"/>
            <w:jc w:val="start"/>
            <w:rPr/>
          </w:pPr>
          <w:r>
            <w:rPr/>
            <w:t>A.2.2.1 Rate</w:t>
            <w:tab/>
          </w:r>
          <w:hyperlink w:anchor="__RefHeading___Toc217728524">
            <w:r>
              <w:rPr>
                <w:rStyle w:val="IndexLink"/>
              </w:rPr>
              <w:t>13</w:t>
            </w:r>
          </w:hyperlink>
        </w:p>
        <w:p>
          <w:pPr>
            <w:pStyle w:val="Contents3"/>
            <w:tabs>
              <w:tab w:val="clear" w:pos="9639"/>
              <w:tab w:val="right" w:pos="9638" w:leader="dot"/>
            </w:tabs>
            <w:bidi w:val="0"/>
            <w:jc w:val="start"/>
            <w:rPr/>
          </w:pPr>
          <w:r>
            <w:rPr/>
            <w:t>A.2.2.2 Interface</w:t>
            <w:tab/>
          </w:r>
          <w:hyperlink w:anchor="__RefHeading___Toc217728525">
            <w:r>
              <w:rPr>
                <w:rStyle w:val="IndexLink"/>
              </w:rPr>
              <w:t>13</w:t>
            </w:r>
          </w:hyperlink>
        </w:p>
        <w:p>
          <w:pPr>
            <w:pStyle w:val="Contents1"/>
            <w:tabs>
              <w:tab w:val="clear" w:pos="9639"/>
              <w:tab w:val="right" w:pos="9638" w:leader="dot"/>
            </w:tabs>
            <w:bidi w:val="0"/>
            <w:jc w:val="start"/>
            <w:rPr/>
          </w:pPr>
          <w:r>
            <w:rPr/>
            <w:t>A.3 Interworking attribute</w:t>
            <w:tab/>
          </w:r>
          <w:hyperlink w:anchor="__RefHeading___Toc217728526">
            <w:r>
              <w:rPr>
                <w:rStyle w:val="IndexLink"/>
              </w:rPr>
              <w:t>14</w:t>
            </w:r>
          </w:hyperlink>
        </w:p>
        <w:p>
          <w:pPr>
            <w:pStyle w:val="Contents2"/>
            <w:tabs>
              <w:tab w:val="clear" w:pos="9639"/>
              <w:tab w:val="right" w:pos="9638" w:leader="dot"/>
            </w:tabs>
            <w:bidi w:val="0"/>
            <w:jc w:val="start"/>
            <w:rPr/>
          </w:pPr>
          <w:r>
            <w:rPr/>
            <w:t>A.3.1 Type of terminating network</w:t>
            <w:tab/>
          </w:r>
          <w:hyperlink w:anchor="__RefHeading___Toc217728527">
            <w:r>
              <w:rPr>
                <w:rStyle w:val="IndexLink"/>
              </w:rPr>
              <w:t>14</w:t>
            </w:r>
          </w:hyperlink>
        </w:p>
        <w:p>
          <w:pPr>
            <w:pStyle w:val="Contents2"/>
            <w:tabs>
              <w:tab w:val="clear" w:pos="9639"/>
              <w:tab w:val="right" w:pos="9638" w:leader="dot"/>
            </w:tabs>
            <w:bidi w:val="0"/>
            <w:jc w:val="start"/>
            <w:rPr/>
          </w:pPr>
          <w:r>
            <w:rPr/>
            <w:t>A.3.2 Terminal to terminating network interface</w:t>
            <w:tab/>
          </w:r>
          <w:hyperlink w:anchor="__RefHeading___Toc217728528">
            <w:r>
              <w:rPr>
                <w:rStyle w:val="IndexLink"/>
              </w:rPr>
              <w:t>14</w:t>
            </w:r>
          </w:hyperlink>
        </w:p>
        <w:p>
          <w:pPr>
            <w:pStyle w:val="Contents1"/>
            <w:tabs>
              <w:tab w:val="clear" w:pos="9639"/>
              <w:tab w:val="right" w:pos="9638" w:leader="dot"/>
            </w:tabs>
            <w:bidi w:val="0"/>
            <w:jc w:val="start"/>
            <w:rPr/>
          </w:pPr>
          <w:r>
            <w:rPr/>
            <w:t>A.4 General attributes</w:t>
            <w:tab/>
          </w:r>
          <w:hyperlink w:anchor="__RefHeading___Toc217728529">
            <w:r>
              <w:rPr>
                <w:rStyle w:val="IndexLink"/>
              </w:rPr>
              <w:t>14</w:t>
            </w:r>
          </w:hyperlink>
        </w:p>
        <w:p>
          <w:pPr>
            <w:pStyle w:val="Contents2"/>
            <w:tabs>
              <w:tab w:val="clear" w:pos="9639"/>
              <w:tab w:val="right" w:pos="9638" w:leader="dot"/>
            </w:tabs>
            <w:bidi w:val="0"/>
            <w:jc w:val="start"/>
            <w:rPr/>
          </w:pPr>
          <w:r>
            <w:rPr/>
            <w:t>A.4.1 Supplementary services provided</w:t>
            <w:tab/>
          </w:r>
          <w:hyperlink w:anchor="__RefHeading___Toc217728530">
            <w:r>
              <w:rPr>
                <w:rStyle w:val="IndexLink"/>
              </w:rPr>
              <w:t>14</w:t>
            </w:r>
          </w:hyperlink>
        </w:p>
        <w:p>
          <w:pPr>
            <w:pStyle w:val="Contents2"/>
            <w:tabs>
              <w:tab w:val="clear" w:pos="9639"/>
              <w:tab w:val="right" w:pos="9638" w:leader="dot"/>
            </w:tabs>
            <w:bidi w:val="0"/>
            <w:jc w:val="start"/>
            <w:rPr/>
          </w:pPr>
          <w:r>
            <w:rPr/>
            <w:t>A.4.2 Quality of service</w:t>
            <w:tab/>
          </w:r>
          <w:hyperlink w:anchor="__RefHeading___Toc217728531">
            <w:r>
              <w:rPr>
                <w:rStyle w:val="IndexLink"/>
              </w:rPr>
              <w:t>14</w:t>
            </w:r>
          </w:hyperlink>
        </w:p>
        <w:p>
          <w:pPr>
            <w:pStyle w:val="Contents2"/>
            <w:tabs>
              <w:tab w:val="clear" w:pos="9639"/>
              <w:tab w:val="right" w:pos="9638" w:leader="dot"/>
            </w:tabs>
            <w:bidi w:val="0"/>
            <w:jc w:val="start"/>
            <w:rPr/>
          </w:pPr>
          <w:r>
            <w:rPr/>
            <w:t>A.4.3 Commercial and operational</w:t>
            <w:tab/>
          </w:r>
          <w:hyperlink w:anchor="__RefHeading___Toc217728532">
            <w:r>
              <w:rPr>
                <w:rStyle w:val="IndexLink"/>
              </w:rPr>
              <w:t>15</w:t>
            </w:r>
          </w:hyperlink>
        </w:p>
        <w:p>
          <w:pPr>
            <w:pStyle w:val="Contents2"/>
            <w:tabs>
              <w:tab w:val="clear" w:pos="9639"/>
              <w:tab w:val="right" w:pos="9638" w:leader="dot"/>
            </w:tabs>
            <w:bidi w:val="0"/>
            <w:jc w:val="start"/>
            <w:rPr/>
          </w:pPr>
          <w:r>
            <w:rPr/>
            <w:t>A.4.4 Service interworking</w:t>
            <w:tab/>
          </w:r>
          <w:hyperlink w:anchor="__RefHeading___Toc217728533">
            <w:r>
              <w:rPr>
                <w:rStyle w:val="IndexLink"/>
              </w:rPr>
              <w:t>15</w:t>
            </w:r>
          </w:hyperlink>
        </w:p>
        <w:p>
          <w:pPr>
            <w:pStyle w:val="Contents8"/>
            <w:tabs>
              <w:tab w:val="clear" w:pos="9639"/>
              <w:tab w:val="right" w:pos="9638" w:leader="dot"/>
            </w:tabs>
            <w:bidi w:val="0"/>
            <w:jc w:val="start"/>
            <w:rPr/>
          </w:pPr>
          <w:r>
            <w:rPr/>
            <w:t>Annex B (normative): List of definitions of attributes and values used for teleservices</w:t>
            <w:tab/>
          </w:r>
          <w:hyperlink w:anchor="__RefHeading___Toc217728534">
            <w:r>
              <w:rPr>
                <w:rStyle w:val="IndexLink"/>
              </w:rPr>
              <w:t>16</w:t>
            </w:r>
          </w:hyperlink>
        </w:p>
        <w:p>
          <w:pPr>
            <w:pStyle w:val="Contents1"/>
            <w:tabs>
              <w:tab w:val="clear" w:pos="9639"/>
              <w:tab w:val="right" w:pos="9638" w:leader="dot"/>
            </w:tabs>
            <w:bidi w:val="0"/>
            <w:jc w:val="start"/>
            <w:rPr/>
          </w:pPr>
          <w:r>
            <w:rPr/>
            <w:t>B.1 High layer attributes</w:t>
            <w:tab/>
          </w:r>
          <w:hyperlink w:anchor="__RefHeading___Toc217728535">
            <w:r>
              <w:rPr>
                <w:rStyle w:val="IndexLink"/>
              </w:rPr>
              <w:t>16</w:t>
            </w:r>
          </w:hyperlink>
        </w:p>
        <w:p>
          <w:pPr>
            <w:pStyle w:val="Contents2"/>
            <w:tabs>
              <w:tab w:val="clear" w:pos="9639"/>
              <w:tab w:val="right" w:pos="9638" w:leader="dot"/>
            </w:tabs>
            <w:bidi w:val="0"/>
            <w:jc w:val="start"/>
            <w:rPr/>
          </w:pPr>
          <w:r>
            <w:rPr/>
            <w:t>B.1.1 Type of user information</w:t>
            <w:tab/>
          </w:r>
          <w:hyperlink w:anchor="__RefHeading___Toc217728536">
            <w:r>
              <w:rPr>
                <w:rStyle w:val="IndexLink"/>
              </w:rPr>
              <w:t>16</w:t>
            </w:r>
          </w:hyperlink>
        </w:p>
        <w:p>
          <w:pPr>
            <w:pStyle w:val="Contents2"/>
            <w:tabs>
              <w:tab w:val="clear" w:pos="9639"/>
              <w:tab w:val="right" w:pos="9638" w:leader="dot"/>
            </w:tabs>
            <w:bidi w:val="0"/>
            <w:jc w:val="start"/>
            <w:rPr/>
          </w:pPr>
          <w:r>
            <w:rPr/>
            <w:t>B.1.2 Layer 4 protocol functions</w:t>
            <w:tab/>
          </w:r>
          <w:hyperlink w:anchor="__RefHeading___Toc217728537">
            <w:r>
              <w:rPr>
                <w:rStyle w:val="IndexLink"/>
              </w:rPr>
              <w:t>16</w:t>
            </w:r>
          </w:hyperlink>
        </w:p>
        <w:p>
          <w:pPr>
            <w:pStyle w:val="Contents2"/>
            <w:tabs>
              <w:tab w:val="clear" w:pos="9639"/>
              <w:tab w:val="right" w:pos="9638" w:leader="dot"/>
            </w:tabs>
            <w:bidi w:val="0"/>
            <w:jc w:val="start"/>
            <w:rPr/>
          </w:pPr>
          <w:r>
            <w:rPr/>
            <w:t>B.1.3 Layer 5 protocol functions</w:t>
            <w:tab/>
          </w:r>
          <w:hyperlink w:anchor="__RefHeading___Toc217728538">
            <w:r>
              <w:rPr>
                <w:rStyle w:val="IndexLink"/>
              </w:rPr>
              <w:t>16</w:t>
            </w:r>
          </w:hyperlink>
        </w:p>
        <w:p>
          <w:pPr>
            <w:pStyle w:val="Contents2"/>
            <w:tabs>
              <w:tab w:val="clear" w:pos="9639"/>
              <w:tab w:val="right" w:pos="9638" w:leader="dot"/>
            </w:tabs>
            <w:bidi w:val="0"/>
            <w:jc w:val="start"/>
            <w:rPr/>
          </w:pPr>
          <w:r>
            <w:rPr/>
            <w:t>B.1.4 Layer 6 protocol functions</w:t>
            <w:tab/>
          </w:r>
          <w:hyperlink w:anchor="__RefHeading___Toc217728539">
            <w:r>
              <w:rPr>
                <w:rStyle w:val="IndexLink"/>
              </w:rPr>
              <w:t>16</w:t>
            </w:r>
          </w:hyperlink>
        </w:p>
        <w:p>
          <w:pPr>
            <w:pStyle w:val="Contents2"/>
            <w:tabs>
              <w:tab w:val="clear" w:pos="9639"/>
              <w:tab w:val="right" w:pos="9638" w:leader="dot"/>
            </w:tabs>
            <w:bidi w:val="0"/>
            <w:jc w:val="start"/>
            <w:rPr/>
          </w:pPr>
          <w:r>
            <w:rPr/>
            <w:t>B.1.5 Layer 7 protocol functions</w:t>
            <w:tab/>
          </w:r>
          <w:hyperlink w:anchor="__RefHeading___Toc217728540">
            <w:r>
              <w:rPr>
                <w:rStyle w:val="IndexLink"/>
              </w:rPr>
              <w:t>16</w:t>
            </w:r>
          </w:hyperlink>
        </w:p>
        <w:p>
          <w:pPr>
            <w:pStyle w:val="Contents1"/>
            <w:tabs>
              <w:tab w:val="clear" w:pos="9639"/>
              <w:tab w:val="right" w:pos="9638" w:leader="dot"/>
            </w:tabs>
            <w:bidi w:val="0"/>
            <w:jc w:val="start"/>
            <w:rPr/>
          </w:pPr>
          <w:r>
            <w:rPr/>
            <w:t>B.2 Low layer attribute (bearer capabilities)</w:t>
            <w:tab/>
          </w:r>
          <w:hyperlink w:anchor="__RefHeading___Toc217728541">
            <w:r>
              <w:rPr>
                <w:rStyle w:val="IndexLink"/>
              </w:rPr>
              <w:t>16</w:t>
            </w:r>
          </w:hyperlink>
        </w:p>
        <w:p>
          <w:pPr>
            <w:pStyle w:val="Contents1"/>
            <w:tabs>
              <w:tab w:val="clear" w:pos="9639"/>
              <w:tab w:val="right" w:pos="9638" w:leader="dot"/>
            </w:tabs>
            <w:bidi w:val="0"/>
            <w:jc w:val="start"/>
            <w:rPr/>
          </w:pPr>
          <w:r>
            <w:rPr/>
            <w:t>B.3 General attributes</w:t>
            <w:tab/>
          </w:r>
          <w:hyperlink w:anchor="__RefHeading___Toc217728542">
            <w:r>
              <w:rPr>
                <w:rStyle w:val="IndexLink"/>
              </w:rPr>
              <w:t>16</w:t>
            </w:r>
          </w:hyperlink>
        </w:p>
        <w:p>
          <w:pPr>
            <w:pStyle w:val="Contents8"/>
            <w:tabs>
              <w:tab w:val="clear" w:pos="9639"/>
              <w:tab w:val="right" w:pos="9638" w:leader="dot"/>
            </w:tabs>
            <w:bidi w:val="0"/>
            <w:jc w:val="start"/>
            <w:rPr/>
          </w:pPr>
          <w:r>
            <w:rPr/>
            <w:t>Annex C (normative): Definition of "busy" in a PLMN</w:t>
            <w:tab/>
          </w:r>
          <w:hyperlink w:anchor="__RefHeading___Toc217728543">
            <w:r>
              <w:rPr>
                <w:rStyle w:val="IndexLink"/>
              </w:rPr>
              <w:t>17</w:t>
            </w:r>
          </w:hyperlink>
        </w:p>
        <w:p>
          <w:pPr>
            <w:pStyle w:val="Contents1"/>
            <w:tabs>
              <w:tab w:val="clear" w:pos="9639"/>
              <w:tab w:val="right" w:pos="9638" w:leader="dot"/>
            </w:tabs>
            <w:bidi w:val="0"/>
            <w:jc w:val="start"/>
            <w:rPr/>
          </w:pPr>
          <w:r>
            <w:rPr/>
            <w:t>C.1 Scope</w:t>
            <w:tab/>
          </w:r>
          <w:hyperlink w:anchor="__RefHeading___Toc217728544">
            <w:r>
              <w:rPr>
                <w:rStyle w:val="IndexLink"/>
              </w:rPr>
              <w:t>17</w:t>
            </w:r>
          </w:hyperlink>
        </w:p>
        <w:p>
          <w:pPr>
            <w:pStyle w:val="Contents1"/>
            <w:tabs>
              <w:tab w:val="clear" w:pos="9639"/>
              <w:tab w:val="right" w:pos="9638" w:leader="dot"/>
            </w:tabs>
            <w:bidi w:val="0"/>
            <w:jc w:val="start"/>
            <w:rPr/>
          </w:pPr>
          <w:r>
            <w:rPr/>
            <w:t>C.2 Network Determined User Busy (NDUB) condition</w:t>
            <w:tab/>
          </w:r>
          <w:hyperlink w:anchor="__RefHeading___Toc217728545">
            <w:r>
              <w:rPr>
                <w:rStyle w:val="IndexLink"/>
              </w:rPr>
              <w:t>17</w:t>
            </w:r>
          </w:hyperlink>
        </w:p>
        <w:p>
          <w:pPr>
            <w:pStyle w:val="Contents1"/>
            <w:tabs>
              <w:tab w:val="clear" w:pos="9639"/>
              <w:tab w:val="right" w:pos="9638" w:leader="dot"/>
            </w:tabs>
            <w:bidi w:val="0"/>
            <w:jc w:val="start"/>
            <w:rPr/>
          </w:pPr>
          <w:r>
            <w:rPr/>
            <w:t>C.3 User Determined User Busy (UDUB) condition</w:t>
            <w:tab/>
          </w:r>
          <w:hyperlink w:anchor="__RefHeading___Toc217728546">
            <w:r>
              <w:rPr>
                <w:rStyle w:val="IndexLink"/>
              </w:rPr>
              <w:t>17</w:t>
            </w:r>
          </w:hyperlink>
        </w:p>
        <w:p>
          <w:pPr>
            <w:pStyle w:val="Contents1"/>
            <w:tabs>
              <w:tab w:val="clear" w:pos="9639"/>
              <w:tab w:val="right" w:pos="9638" w:leader="dot"/>
            </w:tabs>
            <w:bidi w:val="0"/>
            <w:jc w:val="start"/>
            <w:rPr/>
          </w:pPr>
          <w:r>
            <w:rPr/>
            <w:t>C.4 Mobile subscriber busy</w:t>
            <w:tab/>
          </w:r>
          <w:hyperlink w:anchor="__RefHeading___Toc217728547">
            <w:r>
              <w:rPr>
                <w:rStyle w:val="IndexLink"/>
              </w:rPr>
              <w:t>17</w:t>
            </w:r>
          </w:hyperlink>
        </w:p>
        <w:p>
          <w:pPr>
            <w:pStyle w:val="Contents8"/>
            <w:tabs>
              <w:tab w:val="clear" w:pos="9639"/>
              <w:tab w:val="right" w:pos="9638" w:leader="dot"/>
            </w:tabs>
            <w:bidi w:val="0"/>
            <w:jc w:val="start"/>
            <w:rPr/>
          </w:pPr>
          <w:r>
            <w:rPr/>
            <w:t>Annex D (normative): Call set-up procedures</w:t>
            <w:tab/>
          </w:r>
          <w:hyperlink w:anchor="__RefHeading___Toc217728548">
            <w:r>
              <w:rPr>
                <w:rStyle w:val="IndexLink"/>
              </w:rPr>
              <w:t>18</w:t>
            </w:r>
          </w:hyperlink>
        </w:p>
        <w:p>
          <w:pPr>
            <w:pStyle w:val="Contents1"/>
            <w:tabs>
              <w:tab w:val="clear" w:pos="9639"/>
              <w:tab w:val="right" w:pos="9638" w:leader="dot"/>
            </w:tabs>
            <w:bidi w:val="0"/>
            <w:jc w:val="start"/>
            <w:rPr/>
          </w:pPr>
          <w:r>
            <w:rPr/>
            <w:t>D.1 Scope</w:t>
            <w:tab/>
          </w:r>
          <w:hyperlink w:anchor="__RefHeading___Toc217728549">
            <w:r>
              <w:rPr>
                <w:rStyle w:val="IndexLink"/>
              </w:rPr>
              <w:t>18</w:t>
            </w:r>
          </w:hyperlink>
        </w:p>
        <w:p>
          <w:pPr>
            <w:pStyle w:val="Contents1"/>
            <w:tabs>
              <w:tab w:val="clear" w:pos="9639"/>
              <w:tab w:val="right" w:pos="9638" w:leader="dot"/>
            </w:tabs>
            <w:bidi w:val="0"/>
            <w:jc w:val="start"/>
            <w:rPr/>
          </w:pPr>
          <w:r>
            <w:rPr/>
            <w:t>D.2 Mobile Originated Call Set-up</w:t>
            <w:tab/>
          </w:r>
          <w:hyperlink w:anchor="__RefHeading___Toc217728550">
            <w:r>
              <w:rPr>
                <w:rStyle w:val="IndexLink"/>
              </w:rPr>
              <w:t>18</w:t>
            </w:r>
          </w:hyperlink>
        </w:p>
        <w:p>
          <w:pPr>
            <w:pStyle w:val="Contents2"/>
            <w:tabs>
              <w:tab w:val="clear" w:pos="9639"/>
              <w:tab w:val="right" w:pos="9638" w:leader="dot"/>
            </w:tabs>
            <w:bidi w:val="0"/>
            <w:jc w:val="start"/>
            <w:rPr/>
          </w:pPr>
          <w:r>
            <w:rPr/>
            <w:t>D.2.1 Called Party Address</w:t>
            <w:tab/>
          </w:r>
          <w:hyperlink w:anchor="__RefHeading___Toc217728551">
            <w:r>
              <w:rPr>
                <w:rStyle w:val="IndexLink"/>
              </w:rPr>
              <w:t>18</w:t>
            </w:r>
          </w:hyperlink>
        </w:p>
        <w:p>
          <w:pPr>
            <w:pStyle w:val="Contents2"/>
            <w:tabs>
              <w:tab w:val="clear" w:pos="9639"/>
              <w:tab w:val="right" w:pos="9638" w:leader="dot"/>
            </w:tabs>
            <w:bidi w:val="0"/>
            <w:jc w:val="start"/>
            <w:rPr/>
          </w:pPr>
          <w:r>
            <w:rPr/>
            <w:t>D.2.2 Calling/Called Party Sub-address</w:t>
            <w:tab/>
          </w:r>
          <w:hyperlink w:anchor="__RefHeading___Toc217728552">
            <w:r>
              <w:rPr>
                <w:rStyle w:val="IndexLink"/>
              </w:rPr>
              <w:t>18</w:t>
            </w:r>
          </w:hyperlink>
        </w:p>
        <w:p>
          <w:pPr>
            <w:pStyle w:val="Contents2"/>
            <w:tabs>
              <w:tab w:val="clear" w:pos="9639"/>
              <w:tab w:val="right" w:pos="9638" w:leader="dot"/>
            </w:tabs>
            <w:bidi w:val="0"/>
            <w:jc w:val="start"/>
            <w:rPr/>
          </w:pPr>
          <w:r>
            <w:rPr/>
            <w:t>D.2.3 Type of Number</w:t>
            <w:tab/>
          </w:r>
          <w:hyperlink w:anchor="__RefHeading___Toc217728553">
            <w:r>
              <w:rPr>
                <w:rStyle w:val="IndexLink"/>
              </w:rPr>
              <w:t>18</w:t>
            </w:r>
          </w:hyperlink>
        </w:p>
        <w:p>
          <w:pPr>
            <w:pStyle w:val="Contents2"/>
            <w:tabs>
              <w:tab w:val="clear" w:pos="9639"/>
              <w:tab w:val="right" w:pos="9638" w:leader="dot"/>
            </w:tabs>
            <w:bidi w:val="0"/>
            <w:jc w:val="start"/>
            <w:rPr/>
          </w:pPr>
          <w:r>
            <w:rPr/>
            <w:t>D.2.4 Number Plan Indicator</w:t>
            <w:tab/>
          </w:r>
          <w:hyperlink w:anchor="__RefHeading___Toc217728554">
            <w:r>
              <w:rPr>
                <w:rStyle w:val="IndexLink"/>
              </w:rPr>
              <w:t>18</w:t>
            </w:r>
          </w:hyperlink>
        </w:p>
        <w:p>
          <w:pPr>
            <w:pStyle w:val="Contents2"/>
            <w:tabs>
              <w:tab w:val="clear" w:pos="9639"/>
              <w:tab w:val="right" w:pos="9638" w:leader="dot"/>
            </w:tabs>
            <w:bidi w:val="0"/>
            <w:jc w:val="start"/>
            <w:rPr/>
          </w:pPr>
          <w:r>
            <w:rPr/>
            <w:t>D.2.5 Bearer Capability</w:t>
            <w:tab/>
          </w:r>
          <w:hyperlink w:anchor="__RefHeading___Toc217728555">
            <w:r>
              <w:rPr>
                <w:rStyle w:val="IndexLink"/>
              </w:rPr>
              <w:t>19</w:t>
            </w:r>
          </w:hyperlink>
        </w:p>
        <w:p>
          <w:pPr>
            <w:pStyle w:val="Contents2"/>
            <w:tabs>
              <w:tab w:val="clear" w:pos="9639"/>
              <w:tab w:val="right" w:pos="9638" w:leader="dot"/>
            </w:tabs>
            <w:bidi w:val="0"/>
            <w:jc w:val="start"/>
            <w:rPr/>
          </w:pPr>
          <w:r>
            <w:rPr/>
            <w:t>D.2.6 Calling Line Indication Restriction Override</w:t>
            <w:tab/>
          </w:r>
          <w:hyperlink w:anchor="__RefHeading___Toc217728556">
            <w:r>
              <w:rPr>
                <w:rStyle w:val="IndexLink"/>
              </w:rPr>
              <w:t>19</w:t>
            </w:r>
          </w:hyperlink>
        </w:p>
        <w:p>
          <w:pPr>
            <w:pStyle w:val="Contents2"/>
            <w:tabs>
              <w:tab w:val="clear" w:pos="9639"/>
              <w:tab w:val="right" w:pos="9638" w:leader="dot"/>
            </w:tabs>
            <w:bidi w:val="0"/>
            <w:jc w:val="start"/>
            <w:rPr/>
          </w:pPr>
          <w:r>
            <w:rPr/>
            <w:t>D.2.7 Action of the Network on Call Set-up</w:t>
            <w:tab/>
          </w:r>
          <w:hyperlink w:anchor="__RefHeading___Toc217728557">
            <w:r>
              <w:rPr>
                <w:rStyle w:val="IndexLink"/>
              </w:rPr>
              <w:t>19</w:t>
            </w:r>
          </w:hyperlink>
        </w:p>
        <w:p>
          <w:pPr>
            <w:pStyle w:val="Contents1"/>
            <w:tabs>
              <w:tab w:val="clear" w:pos="9639"/>
              <w:tab w:val="right" w:pos="9638" w:leader="dot"/>
            </w:tabs>
            <w:bidi w:val="0"/>
            <w:jc w:val="start"/>
            <w:rPr/>
          </w:pPr>
          <w:r>
            <w:rPr/>
            <w:t>D.3 Mobile Terminated Call Set-up</w:t>
            <w:tab/>
          </w:r>
          <w:hyperlink w:anchor="__RefHeading___Toc217728558">
            <w:r>
              <w:rPr>
                <w:rStyle w:val="IndexLink"/>
              </w:rPr>
              <w:t>19</w:t>
            </w:r>
          </w:hyperlink>
        </w:p>
        <w:p>
          <w:pPr>
            <w:pStyle w:val="Contents2"/>
            <w:tabs>
              <w:tab w:val="clear" w:pos="9639"/>
              <w:tab w:val="right" w:pos="9638" w:leader="dot"/>
            </w:tabs>
            <w:bidi w:val="0"/>
            <w:jc w:val="start"/>
            <w:rPr/>
          </w:pPr>
          <w:r>
            <w:rPr/>
            <w:t>D.3.1 Bearer Type</w:t>
            <w:tab/>
          </w:r>
          <w:hyperlink w:anchor="__RefHeading___Toc217728559">
            <w:r>
              <w:rPr>
                <w:rStyle w:val="IndexLink"/>
              </w:rPr>
              <w:t>20</w:t>
            </w:r>
          </w:hyperlink>
        </w:p>
        <w:p>
          <w:pPr>
            <w:pStyle w:val="Contents2"/>
            <w:tabs>
              <w:tab w:val="clear" w:pos="9639"/>
              <w:tab w:val="right" w:pos="9638" w:leader="dot"/>
            </w:tabs>
            <w:bidi w:val="0"/>
            <w:jc w:val="start"/>
            <w:rPr/>
          </w:pPr>
          <w:r>
            <w:rPr/>
            <w:t>D.3.2 Response of the UE</w:t>
            <w:tab/>
          </w:r>
          <w:hyperlink w:anchor="__RefHeading___Toc217728560">
            <w:r>
              <w:rPr>
                <w:rStyle w:val="IndexLink"/>
              </w:rPr>
              <w:t>20</w:t>
            </w:r>
          </w:hyperlink>
        </w:p>
        <w:p>
          <w:pPr>
            <w:pStyle w:val="Contents2"/>
            <w:tabs>
              <w:tab w:val="clear" w:pos="9639"/>
              <w:tab w:val="right" w:pos="9638" w:leader="dot"/>
            </w:tabs>
            <w:bidi w:val="0"/>
            <w:jc w:val="start"/>
            <w:rPr/>
          </w:pPr>
          <w:r>
            <w:rPr/>
            <w:t>D.3.3 Description of Call Re-establishment</w:t>
            <w:tab/>
          </w:r>
          <w:hyperlink w:anchor="__RefHeading___Toc217728561">
            <w:r>
              <w:rPr>
                <w:rStyle w:val="IndexLink"/>
              </w:rPr>
              <w:t>20</w:t>
            </w:r>
          </w:hyperlink>
        </w:p>
        <w:p>
          <w:pPr>
            <w:pStyle w:val="Contents8"/>
            <w:tabs>
              <w:tab w:val="clear" w:pos="9639"/>
              <w:tab w:val="right" w:pos="9638" w:leader="dot"/>
            </w:tabs>
            <w:bidi w:val="0"/>
            <w:jc w:val="start"/>
            <w:rPr/>
          </w:pPr>
          <w:r>
            <w:rPr/>
            <w:t>Annex E (normative): Automatic calling repeat call attempt restrictions</w:t>
            <w:tab/>
          </w:r>
          <w:hyperlink w:anchor="__RefHeading___Toc217728562">
            <w:r>
              <w:rPr>
                <w:rStyle w:val="IndexLink"/>
              </w:rPr>
              <w:t>21</w:t>
            </w:r>
          </w:hyperlink>
        </w:p>
        <w:p>
          <w:pPr>
            <w:pStyle w:val="Contents8"/>
            <w:tabs>
              <w:tab w:val="clear" w:pos="9639"/>
              <w:tab w:val="right" w:pos="9638" w:leader="dot"/>
            </w:tabs>
            <w:bidi w:val="0"/>
            <w:jc w:val="start"/>
            <w:rPr/>
          </w:pPr>
          <w:r>
            <w:rPr/>
            <w:t>Annex F(informative): Procedures for call progress indications</w:t>
            <w:tab/>
          </w:r>
          <w:hyperlink w:anchor="__RefHeading___Toc88_3899700106">
            <w:r>
              <w:rPr>
                <w:rStyle w:val="IndexLink"/>
              </w:rPr>
              <w:t>23</w:t>
            </w:r>
          </w:hyperlink>
        </w:p>
        <w:p>
          <w:pPr>
            <w:pStyle w:val="Contents1"/>
            <w:tabs>
              <w:tab w:val="clear" w:pos="9639"/>
              <w:tab w:val="right" w:pos="9638" w:leader="dot"/>
            </w:tabs>
            <w:bidi w:val="0"/>
            <w:jc w:val="start"/>
            <w:rPr/>
          </w:pPr>
          <w:r>
            <w:rPr/>
            <w:t>F.1 General</w:t>
            <w:tab/>
          </w:r>
          <w:hyperlink w:anchor="__RefHeading___Toc217728564">
            <w:r>
              <w:rPr>
                <w:rStyle w:val="IndexLink"/>
              </w:rPr>
              <w:t>23</w:t>
            </w:r>
          </w:hyperlink>
        </w:p>
        <w:p>
          <w:pPr>
            <w:pStyle w:val="Contents1"/>
            <w:tabs>
              <w:tab w:val="clear" w:pos="9639"/>
              <w:tab w:val="right" w:pos="9638" w:leader="dot"/>
            </w:tabs>
            <w:bidi w:val="0"/>
            <w:jc w:val="start"/>
            <w:rPr/>
          </w:pPr>
          <w:r>
            <w:rPr/>
            <w:t>F.2 Supervisory tones</w:t>
            <w:tab/>
          </w:r>
          <w:hyperlink w:anchor="__RefHeading___Toc217728565">
            <w:r>
              <w:rPr>
                <w:rStyle w:val="IndexLink"/>
              </w:rPr>
              <w:t>23</w:t>
            </w:r>
          </w:hyperlink>
        </w:p>
        <w:p>
          <w:pPr>
            <w:pStyle w:val="Contents2"/>
            <w:tabs>
              <w:tab w:val="clear" w:pos="9639"/>
              <w:tab w:val="right" w:pos="9638" w:leader="dot"/>
            </w:tabs>
            <w:bidi w:val="0"/>
            <w:jc w:val="start"/>
            <w:rPr/>
          </w:pPr>
          <w:r>
            <w:rPr/>
            <w:t>F.2.1 General</w:t>
            <w:tab/>
          </w:r>
          <w:hyperlink w:anchor="__RefHeading___Toc217728566">
            <w:r>
              <w:rPr>
                <w:rStyle w:val="IndexLink"/>
              </w:rPr>
              <w:t>23</w:t>
            </w:r>
          </w:hyperlink>
        </w:p>
        <w:p>
          <w:pPr>
            <w:pStyle w:val="Contents2"/>
            <w:tabs>
              <w:tab w:val="clear" w:pos="9639"/>
              <w:tab w:val="right" w:pos="9638" w:leader="dot"/>
            </w:tabs>
            <w:bidi w:val="0"/>
            <w:jc w:val="start"/>
            <w:rPr/>
          </w:pPr>
          <w:r>
            <w:rPr/>
            <w:t>F.2.2 Method</w:t>
            <w:tab/>
          </w:r>
          <w:hyperlink w:anchor="__RefHeading___Toc217728567">
            <w:r>
              <w:rPr>
                <w:rStyle w:val="IndexLink"/>
              </w:rPr>
              <w:t>23</w:t>
            </w:r>
          </w:hyperlink>
        </w:p>
        <w:p>
          <w:pPr>
            <w:pStyle w:val="Contents2"/>
            <w:tabs>
              <w:tab w:val="clear" w:pos="9639"/>
              <w:tab w:val="right" w:pos="9638" w:leader="dot"/>
            </w:tabs>
            <w:bidi w:val="0"/>
            <w:jc w:val="start"/>
            <w:rPr/>
          </w:pPr>
          <w:r>
            <w:rPr/>
            <w:t>F.2.3 Standard tones</w:t>
            <w:tab/>
          </w:r>
          <w:hyperlink w:anchor="__RefHeading___Toc217728568">
            <w:r>
              <w:rPr>
                <w:rStyle w:val="IndexLink"/>
              </w:rPr>
              <w:t>23</w:t>
            </w:r>
          </w:hyperlink>
        </w:p>
        <w:p>
          <w:pPr>
            <w:pStyle w:val="Contents2"/>
            <w:tabs>
              <w:tab w:val="clear" w:pos="9639"/>
              <w:tab w:val="right" w:pos="9638" w:leader="dot"/>
            </w:tabs>
            <w:bidi w:val="0"/>
            <w:jc w:val="start"/>
            <w:rPr/>
          </w:pPr>
          <w:r>
            <w:rPr/>
            <w:t>F.2.4 Applicability</w:t>
            <w:tab/>
          </w:r>
          <w:hyperlink w:anchor="__RefHeading___Toc217728569">
            <w:r>
              <w:rPr>
                <w:rStyle w:val="IndexLink"/>
              </w:rPr>
              <w:t>24</w:t>
            </w:r>
          </w:hyperlink>
        </w:p>
        <w:p>
          <w:pPr>
            <w:pStyle w:val="Contents2"/>
            <w:tabs>
              <w:tab w:val="clear" w:pos="9639"/>
              <w:tab w:val="right" w:pos="9638" w:leader="dot"/>
            </w:tabs>
            <w:bidi w:val="0"/>
            <w:jc w:val="start"/>
            <w:rPr/>
          </w:pPr>
          <w:r>
            <w:rPr/>
            <w:t>F.2.5 Comfort tones</w:t>
            <w:tab/>
          </w:r>
          <w:hyperlink w:anchor="__RefHeading___Toc217728570">
            <w:r>
              <w:rPr>
                <w:rStyle w:val="IndexLink"/>
              </w:rPr>
              <w:t>24</w:t>
            </w:r>
          </w:hyperlink>
        </w:p>
        <w:p>
          <w:pPr>
            <w:pStyle w:val="Contents1"/>
            <w:tabs>
              <w:tab w:val="clear" w:pos="9639"/>
              <w:tab w:val="right" w:pos="9638" w:leader="dot"/>
            </w:tabs>
            <w:bidi w:val="0"/>
            <w:jc w:val="start"/>
            <w:rPr/>
          </w:pPr>
          <w:r>
            <w:rPr/>
            <w:t>F.3 Recorded announcements</w:t>
            <w:tab/>
          </w:r>
          <w:hyperlink w:anchor="__RefHeading___Toc217728571">
            <w:r>
              <w:rPr>
                <w:rStyle w:val="IndexLink"/>
              </w:rPr>
              <w:t>25</w:t>
            </w:r>
          </w:hyperlink>
        </w:p>
        <w:p>
          <w:pPr>
            <w:pStyle w:val="Contents1"/>
            <w:tabs>
              <w:tab w:val="clear" w:pos="9639"/>
              <w:tab w:val="right" w:pos="9638" w:leader="dot"/>
            </w:tabs>
            <w:bidi w:val="0"/>
            <w:jc w:val="start"/>
            <w:rPr/>
          </w:pPr>
          <w:r>
            <w:rPr/>
            <w:t>F.4 Application of call control cause information elements to supervisory tones</w:t>
            <w:tab/>
          </w:r>
          <w:hyperlink w:anchor="__RefHeading___Toc217728572">
            <w:r>
              <w:rPr>
                <w:rStyle w:val="IndexLink"/>
              </w:rPr>
              <w:t>26</w:t>
            </w:r>
          </w:hyperlink>
        </w:p>
        <w:p>
          <w:pPr>
            <w:pStyle w:val="Contents8"/>
            <w:tabs>
              <w:tab w:val="clear" w:pos="9639"/>
              <w:tab w:val="right" w:pos="9638" w:leader="dot"/>
            </w:tabs>
            <w:bidi w:val="0"/>
            <w:jc w:val="start"/>
            <w:rPr/>
          </w:pPr>
          <w:r>
            <w:rPr/>
            <w:t>Annex G (informative): Change history</w:t>
            <w:tab/>
          </w:r>
          <w:hyperlink w:anchor="__RefHeading___Toc217728573">
            <w:r>
              <w:rPr>
                <w:rStyle w:val="IndexLink"/>
              </w:rPr>
              <w:t>27</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28495"/>
      <w:bookmarkEnd w:id="5"/>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telecommunication services supported by a GSM PLMN within the digital cellular telecommunications system (Phase 2+).</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217728496"/>
      <w:bookmarkEnd w:id="6"/>
      <w:r>
        <w:rPr/>
        <w:t>0</w:t>
        <w:tab/>
        <w:t>Scope</w:t>
      </w:r>
    </w:p>
    <w:p>
      <w:pPr>
        <w:pStyle w:val="Normal"/>
        <w:rPr/>
      </w:pPr>
      <w:r>
        <w:rPr/>
        <w:t>The present document covers the definition of the circuit telecommunication services supported by a  PLMN. The purpose of the present document is to provide a method for the characterization and the description of these telecommunication services.</w:t>
      </w:r>
    </w:p>
    <w:p>
      <w:pPr>
        <w:pStyle w:val="Normal"/>
        <w:rPr/>
      </w:pPr>
      <w:r>
        <w:rPr/>
        <w:t>TS 22.101 describes overall service principles of a PLMN.</w:t>
      </w:r>
    </w:p>
    <w:p>
      <w:pPr>
        <w:pStyle w:val="Heading2"/>
        <w:bidi w:val="0"/>
        <w:jc w:val="start"/>
        <w:rPr/>
      </w:pPr>
      <w:bookmarkStart w:id="7" w:name="__RefHeading___Toc217728497"/>
      <w:bookmarkEnd w:id="7"/>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ITU-T Recommendation I.221: "Common specific characteristics of services".</w:t>
      </w:r>
    </w:p>
    <w:p>
      <w:pPr>
        <w:pStyle w:val="EX"/>
        <w:rPr/>
      </w:pPr>
      <w:r>
        <w:rPr/>
        <w:t>[3]</w:t>
        <w:tab/>
        <w:t>ITU-T Recommendation X.200: "Information technology - Open Systems Interconnection - Basic reference model: The basic model".</w:t>
      </w:r>
    </w:p>
    <w:p>
      <w:pPr>
        <w:pStyle w:val="EX"/>
        <w:rPr>
          <w:lang w:val="en-US"/>
        </w:rPr>
      </w:pPr>
      <w:r>
        <w:rPr>
          <w:lang w:val="en-US"/>
        </w:rPr>
        <w:t>[4]</w:t>
        <w:tab/>
        <w:t>3GPP TS 22.101: "Service Principles".</w:t>
      </w:r>
    </w:p>
    <w:p>
      <w:pPr>
        <w:pStyle w:val="EX"/>
        <w:rPr/>
      </w:pPr>
      <w:r>
        <w:rPr/>
        <w:t>[5]</w:t>
        <w:tab/>
        <w:t>3GPP TS 22.002: "Bearer services supported by a PLMN".</w:t>
      </w:r>
    </w:p>
    <w:p>
      <w:pPr>
        <w:pStyle w:val="EX"/>
        <w:rPr/>
      </w:pPr>
      <w:r>
        <w:rPr/>
        <w:t>[6]</w:t>
        <w:tab/>
        <w:t>3GPP TS 22.003: "Teleservices supported by a PLMN".</w:t>
      </w:r>
    </w:p>
    <w:p>
      <w:pPr>
        <w:pStyle w:val="EX"/>
        <w:rPr/>
      </w:pPr>
      <w:r>
        <w:rPr/>
        <w:t>[7]</w:t>
        <w:tab/>
        <w:t>3GPP TS 22.004: "General on Supplementary Services".</w:t>
      </w:r>
    </w:p>
    <w:p>
      <w:pPr>
        <w:pStyle w:val="EX"/>
        <w:rPr/>
      </w:pPr>
      <w:r>
        <w:rPr/>
        <w:t>[8]</w:t>
        <w:tab/>
        <w:t>3GPP TS 27.001: "General on Terminal Adaptation Functions (TAF) for Mobile Stations (MS)".</w:t>
      </w:r>
    </w:p>
    <w:p>
      <w:pPr>
        <w:pStyle w:val="EX"/>
        <w:rPr/>
      </w:pPr>
      <w:r>
        <w:rPr/>
        <w:t>[9]</w:t>
        <w:tab/>
        <w:t>3GPP TS 22.030: "Man-Machine Interface (MMI) of the User equipment (MS)".</w:t>
      </w:r>
    </w:p>
    <w:p>
      <w:pPr>
        <w:pStyle w:val="EX"/>
        <w:rPr/>
      </w:pPr>
      <w:r>
        <w:rPr/>
        <w:t>[10]</w:t>
        <w:tab/>
        <w:t>3GPP TS 22.081: "Line Identification Supplementary Servicess; Stage 1".</w:t>
      </w:r>
    </w:p>
    <w:p>
      <w:pPr>
        <w:pStyle w:val="EX"/>
        <w:rPr/>
      </w:pPr>
      <w:r>
        <w:rPr/>
        <w:t>[11]</w:t>
        <w:tab/>
        <w:t>3GPP TS 22.135: "Multicall; Stage 1".</w:t>
      </w:r>
    </w:p>
    <w:p>
      <w:pPr>
        <w:pStyle w:val="EX"/>
        <w:rPr/>
      </w:pPr>
      <w:r>
        <w:rPr/>
        <w:t>[12]</w:t>
        <w:tab/>
        <w:t>3GPP TS 24.008: " Mobile radio interface layer 3 specification".</w:t>
      </w:r>
    </w:p>
    <w:p>
      <w:pPr>
        <w:pStyle w:val="EX"/>
        <w:rPr/>
      </w:pPr>
      <w:r>
        <w:rPr/>
        <w:t>[13]</w:t>
        <w:tab/>
        <w:t>3GPP TS 22.011: "Service accessibility".</w:t>
      </w:r>
    </w:p>
    <w:p>
      <w:pPr>
        <w:pStyle w:val="EX"/>
        <w:rPr/>
      </w:pPr>
      <w:r>
        <w:rPr/>
        <w:t>[14]</w:t>
        <w:tab/>
        <w:t>3GPP TS 23.003: "Numbering, addressing and identification".</w:t>
      </w:r>
    </w:p>
    <w:p>
      <w:pPr>
        <w:pStyle w:val="EX"/>
        <w:rPr/>
      </w:pPr>
      <w:r>
        <w:rPr/>
      </w:r>
    </w:p>
    <w:p>
      <w:pPr>
        <w:pStyle w:val="Heading2"/>
        <w:bidi w:val="0"/>
        <w:jc w:val="start"/>
        <w:rPr/>
      </w:pPr>
      <w:bookmarkStart w:id="8" w:name="__RefHeading___Toc217728498"/>
      <w:bookmarkEnd w:id="8"/>
      <w:r>
        <w:rPr/>
        <w:t>0.2</w:t>
        <w:tab/>
        <w:t>Abbreviations</w:t>
      </w:r>
    </w:p>
    <w:p>
      <w:pPr>
        <w:pStyle w:val="Normal"/>
        <w:rPr/>
      </w:pPr>
      <w:r>
        <w:rPr/>
        <w:t>Abbreviations used in the present document are listed in 3GPP TR 21.905 [1].</w:t>
      </w:r>
    </w:p>
    <w:p>
      <w:pPr>
        <w:pStyle w:val="Heading1"/>
        <w:bidi w:val="0"/>
        <w:ind w:start="1134" w:hanging="1134"/>
        <w:jc w:val="start"/>
        <w:rPr/>
      </w:pPr>
      <w:bookmarkStart w:id="9" w:name="__RefHeading___Toc217728499"/>
      <w:bookmarkEnd w:id="9"/>
      <w:r>
        <w:rPr/>
        <w:t>1</w:t>
        <w:tab/>
        <w:t>Framework for the description of telecommunication services</w:t>
      </w:r>
    </w:p>
    <w:p>
      <w:pPr>
        <w:pStyle w:val="Heading2"/>
        <w:bidi w:val="0"/>
        <w:jc w:val="start"/>
        <w:rPr/>
      </w:pPr>
      <w:bookmarkStart w:id="10" w:name="__RefHeading___Toc217728500"/>
      <w:bookmarkEnd w:id="10"/>
      <w:r>
        <w:rPr/>
        <w:t>1.1</w:t>
        <w:tab/>
        <w:t>The attribute method of characterization of circuit telecommunication services</w:t>
      </w:r>
    </w:p>
    <w:p>
      <w:pPr>
        <w:pStyle w:val="Normal"/>
        <w:rPr/>
      </w:pPr>
      <w:r>
        <w:rPr/>
        <w:t>This characterization is made by using a set of attributes. A telecommunication service attribute is a specific characteristic of that service whole values distinguish it from other telecommunication services. Particular values are assigned to each attribute when a given telecommunication service is described and defined.</w:t>
      </w:r>
    </w:p>
    <w:p>
      <w:pPr>
        <w:pStyle w:val="Normal"/>
        <w:rPr/>
      </w:pPr>
      <w:r>
        <w:rPr/>
        <w:t>A list of definitions of attributes and values used for bearer services and teleservices is contained in, respectively, annex A and annex B.</w:t>
      </w:r>
    </w:p>
    <w:p>
      <w:pPr>
        <w:pStyle w:val="Heading1"/>
        <w:bidi w:val="0"/>
        <w:ind w:start="1134" w:hanging="1134"/>
        <w:jc w:val="start"/>
        <w:rPr/>
      </w:pPr>
      <w:bookmarkStart w:id="11" w:name="__RefHeading___Toc217728501"/>
      <w:bookmarkEnd w:id="11"/>
      <w:r>
        <w:rPr/>
        <w:t>2</w:t>
        <w:tab/>
        <w:t>Description of circuit telecommunication services by the attribute method</w:t>
      </w:r>
    </w:p>
    <w:p>
      <w:pPr>
        <w:pStyle w:val="Heading2"/>
        <w:bidi w:val="0"/>
        <w:jc w:val="start"/>
        <w:rPr/>
      </w:pPr>
      <w:bookmarkStart w:id="12" w:name="__RefHeading___Toc217728502"/>
      <w:bookmarkEnd w:id="12"/>
      <w:r>
        <w:rPr/>
        <w:t>2.1</w:t>
        <w:tab/>
        <w:t>General</w:t>
      </w:r>
    </w:p>
    <w:p>
      <w:pPr>
        <w:pStyle w:val="Normal"/>
        <w:rPr/>
      </w:pPr>
      <w:r>
        <w:rPr/>
        <w:t>Telecommunication services are described by attributes which define service characteristics as they apply at a given reference point where the customer accesses the service. The description of a telecommunication service by the method of attributes is composed of:</w:t>
      </w:r>
    </w:p>
    <w:p>
      <w:pPr>
        <w:pStyle w:val="B1"/>
        <w:rPr/>
      </w:pPr>
      <w:r>
        <w:rPr/>
        <w:t>-</w:t>
        <w:tab/>
        <w:t>technical attributes as seen by the customer; and</w:t>
      </w:r>
    </w:p>
    <w:p>
      <w:pPr>
        <w:pStyle w:val="B1"/>
        <w:rPr/>
      </w:pPr>
      <w:r>
        <w:rPr/>
        <w:t>-</w:t>
        <w:tab/>
        <w:t>other attributes associated with the service provision, e.g. operational and commercial attributes.</w:t>
      </w:r>
    </w:p>
    <w:p>
      <w:pPr>
        <w:pStyle w:val="Heading2"/>
        <w:bidi w:val="0"/>
        <w:jc w:val="start"/>
        <w:rPr/>
      </w:pPr>
      <w:bookmarkStart w:id="13" w:name="__RefHeading___Toc217728503"/>
      <w:bookmarkEnd w:id="13"/>
      <w:r>
        <w:rPr/>
        <w:t>2.2</w:t>
        <w:tab/>
        <w:t>Categorisation of telecommunication services</w:t>
      </w:r>
    </w:p>
    <w:p>
      <w:pPr>
        <w:pStyle w:val="Normal"/>
        <w:rPr/>
      </w:pPr>
      <w:r>
        <w:rPr/>
        <w:t>The concepts introduced in the present document are illustrated in table1.</w:t>
      </w:r>
    </w:p>
    <w:p>
      <w:pPr>
        <w:pStyle w:val="TH"/>
        <w:rPr/>
      </w:pPr>
      <w:r>
        <w:rPr/>
        <w:t>Table 1: Categorisation of telecommunication services</w:t>
      </w:r>
    </w:p>
    <w:tbl>
      <w:tblPr>
        <w:tblW w:w="9245" w:type="dxa"/>
        <w:jc w:val="start"/>
        <w:tblInd w:w="234" w:type="dxa"/>
        <w:tblCellMar>
          <w:top w:w="0" w:type="dxa"/>
          <w:start w:w="108" w:type="dxa"/>
          <w:bottom w:w="0" w:type="dxa"/>
          <w:end w:w="108" w:type="dxa"/>
        </w:tblCellMar>
      </w:tblPr>
      <w:tblGrid>
        <w:gridCol w:w="2330"/>
        <w:gridCol w:w="2330"/>
        <w:gridCol w:w="2330"/>
        <w:gridCol w:w="2255"/>
      </w:tblGrid>
      <w:tr>
        <w:trPr>
          <w:trHeight w:val="280" w:hRule="atLeast"/>
        </w:trPr>
        <w:tc>
          <w:tcPr>
            <w:tcW w:w="9245" w:type="dxa"/>
            <w:gridSpan w:val="4"/>
            <w:tcBorders>
              <w:top w:val="single" w:sz="12" w:space="0" w:color="000000"/>
              <w:start w:val="single" w:sz="12" w:space="0" w:color="000000"/>
              <w:bottom w:val="single" w:sz="6" w:space="0" w:color="000000"/>
              <w:end w:val="single" w:sz="12" w:space="0" w:color="000000"/>
            </w:tcBorders>
          </w:tcPr>
          <w:p>
            <w:pPr>
              <w:pStyle w:val="TAH"/>
              <w:rPr/>
            </w:pPr>
            <w:r>
              <w:rPr/>
              <w:t>TELECOMMUNICATION SERVICES</w:t>
            </w:r>
          </w:p>
        </w:tc>
      </w:tr>
      <w:tr>
        <w:trPr>
          <w:trHeight w:val="280" w:hRule="atLeast"/>
        </w:trPr>
        <w:tc>
          <w:tcPr>
            <w:tcW w:w="4660" w:type="dxa"/>
            <w:gridSpan w:val="2"/>
            <w:tcBorders>
              <w:top w:val="single" w:sz="6" w:space="0" w:color="000000"/>
              <w:start w:val="single" w:sz="12" w:space="0" w:color="000000"/>
              <w:bottom w:val="single" w:sz="6" w:space="0" w:color="000000"/>
            </w:tcBorders>
          </w:tcPr>
          <w:p>
            <w:pPr>
              <w:pStyle w:val="TAH"/>
              <w:rPr/>
            </w:pPr>
            <w:r>
              <w:rPr/>
              <w:t>BEARER SERVICE</w:t>
            </w:r>
          </w:p>
        </w:tc>
        <w:tc>
          <w:tcPr>
            <w:tcW w:w="4585" w:type="dxa"/>
            <w:gridSpan w:val="2"/>
            <w:tcBorders>
              <w:top w:val="single" w:sz="6" w:space="0" w:color="000000"/>
              <w:start w:val="single" w:sz="6" w:space="0" w:color="000000"/>
              <w:bottom w:val="single" w:sz="6" w:space="0" w:color="000000"/>
              <w:end w:val="single" w:sz="12" w:space="0" w:color="000000"/>
            </w:tcBorders>
          </w:tcPr>
          <w:p>
            <w:pPr>
              <w:pStyle w:val="TAH"/>
              <w:rPr/>
            </w:pPr>
            <w:r>
              <w:rPr/>
              <w:t>TELESERVICE</w:t>
            </w:r>
          </w:p>
        </w:tc>
      </w:tr>
      <w:tr>
        <w:trPr>
          <w:trHeight w:val="280" w:hRule="atLeast"/>
        </w:trPr>
        <w:tc>
          <w:tcPr>
            <w:tcW w:w="2330" w:type="dxa"/>
            <w:tcBorders>
              <w:top w:val="single" w:sz="6" w:space="0" w:color="000000"/>
              <w:start w:val="single" w:sz="12" w:space="0" w:color="000000"/>
              <w:bottom w:val="single" w:sz="12" w:space="0" w:color="000000"/>
            </w:tcBorders>
          </w:tcPr>
          <w:p>
            <w:pPr>
              <w:pStyle w:val="TAL"/>
              <w:rPr/>
            </w:pPr>
            <w:r>
              <w:rPr/>
              <w:t xml:space="preserve">Basic </w:t>
              <w:br/>
              <w:t xml:space="preserve">Bearer </w:t>
              <w:br/>
              <w:t>Service</w:t>
            </w:r>
          </w:p>
        </w:tc>
        <w:tc>
          <w:tcPr>
            <w:tcW w:w="2330" w:type="dxa"/>
            <w:tcBorders>
              <w:top w:val="single" w:sz="6" w:space="0" w:color="000000"/>
              <w:start w:val="single" w:sz="6" w:space="0" w:color="000000"/>
              <w:bottom w:val="single" w:sz="12" w:space="0" w:color="000000"/>
            </w:tcBorders>
          </w:tcPr>
          <w:p>
            <w:pPr>
              <w:pStyle w:val="TAL"/>
              <w:rPr/>
            </w:pPr>
            <w:r>
              <w:rPr/>
              <w:t>Basic Bearer service + supplementary services</w:t>
            </w:r>
          </w:p>
        </w:tc>
        <w:tc>
          <w:tcPr>
            <w:tcW w:w="2330" w:type="dxa"/>
            <w:tcBorders>
              <w:top w:val="single" w:sz="6" w:space="0" w:color="000000"/>
              <w:start w:val="single" w:sz="6" w:space="0" w:color="000000"/>
              <w:bottom w:val="single" w:sz="12" w:space="0" w:color="000000"/>
            </w:tcBorders>
          </w:tcPr>
          <w:p>
            <w:pPr>
              <w:pStyle w:val="TAL"/>
              <w:rPr/>
            </w:pPr>
            <w:r>
              <w:rPr/>
              <w:t>Basic Teleservice</w:t>
            </w:r>
          </w:p>
        </w:tc>
        <w:tc>
          <w:tcPr>
            <w:tcW w:w="2255" w:type="dxa"/>
            <w:tcBorders>
              <w:top w:val="single" w:sz="6" w:space="0" w:color="000000"/>
              <w:start w:val="single" w:sz="6" w:space="0" w:color="000000"/>
              <w:bottom w:val="single" w:sz="12" w:space="0" w:color="000000"/>
              <w:end w:val="single" w:sz="12" w:space="0" w:color="000000"/>
            </w:tcBorders>
          </w:tcPr>
          <w:p>
            <w:pPr>
              <w:pStyle w:val="TAL"/>
              <w:rPr/>
            </w:pPr>
            <w:r>
              <w:rPr/>
              <w:t>Basic Teleservice + supplementary service</w:t>
            </w:r>
          </w:p>
        </w:tc>
      </w:tr>
    </w:tbl>
    <w:p>
      <w:pPr>
        <w:pStyle w:val="Normal"/>
        <w:rPr/>
      </w:pPr>
      <w:r>
        <w:rPr/>
      </w:r>
    </w:p>
    <w:p>
      <w:pPr>
        <w:pStyle w:val="Heading1"/>
        <w:bidi w:val="0"/>
        <w:ind w:start="1134" w:hanging="1134"/>
        <w:jc w:val="start"/>
        <w:rPr/>
      </w:pPr>
      <w:bookmarkStart w:id="14" w:name="__RefHeading___Toc217728504"/>
      <w:bookmarkEnd w:id="14"/>
      <w:r>
        <w:rPr/>
        <w:t>3</w:t>
        <w:tab/>
        <w:t>Characterization of circuit telecommunication services</w:t>
      </w:r>
    </w:p>
    <w:p>
      <w:pPr>
        <w:pStyle w:val="Heading2"/>
        <w:bidi w:val="0"/>
        <w:jc w:val="start"/>
        <w:rPr/>
      </w:pPr>
      <w:bookmarkStart w:id="15" w:name="__RefHeading___Toc217728505"/>
      <w:bookmarkEnd w:id="15"/>
      <w:r>
        <w:rPr/>
        <w:t>3.1</w:t>
        <w:tab/>
        <w:t>General</w:t>
      </w:r>
    </w:p>
    <w:p>
      <w:pPr>
        <w:pStyle w:val="Normal"/>
        <w:rPr/>
      </w:pPr>
      <w:r>
        <w:rPr/>
        <w:t>A telecommunication service supported by a PLMN is characterized and described by service attributes.</w:t>
      </w:r>
    </w:p>
    <w:p>
      <w:pPr>
        <w:pStyle w:val="Normal"/>
        <w:rPr/>
      </w:pPr>
      <w:r>
        <w:rPr/>
        <w:t>There are two groups of service attributes applicable to user information flow:</w:t>
      </w:r>
    </w:p>
    <w:p>
      <w:pPr>
        <w:pStyle w:val="B1"/>
        <w:rPr/>
      </w:pPr>
      <w:r>
        <w:rPr/>
        <w:t>-</w:t>
        <w:tab/>
        <w:t>low layer attributes;</w:t>
      </w:r>
    </w:p>
    <w:p>
      <w:pPr>
        <w:pStyle w:val="B1"/>
        <w:rPr/>
      </w:pPr>
      <w:r>
        <w:rPr/>
        <w:t>-</w:t>
        <w:tab/>
        <w:t>high layer attributes.</w:t>
      </w:r>
    </w:p>
    <w:p>
      <w:pPr>
        <w:pStyle w:val="Normal"/>
        <w:rPr/>
      </w:pPr>
      <w:r>
        <w:rPr/>
        <w:t>Bearer services are characterized only by low layer attributes. Teleservices are characterized by both low layer attributes and high layer attributes.</w:t>
      </w:r>
    </w:p>
    <w:p>
      <w:pPr>
        <w:pStyle w:val="Normal"/>
        <w:rPr/>
      </w:pPr>
      <w:r>
        <w:rPr/>
        <w:t>The basic characteristics of a telecommunication service are described by the basic service attributes.</w:t>
      </w:r>
    </w:p>
    <w:p>
      <w:pPr>
        <w:pStyle w:val="Normal"/>
        <w:rPr/>
      </w:pPr>
      <w:r>
        <w:rPr/>
        <w:t>The additional characteristics associated with a supplementary service which modify or supplement a basic telecommunication service are described in Specification 3GPP TS 22.004 [7].</w:t>
      </w:r>
    </w:p>
    <w:p>
      <w:pPr>
        <w:pStyle w:val="Heading2"/>
        <w:bidi w:val="0"/>
        <w:jc w:val="start"/>
        <w:rPr/>
      </w:pPr>
      <w:bookmarkStart w:id="16" w:name="__RefHeading___Toc84_3899700106"/>
      <w:bookmarkStart w:id="17" w:name="__RefHeading___Toc217728506"/>
      <w:bookmarkEnd w:id="16"/>
      <w:r>
        <w:rPr/>
        <w:t>3.2</w:t>
        <w:tab/>
        <w:t>Bearer services</w:t>
      </w:r>
      <w:bookmarkEnd w:id="17"/>
      <w:r>
        <w:rPr/>
        <w:t xml:space="preserve"> </w:t>
      </w:r>
    </w:p>
    <w:p>
      <w:pPr>
        <w:pStyle w:val="Normal"/>
        <w:rPr/>
      </w:pPr>
      <w:r>
        <w:rPr/>
        <w:t>Bearer services are characterized by a set of low layer attributes in Specification 3GPP TS 22.002[5]. These attributes are classified into four categories:</w:t>
      </w:r>
    </w:p>
    <w:p>
      <w:pPr>
        <w:pStyle w:val="B1"/>
        <w:rPr/>
      </w:pPr>
      <w:r>
        <w:rPr/>
        <w:t>-</w:t>
        <w:tab/>
        <w:t>information transfer attributes;</w:t>
      </w:r>
    </w:p>
    <w:p>
      <w:pPr>
        <w:pStyle w:val="B1"/>
        <w:rPr/>
      </w:pPr>
      <w:r>
        <w:rPr/>
        <w:t>-</w:t>
        <w:tab/>
        <w:t>access attributes;</w:t>
      </w:r>
    </w:p>
    <w:p>
      <w:pPr>
        <w:pStyle w:val="B1"/>
        <w:rPr/>
      </w:pPr>
      <w:r>
        <w:rPr/>
        <w:t>-</w:t>
        <w:tab/>
        <w:t>interworking attributes;</w:t>
      </w:r>
    </w:p>
    <w:p>
      <w:pPr>
        <w:pStyle w:val="B1"/>
        <w:rPr/>
      </w:pPr>
      <w:r>
        <w:rPr/>
        <w:t>-</w:t>
        <w:tab/>
        <w:t>general attributes, including operational and commercial attributes.</w:t>
      </w:r>
    </w:p>
    <w:p>
      <w:pPr>
        <w:pStyle w:val="Normal"/>
        <w:rPr/>
      </w:pPr>
      <w:r>
        <w:rPr/>
        <w:t>The bearer capability defines the technical features of a bearer service as they appear to the user at the appropriate access point. For the time being, the bearer capability is characterized by information transfer, access and interworking attributes. A bearer capability is associated with every bearer service.</w:t>
      </w:r>
    </w:p>
    <w:p>
      <w:pPr>
        <w:pStyle w:val="Heading2"/>
        <w:bidi w:val="0"/>
        <w:jc w:val="start"/>
        <w:rPr/>
      </w:pPr>
      <w:bookmarkStart w:id="18" w:name="__RefHeading___Toc86_3899700106"/>
      <w:bookmarkStart w:id="19" w:name="__RefHeading___Toc217728507"/>
      <w:bookmarkEnd w:id="18"/>
      <w:r>
        <w:rPr/>
        <w:t>3.3</w:t>
        <w:tab/>
        <w:t>Teleservices</w:t>
      </w:r>
      <w:bookmarkEnd w:id="19"/>
      <w:r>
        <w:rPr/>
        <w:t xml:space="preserve"> </w:t>
      </w:r>
    </w:p>
    <w:p>
      <w:pPr>
        <w:pStyle w:val="Normal"/>
        <w:rPr/>
      </w:pPr>
      <w:r>
        <w:rPr/>
        <w:t>Circuit teleservices provide the full capacity for communication by means of terminals and network functions and possibly functions provided by dedicated centres.</w:t>
      </w:r>
    </w:p>
    <w:p>
      <w:pPr>
        <w:pStyle w:val="Normal"/>
        <w:rPr/>
      </w:pPr>
      <w:r>
        <w:rPr/>
        <w:t>Circuit teleservices are specified in 3GPP TS 22.003 [6]. Teleservices are characterized by a set of low layer attributes, a set of high layer attributes and operational and commercial attributes.</w:t>
      </w:r>
    </w:p>
    <w:p>
      <w:pPr>
        <w:pStyle w:val="Normal"/>
        <w:rPr/>
      </w:pPr>
      <w:r>
        <w:rPr/>
        <w:t>Low layer attributes are those used to characterize the bearer capability. High layer attributes are used in Specification 3GPP TS 22.003 [6] to describe high layer (i.e. layer 4-7) information transfer related characteristics. They refer to functions and protocols of layers 4-7 in the ITU-T Recommendation X.200 framework which are concerned with the transfer, storage and processing of user messages (provided by a subscriber's terminal, a retrieval centre or a network service centre).</w:t>
      </w:r>
    </w:p>
    <w:p>
      <w:pPr>
        <w:pStyle w:val="Normal"/>
        <w:rPr/>
      </w:pPr>
      <w:r>
        <w:rPr/>
        <w:t>Therefore, not all attributes can be applied directly at the user to terminal interface as they represent two kinds of features, the bearer capability and the terminal features, that are not directly perceived by the user.</w:t>
      </w:r>
    </w:p>
    <w:p>
      <w:pPr>
        <w:pStyle w:val="Heading1"/>
        <w:bidi w:val="0"/>
        <w:ind w:start="1134" w:hanging="1134"/>
        <w:jc w:val="start"/>
        <w:rPr/>
      </w:pPr>
      <w:bookmarkStart w:id="20" w:name="__RefHeading___Toc217728508"/>
      <w:bookmarkEnd w:id="20"/>
      <w:r>
        <w:rPr/>
        <w:t>4</w:t>
        <w:tab/>
        <w:t>Provision of telecommunication services</w:t>
      </w:r>
    </w:p>
    <w:p>
      <w:pPr>
        <w:pStyle w:val="Normal"/>
        <w:rPr/>
      </w:pPr>
      <w:r>
        <w:rPr/>
        <w:t>Specifications  3GPP TS 22.101[4] and 3GPP TS 22.011 [13] define some aspects of the provisions of telecommunication services by a 3GPP system.</w:t>
      </w:r>
    </w:p>
    <w:p>
      <w:pPr>
        <w:pStyle w:val="Normal"/>
        <w:rPr/>
      </w:pPr>
      <w:r>
        <w:rPr/>
        <w:t>The provision of telecommunication services implies:</w:t>
      </w:r>
    </w:p>
    <w:p>
      <w:pPr>
        <w:pStyle w:val="B1"/>
        <w:rPr/>
      </w:pPr>
      <w:r>
        <w:rPr/>
        <w:t>-</w:t>
        <w:tab/>
        <w:t>subscription of basic services and possibly subscription to supplementary services;</w:t>
      </w:r>
    </w:p>
    <w:p>
      <w:pPr>
        <w:pStyle w:val="B1"/>
        <w:rPr/>
      </w:pPr>
      <w:r>
        <w:rPr/>
        <w:t>-</w:t>
        <w:tab/>
        <w:t>registration into a service directory;</w:t>
      </w:r>
    </w:p>
    <w:p>
      <w:pPr>
        <w:pStyle w:val="B1"/>
        <w:rPr/>
      </w:pPr>
      <w:r>
        <w:rPr/>
        <w:t>-</w:t>
        <w:tab/>
        <w:t>compatibility between terminals;</w:t>
      </w:r>
    </w:p>
    <w:p>
      <w:pPr>
        <w:pStyle w:val="B1"/>
        <w:rPr/>
      </w:pPr>
      <w:r>
        <w:rPr/>
        <w:t>-</w:t>
        <w:tab/>
        <w:t>interworking capabilities (see 3GPP TS 29 series of specifications).</w:t>
      </w:r>
    </w:p>
    <w:p>
      <w:pPr>
        <w:pStyle w:val="Normal"/>
        <w:rPr/>
      </w:pPr>
      <w:r>
        <w:rPr/>
        <w:t>The user's subscription to a Basic or Supplementary service is normally verified by the network prior to completion of Call Establishment and/or Supplementary Service operation. This subscription checking shall be performed in accordance with the following subclauses.</w:t>
      </w:r>
    </w:p>
    <w:p>
      <w:pPr>
        <w:pStyle w:val="Heading2"/>
        <w:bidi w:val="0"/>
        <w:jc w:val="start"/>
        <w:rPr/>
      </w:pPr>
      <w:bookmarkStart w:id="21" w:name="__RefHeading___Toc217728509"/>
      <w:bookmarkEnd w:id="21"/>
      <w:r>
        <w:rPr/>
        <w:t>4.1</w:t>
        <w:tab/>
        <w:t>Subscription checking for Basic Services</w:t>
      </w:r>
    </w:p>
    <w:p>
      <w:pPr>
        <w:pStyle w:val="Normal"/>
        <w:rPr>
          <w:b/>
          <w:b/>
        </w:rPr>
      </w:pPr>
      <w:r>
        <w:rPr>
          <w:b/>
        </w:rPr>
        <w:t>General</w:t>
      </w:r>
    </w:p>
    <w:p>
      <w:pPr>
        <w:pStyle w:val="Normal"/>
        <w:rPr/>
      </w:pPr>
      <w:r>
        <w:rPr/>
        <w:t>Subscription checking is the function/process to ascertaining whether a subscriber has the authorization to use the particular Basic Service deduced from the call set-up parameters. It is the responsibility of the HPLMN to transfer, to the VPLMN, only the subscription data corresponding to those services a given subscriber is entitled to use in that VPLMN.</w:t>
      </w:r>
    </w:p>
    <w:p>
      <w:pPr>
        <w:pStyle w:val="Normal"/>
        <w:rPr/>
      </w:pPr>
      <w:r>
        <w:rPr/>
        <w:t>For mobile originated calls, subscription checking is performed in the VLR, whilst for mobile terminated calls it is performed in either the HLR or the VLR (determined as described below). The prerequisite for executing the subscription check is a successful deduction of a Basic Service from the Compatibility Information contained in the call set up, i.e. Bearer Capability Information Element and, in some cases, also the Low Layer and High Layer Compatibility Information elements.</w:t>
      </w:r>
    </w:p>
    <w:p>
      <w:pPr>
        <w:pStyle w:val="Normal"/>
        <w:rPr/>
      </w:pPr>
      <w:r>
        <w:rPr/>
        <w:t>For mobile originated calls an UE shall indicate the requested service by appropriate compatibility information elements according to 3GPP TS 27.001 [8]. This information is mapped to an individual Basic Service code (i.e. the MAP representation) by the MSC in order to be compared with the subscriber data available in the VLR.</w:t>
      </w:r>
    </w:p>
    <w:p>
      <w:pPr>
        <w:pStyle w:val="Normal"/>
        <w:rPr/>
      </w:pPr>
      <w:r>
        <w:rPr/>
        <w:t>An equivalent process is required in the HLR for mobile terminated calls, where the caller's requested service is indicated to the HLR (by the ISDN) by exhaustive compatibility information consisting of ISDN Bearer Capability Information Elements and in some cases - depending on the service requested - also of Low Layer and High layer Compatibility information elements. In case the compatibility information is not exhaustive, e.g. when the call is originated/transited by a PSTN, no Basic Service can be deduced and subscription checking cannot be performed in the "normal" way. Instead, rules for the Single and Multi Numbering Schemes apply.</w:t>
      </w:r>
    </w:p>
    <w:p>
      <w:pPr>
        <w:pStyle w:val="Normal"/>
        <w:rPr/>
      </w:pPr>
      <w:r>
        <w:rPr/>
        <w:t>In the Multi Numbering Scheme the Basic Service can be deduced by information stored in the HLR against the called number and hence an implicit subscription check is performed. In the Single Numbering Scheme, the Basic Service cannot be deduced until the UE has responded to the set up and therefore the HLR cannot perform subscription check. Instead, the VLR/MSC will perform the subscription check or calls are passed "unfiltered" (as regards subscription check), at the network operators' discretion.</w:t>
      </w:r>
    </w:p>
    <w:p>
      <w:pPr>
        <w:pStyle w:val="Normal"/>
        <w:rPr>
          <w:b/>
          <w:b/>
        </w:rPr>
      </w:pPr>
      <w:r>
        <w:rPr>
          <w:b/>
        </w:rPr>
        <w:t>Bearer Services</w:t>
      </w:r>
    </w:p>
    <w:p>
      <w:pPr>
        <w:pStyle w:val="Normal"/>
        <w:rPr/>
      </w:pPr>
      <w:r>
        <w:rPr/>
        <w:t>3GPP TS 22.002 [5] lists the Bearer Services, each of them with a specific "BS number". Single services defined independent of the fixed network user rate are called General Bearer Services. These distinct [numbered] services may individually be provided to a subscriber. Whichever the subscription arrangements are, all PLMNs (MSCs, VLRs and HLRs) shall be able to allow - as regards subscription checking - the use of individually subscribed-to Basic Services, within the range of services supported by the PLMN. That is, whenever it is possible to deduce the Basic Service from a call set up, subscription check shall be performed at the granularity of that particular Basic Service or the group to which it belongs.</w:t>
      </w:r>
    </w:p>
    <w:p>
      <w:pPr>
        <w:pStyle w:val="Normal"/>
        <w:rPr>
          <w:b/>
          <w:b/>
        </w:rPr>
      </w:pPr>
      <w:r>
        <w:rPr>
          <w:b/>
        </w:rPr>
        <w:t>TeleServices</w:t>
      </w:r>
    </w:p>
    <w:p>
      <w:pPr>
        <w:pStyle w:val="Normal"/>
        <w:rPr/>
      </w:pPr>
      <w:r>
        <w:rPr/>
        <w:t>3GPP TS 22.003 [6] lists the TeleServices, each of them with a specific "TS number". These may be provided to subscribers individually or combined, to the operators' discretion, however TS 12 (Emergency calls) and TS 23 (CBS) are not subscribable. But, as for Bearer Services, networks shall be able to handle subscription checking at the granularity of individual TeleServices.</w:t>
      </w:r>
    </w:p>
    <w:p>
      <w:pPr>
        <w:pStyle w:val="Normal"/>
        <w:rPr/>
      </w:pPr>
      <w:r>
        <w:rPr/>
        <w:t>Table 2 summarizes the basis on which a successful subscription checking will result. It also describes on which basis Supplementary Service handling for a given call set-up should be performed.</w:t>
      </w:r>
    </w:p>
    <w:p>
      <w:pPr>
        <w:pStyle w:val="TH"/>
        <w:rPr/>
      </w:pPr>
      <w:r>
        <w:rPr/>
        <w:t>Table 2</w:t>
      </w:r>
    </w:p>
    <w:tbl>
      <w:tblPr>
        <w:tblW w:w="9089" w:type="dxa"/>
        <w:jc w:val="center"/>
        <w:tblInd w:w="0" w:type="dxa"/>
        <w:tblCellMar>
          <w:top w:w="0" w:type="dxa"/>
          <w:start w:w="28" w:type="dxa"/>
          <w:bottom w:w="0" w:type="dxa"/>
          <w:end w:w="28" w:type="dxa"/>
        </w:tblCellMar>
      </w:tblPr>
      <w:tblGrid>
        <w:gridCol w:w="1418"/>
        <w:gridCol w:w="4821"/>
        <w:gridCol w:w="2845"/>
        <w:gridCol w:w="5"/>
      </w:tblGrid>
      <w:tr>
        <w:trPr/>
        <w:tc>
          <w:tcPr>
            <w:tcW w:w="1418" w:type="dxa"/>
            <w:tcBorders>
              <w:top w:val="single" w:sz="4" w:space="0" w:color="000000"/>
              <w:start w:val="single" w:sz="4" w:space="0" w:color="000000"/>
              <w:bottom w:val="single" w:sz="4" w:space="0" w:color="000000"/>
            </w:tcBorders>
          </w:tcPr>
          <w:p>
            <w:pPr>
              <w:pStyle w:val="TAH"/>
              <w:rPr/>
            </w:pPr>
            <w:r>
              <w:rPr/>
              <w:t>Set Up</w:t>
            </w:r>
          </w:p>
        </w:tc>
        <w:tc>
          <w:tcPr>
            <w:tcW w:w="4821" w:type="dxa"/>
            <w:tcBorders>
              <w:top w:val="single" w:sz="4" w:space="0" w:color="000000"/>
              <w:start w:val="single" w:sz="4" w:space="0" w:color="000000"/>
              <w:bottom w:val="single" w:sz="4" w:space="0" w:color="000000"/>
            </w:tcBorders>
          </w:tcPr>
          <w:p>
            <w:pPr>
              <w:pStyle w:val="TAH"/>
              <w:rPr/>
            </w:pPr>
            <w:r>
              <w:rPr/>
              <w:t>Subscription Check</w:t>
            </w:r>
          </w:p>
        </w:tc>
        <w:tc>
          <w:tcPr>
            <w:tcW w:w="2845" w:type="dxa"/>
            <w:tcBorders>
              <w:top w:val="single" w:sz="4" w:space="0" w:color="000000"/>
              <w:start w:val="single" w:sz="4" w:space="0" w:color="000000"/>
              <w:bottom w:val="single" w:sz="4" w:space="0" w:color="000000"/>
              <w:end w:val="single" w:sz="4" w:space="0" w:color="000000"/>
            </w:tcBorders>
          </w:tcPr>
          <w:p>
            <w:pPr>
              <w:pStyle w:val="TAH"/>
              <w:rPr/>
            </w:pPr>
            <w:r>
              <w:rPr/>
              <w:t>SS handling</w:t>
            </w:r>
          </w:p>
        </w:tc>
      </w:tr>
      <w:tr>
        <w:trPr/>
        <w:tc>
          <w:tcPr>
            <w:tcW w:w="1418" w:type="dxa"/>
            <w:tcBorders>
              <w:top w:val="single" w:sz="4" w:space="0" w:color="000000"/>
              <w:start w:val="single" w:sz="6" w:space="0" w:color="000000"/>
              <w:bottom w:val="single" w:sz="6" w:space="0" w:color="000000"/>
            </w:tcBorders>
          </w:tcPr>
          <w:p>
            <w:pPr>
              <w:pStyle w:val="TAL"/>
              <w:rPr/>
            </w:pPr>
            <w:r>
              <w:rPr/>
              <w:t>BS 20</w:t>
            </w:r>
          </w:p>
        </w:tc>
        <w:tc>
          <w:tcPr>
            <w:tcW w:w="4821" w:type="dxa"/>
            <w:tcBorders>
              <w:top w:val="single" w:sz="4" w:space="0" w:color="000000"/>
              <w:start w:val="single" w:sz="6" w:space="0" w:color="000000"/>
              <w:bottom w:val="single" w:sz="6" w:space="0" w:color="000000"/>
            </w:tcBorders>
          </w:tcPr>
          <w:p>
            <w:pPr>
              <w:pStyle w:val="TAL"/>
              <w:rPr/>
            </w:pPr>
            <w:r>
              <w:rPr/>
              <w:t>BS 20</w:t>
            </w:r>
          </w:p>
        </w:tc>
        <w:tc>
          <w:tcPr>
            <w:tcW w:w="2850" w:type="dxa"/>
            <w:tcBorders>
              <w:top w:val="single" w:sz="4" w:space="0" w:color="000000"/>
              <w:start w:val="single" w:sz="6" w:space="0" w:color="000000"/>
              <w:bottom w:val="single" w:sz="6" w:space="0" w:color="000000"/>
              <w:end w:val="single" w:sz="6" w:space="0" w:color="000000"/>
            </w:tcBorders>
          </w:tcPr>
          <w:p>
            <w:pPr>
              <w:pStyle w:val="TAL"/>
              <w:rPr/>
            </w:pPr>
            <w:r>
              <w:rPr/>
              <w:t>BS Group 2x</w:t>
            </w:r>
          </w:p>
        </w:tc>
      </w:tr>
      <w:tr>
        <w:trPr/>
        <w:tc>
          <w:tcPr>
            <w:tcW w:w="1418" w:type="dxa"/>
            <w:tcBorders>
              <w:top w:val="single" w:sz="6" w:space="0" w:color="000000"/>
              <w:start w:val="single" w:sz="6" w:space="0" w:color="000000"/>
              <w:bottom w:val="single" w:sz="6" w:space="0" w:color="000000"/>
            </w:tcBorders>
          </w:tcPr>
          <w:p>
            <w:pPr>
              <w:pStyle w:val="TAL"/>
              <w:rPr/>
            </w:pPr>
            <w:r>
              <w:rPr/>
              <w:t>BS 30</w:t>
            </w:r>
          </w:p>
        </w:tc>
        <w:tc>
          <w:tcPr>
            <w:tcW w:w="4821" w:type="dxa"/>
            <w:tcBorders>
              <w:top w:val="single" w:sz="6" w:space="0" w:color="000000"/>
              <w:start w:val="single" w:sz="6" w:space="0" w:color="000000"/>
              <w:bottom w:val="single" w:sz="6" w:space="0" w:color="000000"/>
            </w:tcBorders>
          </w:tcPr>
          <w:p>
            <w:pPr>
              <w:pStyle w:val="TAL"/>
              <w:rPr/>
            </w:pPr>
            <w:r>
              <w:rPr/>
              <w:t>BS 30</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BS Group 3x</w:t>
            </w:r>
          </w:p>
        </w:tc>
      </w:tr>
      <w:tr>
        <w:trPr/>
        <w:tc>
          <w:tcPr>
            <w:tcW w:w="1418" w:type="dxa"/>
            <w:tcBorders>
              <w:top w:val="single" w:sz="6" w:space="0" w:color="000000"/>
              <w:start w:val="single" w:sz="6" w:space="0" w:color="000000"/>
              <w:bottom w:val="single" w:sz="6" w:space="0" w:color="000000"/>
            </w:tcBorders>
          </w:tcPr>
          <w:p>
            <w:pPr>
              <w:pStyle w:val="TAL"/>
              <w:rPr/>
            </w:pPr>
            <w:r>
              <w:rPr/>
              <w:t>TS 11</w:t>
            </w:r>
          </w:p>
        </w:tc>
        <w:tc>
          <w:tcPr>
            <w:tcW w:w="4821" w:type="dxa"/>
            <w:tcBorders>
              <w:top w:val="single" w:sz="6" w:space="0" w:color="000000"/>
              <w:start w:val="single" w:sz="6" w:space="0" w:color="000000"/>
              <w:bottom w:val="single" w:sz="6" w:space="0" w:color="000000"/>
            </w:tcBorders>
          </w:tcPr>
          <w:p>
            <w:pPr>
              <w:pStyle w:val="TAL"/>
              <w:rPr/>
            </w:pPr>
            <w:r>
              <w:rPr/>
              <w:t>TS 11, TS Group 1x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1x</w:t>
            </w:r>
          </w:p>
        </w:tc>
      </w:tr>
      <w:tr>
        <w:trPr/>
        <w:tc>
          <w:tcPr>
            <w:tcW w:w="1418" w:type="dxa"/>
            <w:tcBorders>
              <w:top w:val="single" w:sz="6" w:space="0" w:color="000000"/>
              <w:start w:val="single" w:sz="6" w:space="0" w:color="000000"/>
            </w:tcBorders>
          </w:tcPr>
          <w:p>
            <w:pPr>
              <w:pStyle w:val="TAL"/>
              <w:rPr/>
            </w:pPr>
            <w:r>
              <w:rPr/>
              <w:t>TS 12</w:t>
            </w:r>
          </w:p>
        </w:tc>
        <w:tc>
          <w:tcPr>
            <w:tcW w:w="4821" w:type="dxa"/>
            <w:tcBorders>
              <w:top w:val="single" w:sz="6" w:space="0" w:color="000000"/>
              <w:start w:val="single" w:sz="6" w:space="0" w:color="000000"/>
            </w:tcBorders>
          </w:tcPr>
          <w:p>
            <w:pPr>
              <w:pStyle w:val="TAL"/>
              <w:rPr/>
            </w:pPr>
            <w:r>
              <w:rPr/>
              <w:t>N.A.</w:t>
            </w:r>
          </w:p>
        </w:tc>
        <w:tc>
          <w:tcPr>
            <w:tcW w:w="2850" w:type="dxa"/>
            <w:tcBorders>
              <w:top w:val="single" w:sz="6" w:space="0" w:color="000000"/>
              <w:start w:val="single" w:sz="6" w:space="0" w:color="000000"/>
              <w:end w:val="single" w:sz="6" w:space="0" w:color="000000"/>
            </w:tcBorders>
          </w:tcPr>
          <w:p>
            <w:pPr>
              <w:pStyle w:val="TAL"/>
              <w:snapToGrid w:val="false"/>
              <w:rPr/>
            </w:pPr>
            <w:r>
              <w:rPr/>
            </w:r>
          </w:p>
        </w:tc>
      </w:tr>
      <w:tr>
        <w:trPr/>
        <w:tc>
          <w:tcPr>
            <w:tcW w:w="1418" w:type="dxa"/>
            <w:tcBorders>
              <w:top w:val="single" w:sz="6" w:space="0" w:color="000000"/>
              <w:start w:val="single" w:sz="6" w:space="0" w:color="000000"/>
              <w:bottom w:val="single" w:sz="6" w:space="0" w:color="000000"/>
            </w:tcBorders>
          </w:tcPr>
          <w:p>
            <w:pPr>
              <w:pStyle w:val="TAL"/>
              <w:rPr/>
            </w:pPr>
            <w:r>
              <w:rPr/>
              <w:t>TS 21</w:t>
            </w:r>
          </w:p>
        </w:tc>
        <w:tc>
          <w:tcPr>
            <w:tcW w:w="4821" w:type="dxa"/>
            <w:tcBorders>
              <w:top w:val="single" w:sz="6" w:space="0" w:color="000000"/>
              <w:start w:val="single" w:sz="6" w:space="0" w:color="000000"/>
              <w:bottom w:val="single" w:sz="6" w:space="0" w:color="000000"/>
            </w:tcBorders>
          </w:tcPr>
          <w:p>
            <w:pPr>
              <w:pStyle w:val="TAL"/>
              <w:rPr/>
            </w:pPr>
            <w:r>
              <w:rPr/>
              <w:t>TS 21, TS Group 2x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2x</w:t>
            </w:r>
          </w:p>
        </w:tc>
      </w:tr>
      <w:tr>
        <w:trPr/>
        <w:tc>
          <w:tcPr>
            <w:tcW w:w="1418" w:type="dxa"/>
            <w:tcBorders>
              <w:top w:val="single" w:sz="6" w:space="0" w:color="000000"/>
              <w:start w:val="single" w:sz="6" w:space="0" w:color="000000"/>
              <w:bottom w:val="single" w:sz="6" w:space="0" w:color="000000"/>
            </w:tcBorders>
          </w:tcPr>
          <w:p>
            <w:pPr>
              <w:pStyle w:val="TAL"/>
              <w:rPr/>
            </w:pPr>
            <w:r>
              <w:rPr/>
              <w:t>TS 22</w:t>
            </w:r>
          </w:p>
        </w:tc>
        <w:tc>
          <w:tcPr>
            <w:tcW w:w="4821" w:type="dxa"/>
            <w:tcBorders>
              <w:top w:val="single" w:sz="6" w:space="0" w:color="000000"/>
              <w:start w:val="single" w:sz="6" w:space="0" w:color="000000"/>
              <w:bottom w:val="single" w:sz="6" w:space="0" w:color="000000"/>
            </w:tcBorders>
          </w:tcPr>
          <w:p>
            <w:pPr>
              <w:pStyle w:val="TAL"/>
              <w:rPr/>
            </w:pPr>
            <w:r>
              <w:rPr/>
              <w:t>TS 22, TS Group 2x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2x</w:t>
            </w:r>
          </w:p>
        </w:tc>
      </w:tr>
      <w:tr>
        <w:trPr/>
        <w:tc>
          <w:tcPr>
            <w:tcW w:w="1418" w:type="dxa"/>
            <w:tcBorders>
              <w:top w:val="single" w:sz="6" w:space="0" w:color="000000"/>
              <w:start w:val="single" w:sz="6" w:space="0" w:color="000000"/>
              <w:bottom w:val="single" w:sz="6" w:space="0" w:color="000000"/>
            </w:tcBorders>
          </w:tcPr>
          <w:p>
            <w:pPr>
              <w:pStyle w:val="TAL"/>
              <w:rPr/>
            </w:pPr>
            <w:r>
              <w:rPr/>
              <w:t>TS 23</w:t>
            </w:r>
          </w:p>
        </w:tc>
        <w:tc>
          <w:tcPr>
            <w:tcW w:w="4821" w:type="dxa"/>
            <w:tcBorders>
              <w:top w:val="single" w:sz="6" w:space="0" w:color="000000"/>
              <w:start w:val="single" w:sz="6" w:space="0" w:color="000000"/>
              <w:bottom w:val="single" w:sz="6" w:space="0" w:color="000000"/>
            </w:tcBorders>
          </w:tcPr>
          <w:p>
            <w:pPr>
              <w:pStyle w:val="TAL"/>
              <w:rPr/>
            </w:pPr>
            <w:r>
              <w:rPr/>
              <w:t>N.A.</w:t>
            </w:r>
          </w:p>
        </w:tc>
        <w:tc>
          <w:tcPr>
            <w:tcW w:w="285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tc>
          <w:tcPr>
            <w:tcW w:w="1418" w:type="dxa"/>
            <w:tcBorders>
              <w:top w:val="single" w:sz="6" w:space="0" w:color="000000"/>
              <w:start w:val="single" w:sz="6" w:space="0" w:color="000000"/>
              <w:bottom w:val="single" w:sz="6" w:space="0" w:color="000000"/>
            </w:tcBorders>
          </w:tcPr>
          <w:p>
            <w:pPr>
              <w:pStyle w:val="TAL"/>
              <w:rPr/>
            </w:pPr>
            <w:r>
              <w:rPr/>
              <w:t>TS 61</w:t>
            </w:r>
          </w:p>
        </w:tc>
        <w:tc>
          <w:tcPr>
            <w:tcW w:w="4821" w:type="dxa"/>
            <w:tcBorders>
              <w:top w:val="single" w:sz="6" w:space="0" w:color="000000"/>
              <w:start w:val="single" w:sz="6" w:space="0" w:color="000000"/>
              <w:bottom w:val="single" w:sz="6" w:space="0" w:color="000000"/>
            </w:tcBorders>
          </w:tcPr>
          <w:p>
            <w:pPr>
              <w:pStyle w:val="TAL"/>
              <w:rPr/>
            </w:pPr>
            <w:r>
              <w:rPr/>
              <w:t>TS 61, TS Group 6x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6x</w:t>
            </w:r>
          </w:p>
        </w:tc>
      </w:tr>
      <w:tr>
        <w:trPr/>
        <w:tc>
          <w:tcPr>
            <w:tcW w:w="1418" w:type="dxa"/>
            <w:tcBorders>
              <w:top w:val="single" w:sz="6" w:space="0" w:color="000000"/>
              <w:start w:val="single" w:sz="6" w:space="0" w:color="000000"/>
              <w:bottom w:val="single" w:sz="6" w:space="0" w:color="000000"/>
            </w:tcBorders>
          </w:tcPr>
          <w:p>
            <w:pPr>
              <w:pStyle w:val="TAL"/>
              <w:rPr/>
            </w:pPr>
            <w:r>
              <w:rPr/>
              <w:t>TS 62</w:t>
            </w:r>
          </w:p>
        </w:tc>
        <w:tc>
          <w:tcPr>
            <w:tcW w:w="4821" w:type="dxa"/>
            <w:tcBorders>
              <w:top w:val="single" w:sz="6" w:space="0" w:color="000000"/>
              <w:start w:val="single" w:sz="6" w:space="0" w:color="000000"/>
              <w:bottom w:val="single" w:sz="6" w:space="0" w:color="000000"/>
            </w:tcBorders>
          </w:tcPr>
          <w:p>
            <w:pPr>
              <w:pStyle w:val="TAL"/>
              <w:rPr/>
            </w:pPr>
            <w:r>
              <w:rPr/>
              <w:t>TS 61, 62, Group 6x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6x</w:t>
            </w:r>
          </w:p>
        </w:tc>
      </w:tr>
      <w:tr>
        <w:trPr/>
        <w:tc>
          <w:tcPr>
            <w:tcW w:w="1418" w:type="dxa"/>
            <w:tcBorders>
              <w:top w:val="single" w:sz="6" w:space="0" w:color="000000"/>
              <w:start w:val="single" w:sz="6" w:space="0" w:color="000000"/>
              <w:bottom w:val="single" w:sz="6" w:space="0" w:color="000000"/>
            </w:tcBorders>
          </w:tcPr>
          <w:p>
            <w:pPr>
              <w:pStyle w:val="TAL"/>
              <w:rPr/>
            </w:pPr>
            <w:r>
              <w:rPr/>
              <w:t>TS 91</w:t>
            </w:r>
          </w:p>
        </w:tc>
        <w:tc>
          <w:tcPr>
            <w:tcW w:w="4821" w:type="dxa"/>
            <w:tcBorders>
              <w:top w:val="single" w:sz="6" w:space="0" w:color="000000"/>
              <w:start w:val="single" w:sz="6" w:space="0" w:color="000000"/>
              <w:bottom w:val="single" w:sz="6" w:space="0" w:color="000000"/>
            </w:tcBorders>
          </w:tcPr>
          <w:p>
            <w:pPr>
              <w:pStyle w:val="TAL"/>
              <w:rPr/>
            </w:pPr>
            <w:r>
              <w:rPr/>
              <w:t>TS 91, TS Group 9x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9x</w:t>
            </w:r>
          </w:p>
        </w:tc>
      </w:tr>
      <w:tr>
        <w:trPr/>
        <w:tc>
          <w:tcPr>
            <w:tcW w:w="1418" w:type="dxa"/>
            <w:tcBorders>
              <w:top w:val="single" w:sz="6" w:space="0" w:color="000000"/>
              <w:start w:val="single" w:sz="6" w:space="0" w:color="000000"/>
              <w:bottom w:val="single" w:sz="6" w:space="0" w:color="000000"/>
            </w:tcBorders>
          </w:tcPr>
          <w:p>
            <w:pPr>
              <w:pStyle w:val="TAL"/>
              <w:rPr/>
            </w:pPr>
            <w:r>
              <w:rPr/>
              <w:t>TS 92</w:t>
            </w:r>
          </w:p>
        </w:tc>
        <w:tc>
          <w:tcPr>
            <w:tcW w:w="4821" w:type="dxa"/>
            <w:tcBorders>
              <w:top w:val="single" w:sz="6" w:space="0" w:color="000000"/>
              <w:start w:val="single" w:sz="6" w:space="0" w:color="000000"/>
              <w:bottom w:val="single" w:sz="6" w:space="0" w:color="000000"/>
            </w:tcBorders>
          </w:tcPr>
          <w:p>
            <w:pPr>
              <w:pStyle w:val="TAL"/>
              <w:rPr/>
            </w:pPr>
            <w:r>
              <w:rPr/>
              <w:t>TS 92, TS Group 9x or TS Group All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TS Group 9x</w:t>
            </w:r>
          </w:p>
        </w:tc>
      </w:tr>
      <w:tr>
        <w:trPr>
          <w:cantSplit w:val="true"/>
        </w:trPr>
        <w:tc>
          <w:tcPr>
            <w:tcW w:w="9089" w:type="dxa"/>
            <w:gridSpan w:val="3"/>
            <w:tcBorders>
              <w:top w:val="single" w:sz="6" w:space="0" w:color="000000"/>
              <w:start w:val="single" w:sz="6" w:space="0" w:color="000000"/>
              <w:bottom w:val="single" w:sz="6" w:space="0" w:color="000000"/>
              <w:end w:val="single" w:sz="6" w:space="0" w:color="000000"/>
            </w:tcBorders>
          </w:tcPr>
          <w:p>
            <w:pPr>
              <w:pStyle w:val="TAN"/>
              <w:rPr/>
            </w:pPr>
            <w:r>
              <w:rPr/>
              <w:t>Legend:</w:t>
            </w:r>
          </w:p>
          <w:p>
            <w:pPr>
              <w:pStyle w:val="TAN"/>
              <w:rPr/>
            </w:pPr>
            <w:r>
              <w:rPr/>
              <w:tab/>
              <w:t>-</w:t>
              <w:tab/>
              <w:t>set-up: The Basic Service which is set up for the call;</w:t>
            </w:r>
          </w:p>
          <w:p>
            <w:pPr>
              <w:pStyle w:val="TAN"/>
              <w:rPr/>
            </w:pPr>
            <w:r>
              <w:rPr/>
              <w:tab/>
              <w:t>-</w:t>
              <w:tab/>
              <w:t>subscription check: Required VLR or HLR data for successful subscription check;</w:t>
            </w:r>
          </w:p>
          <w:p>
            <w:pPr>
              <w:pStyle w:val="TAN"/>
              <w:rPr/>
            </w:pPr>
            <w:r>
              <w:rPr/>
              <w:tab/>
              <w:t>-</w:t>
              <w:tab/>
              <w:t xml:space="preserve">SS handling: Against which VLR or HLR data SS handling should be performed. For example; a </w:t>
              <w:tab/>
              <w:tab/>
              <w:t xml:space="preserve">call set-up indicating BS61 and Asynchronous mode should be treated for SS purposes in </w:t>
              <w:br/>
              <w:tab/>
              <w:tab/>
              <w:t>accordance with the SS-data stored against BS group 2x.</w:t>
            </w:r>
          </w:p>
        </w:tc>
      </w:tr>
    </w:tbl>
    <w:p>
      <w:pPr>
        <w:pStyle w:val="Normal"/>
        <w:rPr/>
      </w:pPr>
      <w:r>
        <w:rPr/>
      </w:r>
    </w:p>
    <w:p>
      <w:pPr>
        <w:pStyle w:val="Normal"/>
        <w:rPr/>
      </w:pPr>
      <w:r>
        <w:rPr/>
        <w:t xml:space="preserve">When TS61 is requested in a call set-up and the subscription check for TS61 is negative, but a subscription check for TS62 is positive, then the call shall proceed according to the TS 22.003 [6]and TS 27.001 [8]. If a subscription check for both TS61 and TS62 is negative, then the call shall be released. </w:t>
      </w:r>
    </w:p>
    <w:p>
      <w:pPr>
        <w:pStyle w:val="Heading2"/>
        <w:bidi w:val="0"/>
        <w:jc w:val="start"/>
        <w:rPr/>
      </w:pPr>
      <w:bookmarkStart w:id="22" w:name="__RefHeading___Toc217728510"/>
      <w:bookmarkEnd w:id="22"/>
      <w:r>
        <w:rPr/>
        <w:t>4.2</w:t>
        <w:tab/>
        <w:t>Subscription checking for Supplementary Services</w:t>
      </w:r>
    </w:p>
    <w:p>
      <w:pPr>
        <w:pStyle w:val="Normal"/>
        <w:rPr/>
      </w:pPr>
      <w:r>
        <w:rPr/>
        <w:t>This is described in 3GPP TS 22.004 [7].</w:t>
      </w:r>
      <w:r>
        <w:br w:type="page"/>
      </w:r>
    </w:p>
    <w:p>
      <w:pPr>
        <w:pStyle w:val="Heading8"/>
        <w:bidi w:val="0"/>
        <w:ind w:start="0" w:hanging="0"/>
        <w:jc w:val="start"/>
        <w:rPr/>
      </w:pPr>
      <w:bookmarkStart w:id="23" w:name="__RefHeading___Toc217728511"/>
      <w:bookmarkEnd w:id="23"/>
      <w:r>
        <w:rPr/>
        <w:t>Annex A (normative):</w:t>
        <w:br/>
        <w:t>List of definition of attributes and values used for bearer services</w:t>
      </w:r>
    </w:p>
    <w:p>
      <w:pPr>
        <w:pStyle w:val="Heading1"/>
        <w:bidi w:val="0"/>
        <w:ind w:start="1134" w:hanging="1134"/>
        <w:jc w:val="start"/>
        <w:rPr/>
      </w:pPr>
      <w:bookmarkStart w:id="24" w:name="__RefHeading___Toc217728512"/>
      <w:bookmarkEnd w:id="24"/>
      <w:r>
        <w:rPr/>
        <w:t>A.1</w:t>
        <w:tab/>
        <w:t>Information transfer attributes</w:t>
      </w:r>
    </w:p>
    <w:p>
      <w:pPr>
        <w:pStyle w:val="Heading2"/>
        <w:bidi w:val="0"/>
        <w:jc w:val="start"/>
        <w:rPr/>
      </w:pPr>
      <w:bookmarkStart w:id="25" w:name="__RefHeading___Toc217728513"/>
      <w:bookmarkEnd w:id="25"/>
      <w:r>
        <w:rPr/>
        <w:t>A.1.1</w:t>
        <w:tab/>
        <w:t>Information transfer capability</w:t>
      </w:r>
    </w:p>
    <w:p>
      <w:pPr>
        <w:pStyle w:val="Normal"/>
        <w:rPr/>
      </w:pPr>
      <w:r>
        <w:rPr/>
        <w:t>This attribute describes the capability associated with the transfer of different types of information through a PLMN and another network or through a PLMN.</w:t>
      </w:r>
    </w:p>
    <w:p>
      <w:pPr>
        <w:pStyle w:val="Normal"/>
        <w:rPr/>
      </w:pPr>
      <w:r>
        <w:rPr/>
        <w:t>Values:</w:t>
      </w:r>
    </w:p>
    <w:p>
      <w:pPr>
        <w:pStyle w:val="B1"/>
        <w:rPr/>
      </w:pPr>
      <w:r>
        <w:rPr/>
        <w:t>-</w:t>
        <w:tab/>
        <w:t>unrestricted digital information;</w:t>
        <w:br/>
        <w:t>transfer of information sequence of bits at its specified bit rate without alteration; this implies bit sequence independence, digit sequence integrity and bit integrity.</w:t>
      </w:r>
    </w:p>
    <w:p>
      <w:pPr>
        <w:pStyle w:val="B1"/>
        <w:rPr/>
      </w:pPr>
      <w:r>
        <w:rPr/>
        <w:t>-</w:t>
        <w:tab/>
        <w:t>speech;</w:t>
        <w:br/>
        <w:t>digital representation of speech information and audible signalling tones of the PSTN coded according to the encoding rule defined in the 3GPP TS 26 series of specifications.</w:t>
      </w:r>
    </w:p>
    <w:p>
      <w:pPr>
        <w:pStyle w:val="B1"/>
        <w:rPr/>
      </w:pPr>
      <w:r>
        <w:rPr/>
        <w:t>-</w:t>
        <w:tab/>
        <w:t>3,1 kHz Ex PLMN;</w:t>
        <w:br/>
        <w:t>unrestricted digital information transfer within the PLMN and 3.1 kHz audio restricted within the ISDN.</w:t>
      </w:r>
    </w:p>
    <w:p>
      <w:pPr>
        <w:pStyle w:val="B1"/>
        <w:rPr/>
      </w:pPr>
      <w:r>
        <w:rPr/>
        <w:t>-</w:t>
        <w:tab/>
        <w:t>group 3 Fax;</w:t>
        <w:br/>
        <w:t>transfer of Group 3 Fax information.</w:t>
      </w:r>
    </w:p>
    <w:p>
      <w:pPr>
        <w:pStyle w:val="Heading2"/>
        <w:bidi w:val="0"/>
        <w:jc w:val="start"/>
        <w:rPr/>
      </w:pPr>
      <w:bookmarkStart w:id="26" w:name="__RefHeading___Toc217728514"/>
      <w:bookmarkEnd w:id="26"/>
      <w:r>
        <w:rPr/>
        <w:t>A.1.2</w:t>
        <w:tab/>
        <w:t>Information transfer mode</w:t>
      </w:r>
    </w:p>
    <w:p>
      <w:pPr>
        <w:pStyle w:val="Normal"/>
        <w:rPr/>
      </w:pPr>
      <w:r>
        <w:rPr/>
        <w:t>This attribute describes the operational mode of transferring (transportation and switching) through a PLMN.</w:t>
      </w:r>
    </w:p>
    <w:p>
      <w:pPr>
        <w:pStyle w:val="Normal"/>
        <w:rPr/>
      </w:pPr>
      <w:r>
        <w:rPr/>
        <w:t>Values:</w:t>
      </w:r>
    </w:p>
    <w:p>
      <w:pPr>
        <w:pStyle w:val="B1"/>
        <w:rPr/>
      </w:pPr>
      <w:r>
        <w:rPr/>
        <w:t>-</w:t>
        <w:tab/>
        <w:t>circuit.</w:t>
      </w:r>
    </w:p>
    <w:p>
      <w:pPr>
        <w:pStyle w:val="Heading2"/>
        <w:bidi w:val="0"/>
        <w:jc w:val="start"/>
        <w:rPr/>
      </w:pPr>
      <w:bookmarkStart w:id="27" w:name="__RefHeading___Toc217728515"/>
      <w:bookmarkEnd w:id="27"/>
      <w:r>
        <w:rPr/>
        <w:t>A.1.3</w:t>
        <w:tab/>
        <w:t>Information transfer rate</w:t>
      </w:r>
    </w:p>
    <w:p>
      <w:pPr>
        <w:pStyle w:val="Normal"/>
        <w:rPr/>
      </w:pPr>
      <w:r>
        <w:rPr/>
        <w:t>This attribute describes the bit rate (circuit mode). It refers to the transfer of digital information between two access points or reference points.</w:t>
      </w:r>
    </w:p>
    <w:p>
      <w:pPr>
        <w:pStyle w:val="Normal"/>
        <w:rPr/>
      </w:pPr>
      <w:r>
        <w:rPr/>
        <w:t>Values:</w:t>
      </w:r>
    </w:p>
    <w:p>
      <w:pPr>
        <w:pStyle w:val="B1"/>
        <w:rPr/>
      </w:pPr>
      <w:r>
        <w:rPr/>
        <w:t>-</w:t>
        <w:tab/>
        <w:t>appropriate bit rate, throughput rate.</w:t>
      </w:r>
    </w:p>
    <w:p>
      <w:pPr>
        <w:pStyle w:val="Heading2"/>
        <w:bidi w:val="0"/>
        <w:jc w:val="start"/>
        <w:rPr/>
      </w:pPr>
      <w:bookmarkStart w:id="28" w:name="__RefHeading___Toc217728516"/>
      <w:bookmarkEnd w:id="28"/>
      <w:r>
        <w:rPr/>
        <w:t>A.1.4</w:t>
        <w:tab/>
        <w:t>Structure</w:t>
      </w:r>
    </w:p>
    <w:p>
      <w:pPr>
        <w:pStyle w:val="Normal"/>
        <w:rPr/>
      </w:pPr>
      <w:r>
        <w:rPr/>
        <w:t>This attribute refers to the capability of the PLMN and if involved other networks to deliver information to the destination access point or reference point in a structure.</w:t>
      </w:r>
    </w:p>
    <w:p>
      <w:pPr>
        <w:pStyle w:val="NO"/>
        <w:rPr/>
      </w:pPr>
      <w:r>
        <w:rPr/>
        <w:t xml:space="preserve"> </w:t>
      </w:r>
      <w:r>
        <w:rPr/>
        <w:t>Note:</w:t>
        <w:tab/>
        <w:t>This attribute has not been utilised in 3GPP TS 22.002 [5] or 3GPP TS 22.003 [6].</w:t>
      </w:r>
    </w:p>
    <w:p>
      <w:pPr>
        <w:pStyle w:val="Normal"/>
        <w:rPr/>
      </w:pPr>
      <w:r>
        <w:rPr/>
        <w:t>Values:</w:t>
      </w:r>
    </w:p>
    <w:p>
      <w:pPr>
        <w:pStyle w:val="B1"/>
        <w:rPr/>
      </w:pPr>
      <w:r>
        <w:rPr/>
        <w:t>-</w:t>
        <w:tab/>
        <w:t>not applicable.</w:t>
      </w:r>
    </w:p>
    <w:p>
      <w:pPr>
        <w:pStyle w:val="Heading2"/>
        <w:bidi w:val="0"/>
        <w:jc w:val="start"/>
        <w:rPr/>
      </w:pPr>
      <w:bookmarkStart w:id="29" w:name="__RefHeading___Toc217728517"/>
      <w:bookmarkEnd w:id="29"/>
      <w:r>
        <w:rPr/>
        <w:t>A.1.5</w:t>
        <w:tab/>
        <w:t>Establishment of communication</w:t>
      </w:r>
    </w:p>
    <w:p>
      <w:pPr>
        <w:pStyle w:val="Normal"/>
        <w:rPr/>
      </w:pPr>
      <w:r>
        <w:rPr/>
        <w:t>This attribute associated with a telecommunication service describes the mode of establishment used to establish and a given communication.</w:t>
      </w:r>
    </w:p>
    <w:p>
      <w:pPr>
        <w:pStyle w:val="Normal"/>
        <w:rPr/>
      </w:pPr>
      <w:r>
        <w:rPr/>
        <w:t>In every telecommunication service communication may be between users within the PLMN or between a user in the PLMN and a user in another network.</w:t>
      </w:r>
    </w:p>
    <w:p>
      <w:pPr>
        <w:pStyle w:val="Normal"/>
        <w:rPr/>
      </w:pPr>
      <w:r>
        <w:rPr/>
        <w:t>Values:</w:t>
      </w:r>
    </w:p>
    <w:p>
      <w:pPr>
        <w:pStyle w:val="B1"/>
        <w:rPr/>
      </w:pPr>
      <w:r>
        <w:rPr/>
        <w:t>-</w:t>
        <w:tab/>
        <w:t>demand Mobile Originated (MO) only;</w:t>
      </w:r>
    </w:p>
    <w:p>
      <w:pPr>
        <w:pStyle w:val="B1"/>
        <w:rPr/>
      </w:pPr>
      <w:r>
        <w:rPr/>
        <w:t>-</w:t>
        <w:tab/>
        <w:t>demand Mobile Terminated (MT) only;</w:t>
      </w:r>
    </w:p>
    <w:p>
      <w:pPr>
        <w:pStyle w:val="B1"/>
        <w:rPr/>
      </w:pPr>
      <w:r>
        <w:rPr/>
        <w:t>-</w:t>
        <w:tab/>
        <w:t>demand Mobile Originated or Terminated (MO, MT).</w:t>
      </w:r>
    </w:p>
    <w:p>
      <w:pPr>
        <w:pStyle w:val="Heading2"/>
        <w:bidi w:val="0"/>
        <w:jc w:val="start"/>
        <w:rPr/>
      </w:pPr>
      <w:bookmarkStart w:id="30" w:name="__RefHeading___Toc217728518"/>
      <w:bookmarkEnd w:id="30"/>
      <w:r>
        <w:rPr/>
        <w:t>A.1.6</w:t>
        <w:tab/>
        <w:t>Communication configuration</w:t>
      </w:r>
    </w:p>
    <w:p>
      <w:pPr>
        <w:pStyle w:val="Normal"/>
        <w:rPr/>
      </w:pPr>
      <w:r>
        <w:rPr/>
        <w:t>This attribute describes the spatial arrangement for transferring information between two or more access points. It completes the structure associated to a telecommunication services as it associates the relationship between the access points involved and the flow of information between these access points.</w:t>
      </w:r>
    </w:p>
    <w:p>
      <w:pPr>
        <w:pStyle w:val="Normal"/>
        <w:rPr/>
      </w:pPr>
      <w:r>
        <w:rPr/>
        <w:t>Values:</w:t>
      </w:r>
    </w:p>
    <w:p>
      <w:pPr>
        <w:pStyle w:val="B1"/>
        <w:rPr/>
      </w:pPr>
      <w:r>
        <w:rPr/>
        <w:t>-</w:t>
        <w:tab/>
        <w:t>point-to-point communication;</w:t>
        <w:br/>
        <w:t>this value applies when there are only two access points.</w:t>
      </w:r>
    </w:p>
    <w:p>
      <w:pPr>
        <w:pStyle w:val="B1"/>
        <w:rPr/>
      </w:pPr>
      <w:r>
        <w:rPr/>
        <w:t>-</w:t>
        <w:tab/>
        <w:t>multipoint communication;</w:t>
        <w:br/>
        <w:t>this value applies when more than two access points (1) are provided by the service. The exact characteristics of the information flows must be specified separately based on functions provided by the PLMN.</w:t>
      </w:r>
    </w:p>
    <w:p>
      <w:pPr>
        <w:pStyle w:val="NO"/>
        <w:rPr/>
      </w:pPr>
      <w:r>
        <w:rPr/>
        <w:t>NOTE 1:</w:t>
        <w:tab/>
        <w:t>The number of access points can be undefined.</w:t>
      </w:r>
    </w:p>
    <w:p>
      <w:pPr>
        <w:pStyle w:val="B1"/>
        <w:rPr/>
      </w:pPr>
      <w:r>
        <w:rPr/>
        <w:t>-</w:t>
        <w:tab/>
        <w:t>broadcast communication;</w:t>
        <w:br/>
        <w:t>this value applies when more than two access points (2) are provided by the service. The information flows are from a unique point (source) to the others (destination) in only one direction.</w:t>
      </w:r>
    </w:p>
    <w:p>
      <w:pPr>
        <w:pStyle w:val="NO"/>
        <w:rPr/>
      </w:pPr>
      <w:r>
        <w:rPr/>
        <w:t>NOTE 2:</w:t>
        <w:tab/>
        <w:t>The number of destination access points can be undefined.</w:t>
      </w:r>
    </w:p>
    <w:p>
      <w:pPr>
        <w:pStyle w:val="Heading2"/>
        <w:bidi w:val="0"/>
        <w:jc w:val="start"/>
        <w:rPr/>
      </w:pPr>
      <w:bookmarkStart w:id="31" w:name="__RefHeading___Toc217728519"/>
      <w:bookmarkEnd w:id="31"/>
      <w:r>
        <w:rPr/>
        <w:t>A.1.7</w:t>
        <w:tab/>
        <w:t>Symmetry</w:t>
      </w:r>
    </w:p>
    <w:p>
      <w:pPr>
        <w:pStyle w:val="Normal"/>
        <w:rPr/>
      </w:pPr>
      <w:r>
        <w:rPr/>
        <w:t>This attribute describes the relationship of information flow between two (or more) access points or reference points involved in a communication.</w:t>
      </w:r>
    </w:p>
    <w:p>
      <w:pPr>
        <w:pStyle w:val="Normal"/>
        <w:rPr/>
      </w:pPr>
      <w:r>
        <w:rPr/>
        <w:t>It characterizes the structure associated to a communication service.</w:t>
      </w:r>
    </w:p>
    <w:p>
      <w:pPr>
        <w:pStyle w:val="Normal"/>
        <w:rPr/>
      </w:pPr>
      <w:r>
        <w:rPr/>
        <w:t>Values:</w:t>
      </w:r>
    </w:p>
    <w:p>
      <w:pPr>
        <w:pStyle w:val="B1"/>
        <w:rPr/>
      </w:pPr>
      <w:r>
        <w:rPr/>
        <w:t>-</w:t>
        <w:tab/>
        <w:t>unidirectional;</w:t>
        <w:br/>
        <w:t>this value applies when the information flow is provided only in one direction.</w:t>
      </w:r>
    </w:p>
    <w:p>
      <w:pPr>
        <w:pStyle w:val="B1"/>
        <w:rPr/>
      </w:pPr>
      <w:r>
        <w:rPr/>
        <w:t>-</w:t>
        <w:tab/>
        <w:t>bidirectional symmetric;</w:t>
        <w:br/>
        <w:t>this value applies when the information flow characteristics provided by the service are the same between two (or more) access points or reference points in the forward and backward directions.</w:t>
      </w:r>
    </w:p>
    <w:p>
      <w:pPr>
        <w:pStyle w:val="B1"/>
        <w:rPr/>
      </w:pPr>
      <w:r>
        <w:rPr/>
        <w:t>-</w:t>
        <w:tab/>
        <w:t>bidirectional asymmetric;</w:t>
        <w:br/>
        <w:t>this value applies when the information flow characteristics provided by the service are different in the two directions.</w:t>
      </w:r>
    </w:p>
    <w:p>
      <w:pPr>
        <w:pStyle w:val="Heading2"/>
        <w:bidi w:val="0"/>
        <w:jc w:val="start"/>
        <w:rPr/>
      </w:pPr>
      <w:bookmarkStart w:id="32" w:name="__RefHeading___Toc217728520"/>
      <w:bookmarkEnd w:id="32"/>
      <w:r>
        <w:rPr/>
        <w:t>A.1.8</w:t>
        <w:tab/>
        <w:t>Data compression</w:t>
      </w:r>
    </w:p>
    <w:p>
      <w:pPr>
        <w:pStyle w:val="Normal"/>
        <w:keepNext w:val="true"/>
        <w:keepLines/>
        <w:rPr/>
      </w:pPr>
      <w:r>
        <w:rPr/>
        <w:t>This attribute indicates whether use of a data compression function is desired (and accepted) between an MT and IWF.</w:t>
      </w:r>
    </w:p>
    <w:p>
      <w:pPr>
        <w:pStyle w:val="Normal"/>
        <w:keepNext w:val="true"/>
        <w:keepLines/>
        <w:rPr/>
      </w:pPr>
      <w:r>
        <w:rPr/>
        <w:t>Values:</w:t>
      </w:r>
    </w:p>
    <w:p>
      <w:pPr>
        <w:pStyle w:val="B1"/>
        <w:rPr/>
      </w:pPr>
      <w:r>
        <w:rPr/>
        <w:t>-</w:t>
        <w:tab/>
        <w:t>use of data compression requested/not requested;</w:t>
      </w:r>
    </w:p>
    <w:p>
      <w:pPr>
        <w:pStyle w:val="B1"/>
        <w:rPr/>
      </w:pPr>
      <w:r>
        <w:rPr/>
        <w:t>-</w:t>
        <w:tab/>
        <w:t>use of data compression accepted/not accepted.</w:t>
      </w:r>
    </w:p>
    <w:p>
      <w:pPr>
        <w:pStyle w:val="Heading1"/>
        <w:bidi w:val="0"/>
        <w:ind w:start="1134" w:hanging="1134"/>
        <w:jc w:val="start"/>
        <w:rPr/>
      </w:pPr>
      <w:bookmarkStart w:id="33" w:name="__RefHeading___Toc217728521"/>
      <w:bookmarkEnd w:id="33"/>
      <w:r>
        <w:rPr/>
        <w:t>A.2</w:t>
        <w:tab/>
        <w:t>Attributes describing the access at the user equipment</w:t>
      </w:r>
    </w:p>
    <w:p>
      <w:pPr>
        <w:pStyle w:val="Heading2"/>
        <w:bidi w:val="0"/>
        <w:jc w:val="start"/>
        <w:rPr/>
      </w:pPr>
      <w:bookmarkStart w:id="34" w:name="__RefHeading___Toc217728522"/>
      <w:bookmarkEnd w:id="34"/>
      <w:r>
        <w:rPr/>
        <w:t>A.2.1</w:t>
        <w:tab/>
        <w:t>Signalling access</w:t>
      </w:r>
    </w:p>
    <w:p>
      <w:pPr>
        <w:pStyle w:val="Normal"/>
        <w:rPr/>
      </w:pPr>
      <w:r>
        <w:rPr/>
        <w:t>This attribute characterized the protocol on the signalling channel at a given access point or reference point Values:</w:t>
      </w:r>
    </w:p>
    <w:p>
      <w:pPr>
        <w:pStyle w:val="B1"/>
        <w:rPr>
          <w:lang w:val="it-IT"/>
        </w:rPr>
      </w:pPr>
      <w:r>
        <w:rPr>
          <w:lang w:val="it-IT"/>
        </w:rPr>
        <w:t>-</w:t>
        <w:tab/>
        <w:t>manual;</w:t>
      </w:r>
    </w:p>
    <w:p>
      <w:pPr>
        <w:pStyle w:val="B1"/>
        <w:rPr>
          <w:lang w:val="it-IT"/>
        </w:rPr>
      </w:pPr>
      <w:r>
        <w:rPr>
          <w:lang w:val="it-IT"/>
        </w:rPr>
        <w:t>-</w:t>
        <w:tab/>
        <w:t>appropriate V-series protocol;</w:t>
      </w:r>
    </w:p>
    <w:p>
      <w:pPr>
        <w:pStyle w:val="B1"/>
        <w:rPr>
          <w:lang w:val="it-IT"/>
        </w:rPr>
      </w:pPr>
      <w:r>
        <w:rPr>
          <w:lang w:val="it-IT"/>
        </w:rPr>
        <w:t>-</w:t>
        <w:tab/>
        <w:t>appropriate X-series protocol;</w:t>
      </w:r>
    </w:p>
    <w:p>
      <w:pPr>
        <w:pStyle w:val="B1"/>
        <w:rPr/>
      </w:pPr>
      <w:r>
        <w:rPr/>
        <w:t>-</w:t>
        <w:tab/>
        <w:t>I-series stack of signalling protocols.</w:t>
      </w:r>
    </w:p>
    <w:p>
      <w:pPr>
        <w:pStyle w:val="Heading2"/>
        <w:bidi w:val="0"/>
        <w:jc w:val="start"/>
        <w:rPr/>
      </w:pPr>
      <w:bookmarkStart w:id="35" w:name="__RefHeading___Toc217728523"/>
      <w:bookmarkEnd w:id="35"/>
      <w:r>
        <w:rPr/>
        <w:t>A.2.2</w:t>
        <w:tab/>
        <w:t>Information access</w:t>
      </w:r>
    </w:p>
    <w:p>
      <w:pPr>
        <w:pStyle w:val="Heading3"/>
        <w:bidi w:val="0"/>
        <w:jc w:val="start"/>
        <w:rPr/>
      </w:pPr>
      <w:bookmarkStart w:id="36" w:name="__RefHeading___Toc217728524"/>
      <w:bookmarkEnd w:id="36"/>
      <w:r>
        <w:rPr/>
        <w:t>A.2.2.1</w:t>
        <w:tab/>
        <w:t>Rate</w:t>
      </w:r>
    </w:p>
    <w:p>
      <w:pPr>
        <w:pStyle w:val="Normal"/>
        <w:rPr/>
      </w:pPr>
      <w:r>
        <w:rPr/>
        <w:t>This attribute describes either the bit rate (circuit mode including transparent access to a PSPDN) or  variable bit rate (packet mode) used to transfer the user information at a given access point or reference.</w:t>
      </w:r>
    </w:p>
    <w:p>
      <w:pPr>
        <w:pStyle w:val="Normal"/>
        <w:rPr/>
      </w:pPr>
      <w:r>
        <w:rPr/>
        <w:t>Values:</w:t>
      </w:r>
    </w:p>
    <w:p>
      <w:pPr>
        <w:pStyle w:val="B1"/>
        <w:rPr/>
      </w:pPr>
      <w:r>
        <w:rPr/>
        <w:t>-</w:t>
        <w:tab/>
        <w:t>appropriate bit rate;</w:t>
      </w:r>
    </w:p>
    <w:p>
      <w:pPr>
        <w:pStyle w:val="B1"/>
        <w:rPr/>
      </w:pPr>
      <w:r>
        <w:rPr/>
        <w:t>-</w:t>
        <w:tab/>
        <w:t>variable bit rate.</w:t>
      </w:r>
    </w:p>
    <w:p>
      <w:pPr>
        <w:pStyle w:val="Heading3"/>
        <w:bidi w:val="0"/>
        <w:jc w:val="start"/>
        <w:rPr/>
      </w:pPr>
      <w:bookmarkStart w:id="37" w:name="__RefHeading___Toc217728525"/>
      <w:bookmarkEnd w:id="37"/>
      <w:r>
        <w:rPr/>
        <w:t>A.2.2.2</w:t>
        <w:tab/>
        <w:t>Interface</w:t>
      </w:r>
    </w:p>
    <w:p>
      <w:pPr>
        <w:pStyle w:val="Normal"/>
        <w:keepNext w:val="true"/>
        <w:rPr/>
      </w:pPr>
      <w:r>
        <w:rPr/>
        <w:t>This attribute describes the interface according to the protocol used to transfer user information at a given access point or reference.</w:t>
      </w:r>
    </w:p>
    <w:p>
      <w:pPr>
        <w:pStyle w:val="Normal"/>
        <w:keepNext w:val="true"/>
        <w:rPr/>
      </w:pPr>
      <w:r>
        <w:rPr/>
        <w:t>Values:</w:t>
      </w:r>
    </w:p>
    <w:p>
      <w:pPr>
        <w:pStyle w:val="B1"/>
        <w:rPr/>
      </w:pPr>
      <w:r>
        <w:rPr/>
        <w:t>-</w:t>
        <w:tab/>
        <w:t>appropriate V-series DTE/DCE interface;</w:t>
      </w:r>
    </w:p>
    <w:p>
      <w:pPr>
        <w:pStyle w:val="B1"/>
        <w:rPr/>
      </w:pPr>
      <w:r>
        <w:rPr/>
        <w:t>-</w:t>
        <w:tab/>
        <w:t>appropriate X-series interface;</w:t>
      </w:r>
    </w:p>
    <w:p>
      <w:pPr>
        <w:pStyle w:val="B1"/>
        <w:rPr/>
      </w:pPr>
      <w:r>
        <w:rPr/>
        <w:t>-</w:t>
        <w:tab/>
        <w:t>S interface;</w:t>
      </w:r>
    </w:p>
    <w:p>
      <w:pPr>
        <w:pStyle w:val="B1"/>
        <w:rPr/>
      </w:pPr>
      <w:r>
        <w:rPr/>
        <w:t>-</w:t>
        <w:tab/>
        <w:t>analogue 4-Wire interface.</w:t>
      </w:r>
    </w:p>
    <w:p>
      <w:pPr>
        <w:pStyle w:val="Heading1"/>
        <w:bidi w:val="0"/>
        <w:ind w:start="1134" w:hanging="1134"/>
        <w:jc w:val="start"/>
        <w:rPr/>
      </w:pPr>
      <w:bookmarkStart w:id="38" w:name="__RefHeading___Toc217728526"/>
      <w:bookmarkEnd w:id="38"/>
      <w:r>
        <w:rPr/>
        <w:t>A.3</w:t>
        <w:tab/>
        <w:t>Interworking attribute</w:t>
      </w:r>
    </w:p>
    <w:p>
      <w:pPr>
        <w:pStyle w:val="Heading2"/>
        <w:bidi w:val="0"/>
        <w:jc w:val="start"/>
        <w:rPr/>
      </w:pPr>
      <w:bookmarkStart w:id="39" w:name="__RefHeading___Toc217728527"/>
      <w:bookmarkEnd w:id="39"/>
      <w:r>
        <w:rPr/>
        <w:t>A.3.1</w:t>
        <w:tab/>
        <w:t>Type of terminating network</w:t>
      </w:r>
    </w:p>
    <w:p>
      <w:pPr>
        <w:pStyle w:val="Normal"/>
        <w:rPr/>
      </w:pPr>
      <w:r>
        <w:rPr/>
        <w:t>Communication can be established between a UE in a PLMN (originating network) and a terminal in a network (terminating network) including the same PLMN or another PLMN. The attribute designates the terminating network.</w:t>
      </w:r>
    </w:p>
    <w:p>
      <w:pPr>
        <w:pStyle w:val="NO"/>
        <w:rPr/>
      </w:pPr>
      <w:r>
        <w:rPr/>
        <w:t>NOTE 1:</w:t>
        <w:tab/>
        <w:t>The terms "originating" and "terminating" do not indicate the direction of communication establishment.</w:t>
      </w:r>
    </w:p>
    <w:p>
      <w:pPr>
        <w:pStyle w:val="NO"/>
        <w:rPr/>
      </w:pPr>
      <w:r>
        <w:rPr/>
        <w:t>NOTE 2:</w:t>
        <w:tab/>
        <w:t>This attribute does not reflect whether there is none, one or several transit networks between the originating and terminating networks.</w:t>
      </w:r>
    </w:p>
    <w:p>
      <w:pPr>
        <w:pStyle w:val="Normal"/>
        <w:rPr/>
      </w:pPr>
      <w:r>
        <w:rPr/>
        <w:t>Values:</w:t>
      </w:r>
    </w:p>
    <w:p>
      <w:pPr>
        <w:pStyle w:val="B1"/>
        <w:rPr/>
      </w:pPr>
      <w:r>
        <w:rPr/>
        <w:t>-</w:t>
        <w:tab/>
        <w:t>PSTN;</w:t>
      </w:r>
    </w:p>
    <w:p>
      <w:pPr>
        <w:pStyle w:val="B1"/>
        <w:rPr/>
      </w:pPr>
      <w:r>
        <w:rPr/>
        <w:t>-</w:t>
        <w:tab/>
        <w:t>ISDN;</w:t>
      </w:r>
    </w:p>
    <w:p>
      <w:pPr>
        <w:pStyle w:val="B1"/>
        <w:rPr/>
      </w:pPr>
      <w:r>
        <w:rPr/>
        <w:t>-</w:t>
        <w:tab/>
        <w:t>PSPDN;</w:t>
      </w:r>
    </w:p>
    <w:p>
      <w:pPr>
        <w:pStyle w:val="B1"/>
        <w:rPr/>
      </w:pPr>
      <w:r>
        <w:rPr/>
        <w:t>-</w:t>
        <w:tab/>
        <w:t>PDN;</w:t>
      </w:r>
    </w:p>
    <w:p>
      <w:pPr>
        <w:pStyle w:val="B1"/>
        <w:rPr/>
      </w:pPr>
      <w:r>
        <w:rPr/>
        <w:t>-</w:t>
        <w:tab/>
        <w:t>PLMN;</w:t>
      </w:r>
    </w:p>
    <w:p>
      <w:pPr>
        <w:pStyle w:val="B1"/>
        <w:rPr/>
      </w:pPr>
      <w:r>
        <w:rPr/>
        <w:t>-</w:t>
        <w:tab/>
        <w:t>direct access networks.</w:t>
      </w:r>
    </w:p>
    <w:p>
      <w:pPr>
        <w:pStyle w:val="Heading2"/>
        <w:bidi w:val="0"/>
        <w:jc w:val="start"/>
        <w:rPr/>
      </w:pPr>
      <w:bookmarkStart w:id="40" w:name="__RefHeading___Toc217728528"/>
      <w:bookmarkEnd w:id="40"/>
      <w:r>
        <w:rPr/>
        <w:t>A.3.2</w:t>
        <w:tab/>
        <w:t>Terminal to terminating network interface</w:t>
      </w:r>
    </w:p>
    <w:p>
      <w:pPr>
        <w:pStyle w:val="Normal"/>
        <w:rPr/>
      </w:pPr>
      <w:r>
        <w:rPr/>
        <w:t>This attribute describes the interface between a terminal equipment and the terminating network.</w:t>
      </w:r>
    </w:p>
    <w:p>
      <w:pPr>
        <w:pStyle w:val="Normal"/>
        <w:rPr/>
      </w:pPr>
      <w:r>
        <w:rPr/>
        <w:t>Values:</w:t>
      </w:r>
    </w:p>
    <w:p>
      <w:pPr>
        <w:pStyle w:val="B1"/>
        <w:rPr/>
      </w:pPr>
      <w:r>
        <w:rPr/>
        <w:t>-</w:t>
        <w:tab/>
        <w:t>appropriate V-series (DTE/DCE) interface;</w:t>
      </w:r>
    </w:p>
    <w:p>
      <w:pPr>
        <w:pStyle w:val="B1"/>
        <w:rPr/>
      </w:pPr>
      <w:r>
        <w:rPr/>
        <w:t>-</w:t>
        <w:tab/>
        <w:t>appropriate X-series interface;</w:t>
      </w:r>
    </w:p>
    <w:p>
      <w:pPr>
        <w:pStyle w:val="B1"/>
        <w:rPr/>
      </w:pPr>
      <w:r>
        <w:rPr/>
        <w:t>-</w:t>
        <w:tab/>
        <w:t>analogue 2 resp. 4 wire interface;</w:t>
      </w:r>
    </w:p>
    <w:p>
      <w:pPr>
        <w:pStyle w:val="B1"/>
        <w:rPr/>
      </w:pPr>
      <w:r>
        <w:rPr/>
        <w:t>-</w:t>
        <w:tab/>
        <w:t>S interface (D+B+B).</w:t>
      </w:r>
    </w:p>
    <w:p>
      <w:pPr>
        <w:pStyle w:val="Heading1"/>
        <w:bidi w:val="0"/>
        <w:ind w:start="1134" w:hanging="1134"/>
        <w:jc w:val="start"/>
        <w:rPr/>
      </w:pPr>
      <w:bookmarkStart w:id="41" w:name="__RefHeading___Toc217728529"/>
      <w:bookmarkEnd w:id="41"/>
      <w:r>
        <w:rPr/>
        <w:t>A.4</w:t>
        <w:tab/>
        <w:t>General attributes</w:t>
      </w:r>
    </w:p>
    <w:p>
      <w:pPr>
        <w:pStyle w:val="Heading2"/>
        <w:bidi w:val="0"/>
        <w:jc w:val="start"/>
        <w:rPr/>
      </w:pPr>
      <w:bookmarkStart w:id="42" w:name="__RefHeading___Toc217728530"/>
      <w:bookmarkEnd w:id="42"/>
      <w:r>
        <w:rPr/>
        <w:t>A.4.1</w:t>
        <w:tab/>
        <w:t>Supplementary services provided</w:t>
      </w:r>
    </w:p>
    <w:p>
      <w:pPr>
        <w:pStyle w:val="Normal"/>
        <w:rPr/>
      </w:pPr>
      <w:r>
        <w:rPr/>
        <w:t>This attribute refers to the supplementary services to a given telecommunication service.</w:t>
      </w:r>
    </w:p>
    <w:p>
      <w:pPr>
        <w:pStyle w:val="Normal"/>
        <w:rPr/>
      </w:pPr>
      <w:r>
        <w:rPr/>
        <w:t>Values:</w:t>
      </w:r>
    </w:p>
    <w:p>
      <w:pPr>
        <w:pStyle w:val="B1"/>
        <w:rPr/>
      </w:pPr>
      <w:r>
        <w:rPr/>
        <w:t>-</w:t>
        <w:tab/>
        <w:t>appropriate supplementary services.</w:t>
      </w:r>
    </w:p>
    <w:p>
      <w:pPr>
        <w:pStyle w:val="Heading2"/>
        <w:bidi w:val="0"/>
        <w:jc w:val="start"/>
        <w:rPr/>
      </w:pPr>
      <w:bookmarkStart w:id="43" w:name="__RefHeading___Toc217728531"/>
      <w:bookmarkEnd w:id="43"/>
      <w:r>
        <w:rPr/>
        <w:t>A.4.2</w:t>
        <w:tab/>
        <w:t>Quality of service</w:t>
      </w:r>
    </w:p>
    <w:p>
      <w:pPr>
        <w:pStyle w:val="Normal"/>
        <w:rPr/>
      </w:pPr>
      <w:r>
        <w:rPr/>
        <w:t>The Bearer Services use the Quality of Service attribute to indicate one of the following values:</w:t>
      </w:r>
    </w:p>
    <w:p>
      <w:pPr>
        <w:pStyle w:val="B1"/>
        <w:rPr/>
      </w:pPr>
      <w:r>
        <w:rPr/>
        <w:t>-</w:t>
        <w:tab/>
        <w:t>transparent;</w:t>
        <w:br/>
        <w:t>service characterized by constant throughput, constant transit delay and variable error rate.</w:t>
      </w:r>
    </w:p>
    <w:p>
      <w:pPr>
        <w:pStyle w:val="B1"/>
        <w:rPr/>
      </w:pPr>
      <w:r>
        <w:rPr/>
        <w:t>-</w:t>
        <w:tab/>
        <w:t>non-transparent;</w:t>
        <w:br/>
        <w:t>service characterized by an improved error rate with variable transit delay and throughput.</w:t>
      </w:r>
    </w:p>
    <w:p>
      <w:pPr>
        <w:pStyle w:val="Heading2"/>
        <w:bidi w:val="0"/>
        <w:jc w:val="start"/>
        <w:rPr/>
      </w:pPr>
      <w:bookmarkStart w:id="44" w:name="__RefHeading___Toc217728532"/>
      <w:bookmarkEnd w:id="44"/>
      <w:r>
        <w:rPr/>
        <w:t>A.4.3</w:t>
        <w:tab/>
        <w:t>Commercial and operational</w:t>
      </w:r>
    </w:p>
    <w:p>
      <w:pPr>
        <w:pStyle w:val="Heading2"/>
        <w:bidi w:val="0"/>
        <w:jc w:val="start"/>
        <w:rPr/>
      </w:pPr>
      <w:bookmarkStart w:id="45" w:name="__RefHeading___Toc217728533"/>
      <w:bookmarkEnd w:id="45"/>
      <w:r>
        <w:rPr/>
        <w:t>A.4.4</w:t>
        <w:tab/>
        <w:t>Service interworking</w:t>
      </w:r>
      <w:r>
        <w:br w:type="page"/>
      </w:r>
    </w:p>
    <w:p>
      <w:pPr>
        <w:pStyle w:val="Heading8"/>
        <w:bidi w:val="0"/>
        <w:ind w:start="0" w:hanging="0"/>
        <w:jc w:val="start"/>
        <w:rPr/>
      </w:pPr>
      <w:bookmarkStart w:id="46" w:name="__RefHeading___Toc217728534"/>
      <w:bookmarkEnd w:id="46"/>
      <w:r>
        <w:rPr/>
        <w:t>Annex B (normative):</w:t>
        <w:br/>
        <w:t>List of definitions of attributes and values used for teleservices</w:t>
      </w:r>
    </w:p>
    <w:p>
      <w:pPr>
        <w:pStyle w:val="Heading1"/>
        <w:bidi w:val="0"/>
        <w:ind w:start="1134" w:hanging="1134"/>
        <w:jc w:val="start"/>
        <w:rPr/>
      </w:pPr>
      <w:bookmarkStart w:id="47" w:name="__RefHeading___Toc217728535"/>
      <w:bookmarkEnd w:id="47"/>
      <w:r>
        <w:rPr/>
        <w:t>B.1</w:t>
        <w:tab/>
        <w:t>High layer attributes</w:t>
      </w:r>
    </w:p>
    <w:p>
      <w:pPr>
        <w:pStyle w:val="Heading2"/>
        <w:bidi w:val="0"/>
        <w:jc w:val="start"/>
        <w:rPr/>
      </w:pPr>
      <w:bookmarkStart w:id="48" w:name="__RefHeading___Toc217728536"/>
      <w:bookmarkEnd w:id="48"/>
      <w:r>
        <w:rPr/>
        <w:t>B.1.1</w:t>
        <w:tab/>
        <w:t>Type of user information</w:t>
      </w:r>
    </w:p>
    <w:p>
      <w:pPr>
        <w:pStyle w:val="Normal"/>
        <w:rPr/>
      </w:pPr>
      <w:r>
        <w:rPr/>
        <w:t>This attribute describes the type of information which the communication offered to the user by the teleservice is based on.</w:t>
      </w:r>
    </w:p>
    <w:p>
      <w:pPr>
        <w:pStyle w:val="Normal"/>
        <w:rPr/>
      </w:pPr>
      <w:r>
        <w:rPr/>
        <w:t>Values:</w:t>
      </w:r>
    </w:p>
    <w:p>
      <w:pPr>
        <w:pStyle w:val="B1"/>
        <w:rPr/>
      </w:pPr>
      <w:r>
        <w:rPr/>
        <w:t>-</w:t>
        <w:tab/>
        <w:t>speech;</w:t>
      </w:r>
    </w:p>
    <w:p>
      <w:pPr>
        <w:pStyle w:val="B1"/>
        <w:rPr/>
      </w:pPr>
      <w:r>
        <w:rPr/>
        <w:t>-</w:t>
        <w:tab/>
        <w:t>short message;</w:t>
      </w:r>
    </w:p>
    <w:p>
      <w:pPr>
        <w:pStyle w:val="B1"/>
        <w:rPr/>
      </w:pPr>
      <w:r>
        <w:rPr/>
        <w:t>-</w:t>
        <w:tab/>
        <w:t>facsimile.</w:t>
      </w:r>
    </w:p>
    <w:p>
      <w:pPr>
        <w:pStyle w:val="Heading2"/>
        <w:bidi w:val="0"/>
        <w:jc w:val="start"/>
        <w:rPr/>
      </w:pPr>
      <w:bookmarkStart w:id="49" w:name="__RefHeading___Toc217728537"/>
      <w:bookmarkEnd w:id="49"/>
      <w:r>
        <w:rPr/>
        <w:t>B.1.2</w:t>
        <w:tab/>
        <w:t>Layer 4 protocol functions</w:t>
      </w:r>
    </w:p>
    <w:p>
      <w:pPr>
        <w:pStyle w:val="Heading2"/>
        <w:bidi w:val="0"/>
        <w:jc w:val="start"/>
        <w:rPr/>
      </w:pPr>
      <w:bookmarkStart w:id="50" w:name="__RefHeading___Toc217728538"/>
      <w:bookmarkEnd w:id="50"/>
      <w:r>
        <w:rPr/>
        <w:t>B.1.3</w:t>
        <w:tab/>
        <w:t>Layer 5 protocol functions</w:t>
      </w:r>
    </w:p>
    <w:p>
      <w:pPr>
        <w:pStyle w:val="Heading2"/>
        <w:bidi w:val="0"/>
        <w:jc w:val="start"/>
        <w:rPr/>
      </w:pPr>
      <w:bookmarkStart w:id="51" w:name="__RefHeading___Toc217728539"/>
      <w:bookmarkEnd w:id="51"/>
      <w:r>
        <w:rPr/>
        <w:t>B.1.4</w:t>
        <w:tab/>
        <w:t>Layer 6 protocol functions</w:t>
      </w:r>
    </w:p>
    <w:p>
      <w:pPr>
        <w:pStyle w:val="Heading2"/>
        <w:bidi w:val="0"/>
        <w:jc w:val="start"/>
        <w:rPr/>
      </w:pPr>
      <w:bookmarkStart w:id="52" w:name="__RefHeading___Toc217728540"/>
      <w:bookmarkEnd w:id="52"/>
      <w:r>
        <w:rPr/>
        <w:t>B.1.5</w:t>
        <w:tab/>
        <w:t>Layer 7 protocol functions</w:t>
      </w:r>
    </w:p>
    <w:p>
      <w:pPr>
        <w:pStyle w:val="Heading1"/>
        <w:bidi w:val="0"/>
        <w:ind w:start="1134" w:hanging="1134"/>
        <w:jc w:val="start"/>
        <w:rPr/>
      </w:pPr>
      <w:bookmarkStart w:id="53" w:name="__RefHeading___Toc217728541"/>
      <w:bookmarkEnd w:id="53"/>
      <w:r>
        <w:rPr/>
        <w:t>B.2</w:t>
        <w:tab/>
        <w:t>Low layer attribute (bearer capabilities)</w:t>
      </w:r>
    </w:p>
    <w:p>
      <w:pPr>
        <w:pStyle w:val="Normal"/>
        <w:rPr/>
      </w:pPr>
      <w:r>
        <w:rPr/>
        <w:t>The low layer attributes describe the bearer capabilities which support the teleservice. These low layer attributes and their values are the same as presented in Annex A: List of definitions of attributes and values used for bearer services.</w:t>
      </w:r>
    </w:p>
    <w:p>
      <w:pPr>
        <w:pStyle w:val="Heading1"/>
        <w:bidi w:val="0"/>
        <w:ind w:start="1134" w:hanging="1134"/>
        <w:jc w:val="start"/>
        <w:rPr/>
      </w:pPr>
      <w:bookmarkStart w:id="54" w:name="__RefHeading___Toc217728542"/>
      <w:bookmarkEnd w:id="54"/>
      <w:r>
        <w:rPr/>
        <w:t>B.3</w:t>
        <w:tab/>
        <w:t>General attributes</w:t>
      </w:r>
    </w:p>
    <w:p>
      <w:pPr>
        <w:pStyle w:val="Normal"/>
        <w:rPr/>
      </w:pPr>
      <w:r>
        <w:rPr/>
        <w:t>The general attributes are the same as presented in annex A: List of definitions and values used for bearer services.</w:t>
      </w:r>
      <w:r>
        <w:br w:type="page"/>
      </w:r>
    </w:p>
    <w:p>
      <w:pPr>
        <w:pStyle w:val="Heading8"/>
        <w:bidi w:val="0"/>
        <w:ind w:start="0" w:hanging="0"/>
        <w:jc w:val="start"/>
        <w:rPr/>
      </w:pPr>
      <w:bookmarkStart w:id="55" w:name="__RefHeading___Toc217728543"/>
      <w:bookmarkEnd w:id="55"/>
      <w:r>
        <w:rPr/>
        <w:t>Annex C (normative):</w:t>
        <w:br/>
        <w:t>Definition of "busy" in a PLMN</w:t>
      </w:r>
    </w:p>
    <w:p>
      <w:pPr>
        <w:pStyle w:val="Heading1"/>
        <w:bidi w:val="0"/>
        <w:ind w:start="1134" w:hanging="1134"/>
        <w:jc w:val="start"/>
        <w:rPr/>
      </w:pPr>
      <w:bookmarkStart w:id="56" w:name="__RefHeading___Toc217728544"/>
      <w:bookmarkEnd w:id="56"/>
      <w:r>
        <w:rPr/>
        <w:t>C.1</w:t>
        <w:tab/>
        <w:t>Scope</w:t>
      </w:r>
    </w:p>
    <w:p>
      <w:pPr>
        <w:pStyle w:val="Normal"/>
        <w:rPr/>
      </w:pPr>
      <w:r>
        <w:rPr/>
        <w:t>This annex describes the conditions under which a given mobile subscriber (station) is considered as "busy". In general, this occurs whenever the resources associated with that UE (and needed to successfully complete the call) exist but are not available for that call. The description is based on the busy definition in the ISDN (CCITT Recommendation I.221).</w:t>
      </w:r>
    </w:p>
    <w:p>
      <w:pPr>
        <w:pStyle w:val="Normal"/>
        <w:rPr/>
      </w:pPr>
      <w:r>
        <w:rPr/>
        <w:t>In addition, the operation of some Supplementary Services occurs when certain of these resources are busy. Therefore, these "resources busy" are also described herein.</w:t>
      </w:r>
    </w:p>
    <w:p>
      <w:pPr>
        <w:pStyle w:val="Normal"/>
        <w:rPr/>
      </w:pPr>
      <w:r>
        <w:rPr/>
        <w:t>This annex does not cover the cases, when network resources not associated with a given destination are unavailable, or when such resources are out-of-service or otherwise non-functional.</w:t>
      </w:r>
    </w:p>
    <w:p>
      <w:pPr>
        <w:pStyle w:val="Heading1"/>
        <w:bidi w:val="0"/>
        <w:ind w:start="1134" w:hanging="1134"/>
        <w:jc w:val="start"/>
        <w:rPr/>
      </w:pPr>
      <w:bookmarkStart w:id="57" w:name="__RefHeading___Toc217728545"/>
      <w:bookmarkEnd w:id="57"/>
      <w:r>
        <w:rPr/>
        <w:t>C.2</w:t>
        <w:tab/>
        <w:t>Network Determined User Busy (NDUB) condition</w:t>
      </w:r>
    </w:p>
    <w:p>
      <w:pPr>
        <w:pStyle w:val="Normal"/>
        <w:rPr/>
      </w:pPr>
      <w:r>
        <w:rPr/>
        <w:t>This condition occurs, when a call is about to be offered, if the information (i.e. traffic) channel is busy and the maximum number of total calls has been reached (see note).</w:t>
      </w:r>
    </w:p>
    <w:p>
      <w:pPr>
        <w:pStyle w:val="Normal"/>
        <w:rPr/>
      </w:pPr>
      <w:r>
        <w:rPr/>
        <w:t>This condition also occurs, when a call is about to be offered and an already on-going call attempt (incoming or outgoing) is in the establishing phase, i.e. not yet active.</w:t>
      </w:r>
    </w:p>
    <w:p>
      <w:pPr>
        <w:pStyle w:val="Normal"/>
        <w:rPr/>
      </w:pPr>
      <w:r>
        <w:rPr/>
        <w:t>When NDUB condition occurs, the PLMN will clear the call and indicate "busy" back towards the calling subscriber (see also clause 4).</w:t>
      </w:r>
    </w:p>
    <w:p>
      <w:pPr>
        <w:pStyle w:val="NO"/>
        <w:rPr/>
      </w:pPr>
      <w:r>
        <w:rPr/>
        <w:t>NOTE:</w:t>
        <w:tab/>
        <w:t>The value of the maximum number of calls is 1 for the basic call. When the supplementary service "Call Waiting" is applicable the value is n+1 where n is the maximum number of calls that can be waiting.</w:t>
      </w:r>
    </w:p>
    <w:p>
      <w:pPr>
        <w:pStyle w:val="NO"/>
        <w:ind w:start="0" w:hanging="0"/>
        <w:rPr/>
      </w:pPr>
      <w:r>
        <w:rPr/>
        <w:t>3GPP TS 22.135 [11] defines NDUB for Multicall environment.</w:t>
      </w:r>
    </w:p>
    <w:p>
      <w:pPr>
        <w:pStyle w:val="Heading1"/>
        <w:bidi w:val="0"/>
        <w:ind w:start="1134" w:hanging="1134"/>
        <w:jc w:val="start"/>
        <w:rPr/>
      </w:pPr>
      <w:bookmarkStart w:id="58" w:name="__RefHeading___Toc217728546"/>
      <w:bookmarkEnd w:id="58"/>
      <w:r>
        <w:rPr/>
        <w:t>C.3</w:t>
        <w:tab/>
        <w:t>User Determined User Busy (UDUB) condition</w:t>
      </w:r>
    </w:p>
    <w:p>
      <w:pPr>
        <w:pStyle w:val="Normal"/>
        <w:rPr/>
      </w:pPr>
      <w:r>
        <w:rPr/>
        <w:t>This condition occurs when a call is offered to a user equipment and the UE responds "user busy" because the subscribers resources (terminal or person using them) are busy. Then the PLMN will clear the call with the indication "busy" back towards the calling subscriber (see also clause 4).</w:t>
      </w:r>
    </w:p>
    <w:p>
      <w:pPr>
        <w:pStyle w:val="Heading1"/>
        <w:bidi w:val="0"/>
        <w:ind w:start="1134" w:hanging="1134"/>
        <w:jc w:val="start"/>
        <w:rPr/>
      </w:pPr>
      <w:bookmarkStart w:id="59" w:name="__RefHeading___Toc217728547"/>
      <w:bookmarkEnd w:id="59"/>
      <w:r>
        <w:rPr/>
        <w:t>C.4</w:t>
        <w:tab/>
        <w:t>Mobile subscriber busy</w:t>
      </w:r>
    </w:p>
    <w:p>
      <w:pPr>
        <w:pStyle w:val="Normal"/>
        <w:rPr/>
      </w:pPr>
      <w:r>
        <w:rPr/>
        <w:t>A mobile subscriber is considered to be busy if either a "Network Determined User Busy" or a "User Determined User Busy" condition occurs.</w:t>
      </w:r>
    </w:p>
    <w:p>
      <w:pPr>
        <w:pStyle w:val="Normal"/>
        <w:rPr/>
      </w:pPr>
      <w:r>
        <w:rPr/>
        <w:t>Some supplementary services (e.g. Call Forwarding on Busy) may cause the call not to be cleared when a busy condition occurs.</w:t>
      </w:r>
      <w:r>
        <w:br w:type="page"/>
      </w:r>
    </w:p>
    <w:p>
      <w:pPr>
        <w:pStyle w:val="Heading8"/>
        <w:bidi w:val="0"/>
        <w:ind w:start="0" w:hanging="0"/>
        <w:jc w:val="start"/>
        <w:rPr/>
      </w:pPr>
      <w:bookmarkStart w:id="60" w:name="__RefHeading___Toc217728548"/>
      <w:bookmarkEnd w:id="60"/>
      <w:r>
        <w:rPr/>
        <w:t>Annex D (normative):</w:t>
        <w:br/>
        <w:t>Call set-up procedures</w:t>
      </w:r>
    </w:p>
    <w:p>
      <w:pPr>
        <w:pStyle w:val="Heading1"/>
        <w:bidi w:val="0"/>
        <w:ind w:start="1134" w:hanging="1134"/>
        <w:jc w:val="start"/>
        <w:rPr/>
      </w:pPr>
      <w:bookmarkStart w:id="61" w:name="__RefHeading___Toc217728549"/>
      <w:bookmarkEnd w:id="61"/>
      <w:r>
        <w:rPr/>
        <w:t>D.1</w:t>
        <w:tab/>
        <w:t>Scope</w:t>
      </w:r>
    </w:p>
    <w:p>
      <w:pPr>
        <w:pStyle w:val="Normal"/>
        <w:rPr/>
      </w:pPr>
      <w:r>
        <w:rPr/>
        <w:t>This annex specifies the service requirements for call set-up, both Mobile originated and mobile terminated, in a network, including the establishment of radio contact.</w:t>
      </w:r>
    </w:p>
    <w:p>
      <w:pPr>
        <w:pStyle w:val="Heading1"/>
        <w:bidi w:val="0"/>
        <w:ind w:start="1134" w:hanging="1134"/>
        <w:jc w:val="start"/>
        <w:rPr/>
      </w:pPr>
      <w:bookmarkStart w:id="62" w:name="__RefHeading___Toc217728550"/>
      <w:bookmarkEnd w:id="62"/>
      <w:r>
        <w:rPr/>
        <w:t>D.2</w:t>
        <w:tab/>
        <w:t>Mobile Originated Call Set-up</w:t>
      </w:r>
    </w:p>
    <w:p>
      <w:pPr>
        <w:pStyle w:val="Normal"/>
        <w:rPr/>
      </w:pPr>
      <w:r>
        <w:rPr/>
        <w:t>When an UE wishes to start a call and there is no existing radio connection, it requests a signalling channel. When such a signalling channel has been allocated to the UE, the UE can transfer the call set-up information.</w:t>
      </w:r>
    </w:p>
    <w:p>
      <w:pPr>
        <w:pStyle w:val="Normal"/>
        <w:rPr/>
      </w:pPr>
      <w:r>
        <w:rPr/>
        <w:t>A traffic channel may be allocated at any time before the network informs the UE that the remote user has answered.</w:t>
      </w:r>
    </w:p>
    <w:p>
      <w:pPr>
        <w:pStyle w:val="Normal"/>
        <w:rPr/>
      </w:pPr>
      <w:r>
        <w:rPr/>
        <w:t>For a call to be set up, certain information needs to be sent by the UE to the network, defining the call. This information may be provided as default by the MS, it may be derived from the SIM/USIM or be entered by the user either directly into the UE or from a DTE by using the DTE/DCE Interface.</w:t>
      </w:r>
    </w:p>
    <w:p>
      <w:pPr>
        <w:pStyle w:val="Normal"/>
        <w:rPr/>
      </w:pPr>
      <w:r>
        <w:rPr/>
        <w:t>The following information is sent. Where necessary, default values will generally be inserted by the UE if not directly specified by the user. The  Teleservice Emergency Calls are set up using a special procedure not using the fields described in this clause (except for the Bearer Capability).</w:t>
      </w:r>
    </w:p>
    <w:p>
      <w:pPr>
        <w:pStyle w:val="Heading2"/>
        <w:bidi w:val="0"/>
        <w:jc w:val="start"/>
        <w:rPr/>
      </w:pPr>
      <w:bookmarkStart w:id="63" w:name="__RefHeading___Toc217728551"/>
      <w:bookmarkEnd w:id="63"/>
      <w:r>
        <w:rPr/>
        <w:t>D.2.1</w:t>
        <w:tab/>
        <w:t>Called Party Address</w:t>
      </w:r>
    </w:p>
    <w:p>
      <w:pPr>
        <w:pStyle w:val="Normal"/>
        <w:rPr/>
      </w:pPr>
      <w:r>
        <w:rPr/>
        <w:t>This is the address of the called party, generally as defined in 3GPP TS 23.003 [14], using the TON/NPI specified below</w:t>
      </w:r>
    </w:p>
    <w:p>
      <w:pPr>
        <w:pStyle w:val="Heading2"/>
        <w:bidi w:val="0"/>
        <w:jc w:val="start"/>
        <w:rPr/>
      </w:pPr>
      <w:bookmarkStart w:id="64" w:name="__RefHeading___Toc217728552"/>
      <w:bookmarkEnd w:id="64"/>
      <w:r>
        <w:rPr/>
        <w:t>D.2.2</w:t>
        <w:tab/>
        <w:t>Calling/Called Party Sub-address</w:t>
      </w:r>
    </w:p>
    <w:p>
      <w:pPr>
        <w:pStyle w:val="Normal"/>
        <w:rPr/>
      </w:pPr>
      <w:r>
        <w:rPr/>
        <w:t>This is the sub-address of the calling/called party, as defined in 3GPP TS 23.003 [14], in order to provide interworking with ISDN. This is described in more detail in ETS 300 059. Support and use of these fields are optional.</w:t>
      </w:r>
    </w:p>
    <w:p>
      <w:pPr>
        <w:pStyle w:val="Heading2"/>
        <w:bidi w:val="0"/>
        <w:jc w:val="start"/>
        <w:rPr/>
      </w:pPr>
      <w:bookmarkStart w:id="65" w:name="__RefHeading___Toc217728553"/>
      <w:bookmarkEnd w:id="65"/>
      <w:r>
        <w:rPr/>
        <w:t>D.2.3</w:t>
        <w:tab/>
        <w:t>Type of Number</w:t>
      </w:r>
    </w:p>
    <w:p>
      <w:pPr>
        <w:pStyle w:val="Normal"/>
        <w:rPr/>
      </w:pPr>
      <w:r>
        <w:rPr/>
        <w:t>This indicates the format of the called party address. The selection procedure is given in 3GPP TS 22.030 [9]. The following Types of Number are commonly used:</w:t>
      </w:r>
    </w:p>
    <w:p>
      <w:pPr>
        <w:pStyle w:val="B1"/>
        <w:rPr/>
      </w:pPr>
      <w:r>
        <w:rPr/>
        <w:t>-</w:t>
        <w:tab/>
        <w:t>International Format;</w:t>
      </w:r>
    </w:p>
    <w:p>
      <w:pPr>
        <w:pStyle w:val="B1"/>
        <w:rPr/>
      </w:pPr>
      <w:r>
        <w:rPr/>
        <w:t>-</w:t>
        <w:tab/>
        <w:t>Open Format ("Unknown");</w:t>
      </w:r>
    </w:p>
    <w:p>
      <w:pPr>
        <w:pStyle w:val="Heading2"/>
        <w:bidi w:val="0"/>
        <w:jc w:val="start"/>
        <w:rPr/>
      </w:pPr>
      <w:bookmarkStart w:id="66" w:name="__RefHeading___Toc217728554"/>
      <w:bookmarkEnd w:id="66"/>
      <w:r>
        <w:rPr/>
        <w:t>D.2.4</w:t>
        <w:tab/>
        <w:t>Number Plan Indicator</w:t>
      </w:r>
    </w:p>
    <w:p>
      <w:pPr>
        <w:pStyle w:val="Normal"/>
        <w:rPr/>
      </w:pPr>
      <w:r>
        <w:rPr/>
        <w:t>This indicates the number plan of the called party address. Either of the following number plans may be the "default", depending on the contents of the Called Party Address (see 3GPP TS 22.030 [9]):</w:t>
      </w:r>
    </w:p>
    <w:p>
      <w:pPr>
        <w:pStyle w:val="B1"/>
        <w:rPr/>
      </w:pPr>
      <w:r>
        <w:rPr/>
        <w:t>-</w:t>
        <w:tab/>
        <w:t>ISDN/Telephony E.164;</w:t>
      </w:r>
    </w:p>
    <w:p>
      <w:pPr>
        <w:pStyle w:val="B1"/>
        <w:rPr/>
      </w:pPr>
      <w:r>
        <w:rPr/>
        <w:t>-</w:t>
        <w:tab/>
        <w:t>unknown.</w:t>
      </w:r>
    </w:p>
    <w:p>
      <w:pPr>
        <w:pStyle w:val="Normal"/>
        <w:rPr/>
      </w:pPr>
      <w:r>
        <w:rPr/>
        <w:t>Alternatively, one of these number plans may be specified if appropriate:</w:t>
      </w:r>
    </w:p>
    <w:p>
      <w:pPr>
        <w:pStyle w:val="B1"/>
        <w:rPr/>
      </w:pPr>
      <w:r>
        <w:rPr/>
        <w:t>-</w:t>
        <w:tab/>
        <w:t>data network X.121;</w:t>
      </w:r>
    </w:p>
    <w:p>
      <w:pPr>
        <w:pStyle w:val="B1"/>
        <w:rPr/>
      </w:pPr>
      <w:r>
        <w:rPr/>
        <w:t>-</w:t>
        <w:tab/>
        <w:t>telex network F.69;</w:t>
      </w:r>
    </w:p>
    <w:p>
      <w:pPr>
        <w:pStyle w:val="B1"/>
        <w:rPr/>
      </w:pPr>
      <w:r>
        <w:rPr/>
        <w:t>-</w:t>
        <w:tab/>
        <w:t>National Numbering Plan;</w:t>
      </w:r>
    </w:p>
    <w:p>
      <w:pPr>
        <w:pStyle w:val="B1"/>
        <w:rPr/>
      </w:pPr>
      <w:r>
        <w:rPr/>
        <w:t>-</w:t>
        <w:tab/>
        <w:t>Private Numbering Plan.</w:t>
      </w:r>
    </w:p>
    <w:p>
      <w:pPr>
        <w:pStyle w:val="Heading2"/>
        <w:bidi w:val="0"/>
        <w:jc w:val="start"/>
        <w:rPr/>
      </w:pPr>
      <w:bookmarkStart w:id="67" w:name="__RefHeading___Toc217728555"/>
      <w:bookmarkEnd w:id="67"/>
      <w:r>
        <w:rPr/>
        <w:t>D.2.5</w:t>
        <w:tab/>
        <w:t>Bearer Capability</w:t>
      </w:r>
    </w:p>
    <w:p>
      <w:pPr>
        <w:pStyle w:val="Normal"/>
        <w:rPr/>
      </w:pPr>
      <w:r>
        <w:rPr/>
        <w:t>This is used to define the type of call to be set up (telephony, data, rate etc.) For most applications, the UE will use a set of default conditions, generally on the assumption of a telephony call, unless otherwise set. These may be overridden by the user (or DTE via the DTE/DCE Interface) if desired except for the determination of the channel mode (full or half rate, speech codec conversion).</w:t>
      </w:r>
    </w:p>
    <w:p>
      <w:pPr>
        <w:pStyle w:val="Normal"/>
        <w:rPr/>
      </w:pPr>
      <w:r>
        <w:rPr/>
        <w:t>The UE shall indicate to the network its channel mode capability in terms of the data channels and the speech codec versions supported.</w:t>
      </w:r>
    </w:p>
    <w:p>
      <w:pPr>
        <w:pStyle w:val="Normal"/>
        <w:rPr/>
      </w:pPr>
      <w:r>
        <w:rPr/>
        <w:t>The network decides which mode to use on the basis of the requested bearer or teleservice, the available network resources and the channel mode capability of the UE:</w:t>
      </w:r>
    </w:p>
    <w:p>
      <w:pPr>
        <w:pStyle w:val="B1"/>
        <w:rPr/>
      </w:pPr>
      <w:r>
        <w:rPr/>
        <w:t>-</w:t>
        <w:tab/>
        <w:t>for the "alternate" and "followed-by" services, the same principle applies (with the exception of TS61, where a Full Rate or an Enhanced Full Rate channel shall be provided);</w:t>
      </w:r>
    </w:p>
    <w:p>
      <w:pPr>
        <w:pStyle w:val="B1"/>
        <w:rPr/>
      </w:pPr>
      <w:r>
        <w:rPr/>
        <w:t>-</w:t>
        <w:tab/>
        <w:t>for the full set of parameters and values, refer to 3GPP TS 24.008 [12];</w:t>
      </w:r>
    </w:p>
    <w:p>
      <w:pPr>
        <w:pStyle w:val="B1"/>
        <w:rPr/>
      </w:pPr>
      <w:r>
        <w:rPr/>
        <w:t>-</w:t>
        <w:tab/>
        <w:t>for data services see the 3GPP TS 27 series.</w:t>
      </w:r>
    </w:p>
    <w:p>
      <w:pPr>
        <w:pStyle w:val="Normal"/>
        <w:rPr/>
      </w:pPr>
      <w:r>
        <w:rPr/>
        <w:t>Lower Layer Compatibility and Higher Layer Compatibility Information Elements may also be included.</w:t>
      </w:r>
    </w:p>
    <w:p>
      <w:pPr>
        <w:pStyle w:val="Heading2"/>
        <w:bidi w:val="0"/>
        <w:jc w:val="start"/>
        <w:rPr>
          <w:b/>
          <w:b/>
        </w:rPr>
      </w:pPr>
      <w:bookmarkStart w:id="68" w:name="__RefHeading___Toc217728556"/>
      <w:bookmarkEnd w:id="68"/>
      <w:r>
        <w:rPr/>
        <w:t>D.2.6</w:t>
        <w:tab/>
        <w:t>Calling Line Indication Restriction Override</w:t>
      </w:r>
    </w:p>
    <w:p>
      <w:pPr>
        <w:pStyle w:val="Normal"/>
        <w:rPr/>
      </w:pPr>
      <w:r>
        <w:rPr/>
        <w:t>If the user wishes to override the calling line identification restriction, he may indicate this on a per-call basis as described in 3GPP TS 22.030 [9] and 3GPP TS 22.081 [10].</w:t>
      </w:r>
    </w:p>
    <w:p>
      <w:pPr>
        <w:pStyle w:val="Heading2"/>
        <w:bidi w:val="0"/>
        <w:jc w:val="start"/>
        <w:rPr>
          <w:b/>
          <w:b/>
        </w:rPr>
      </w:pPr>
      <w:bookmarkStart w:id="69" w:name="__RefHeading___Toc217728557"/>
      <w:bookmarkEnd w:id="69"/>
      <w:r>
        <w:rPr/>
        <w:t>D.2.7</w:t>
        <w:tab/>
        <w:t>Action of the Network on Call Set-up</w:t>
      </w:r>
    </w:p>
    <w:p>
      <w:pPr>
        <w:pStyle w:val="Normal"/>
        <w:rPr/>
      </w:pPr>
      <w:r>
        <w:rPr/>
        <w:t>On receipt of the call set-up message, the network shall attempt to connect the call. However, if insufficient information has been provided by the UE to indicate the exact Bearer Capability requirements (e.g. due to missing or optional values or for rate adaptation for data), the network may insert the missing information, if this is possible, and the call set-up shall proceed using the new information. If the call set-up is unsuccessful, the network shall notify the UE of the cause.</w:t>
      </w:r>
    </w:p>
    <w:p>
      <w:pPr>
        <w:pStyle w:val="Heading1"/>
        <w:bidi w:val="0"/>
        <w:ind w:start="1134" w:hanging="1134"/>
        <w:jc w:val="start"/>
        <w:rPr/>
      </w:pPr>
      <w:bookmarkStart w:id="70" w:name="__RefHeading___Toc217728558"/>
      <w:bookmarkEnd w:id="70"/>
      <w:r>
        <w:rPr/>
        <w:t>D.3</w:t>
        <w:tab/>
        <w:t>Mobile Terminated Call Set-up</w:t>
      </w:r>
    </w:p>
    <w:p>
      <w:pPr>
        <w:pStyle w:val="Normal"/>
        <w:rPr/>
      </w:pPr>
      <w:r>
        <w:rPr/>
        <w:t>Using the procedures described in 3GPP TS 22.011, the network knows the location area where the UE is positioned. If the UE is not already in two way radio communication with the network, the network pages the MS. Upon receiving its page message, the UE establishes communication with the selected cell. The network then allocates a channel which is used for signalling and sends call set-up information to the UE.</w:t>
      </w:r>
    </w:p>
    <w:p>
      <w:pPr>
        <w:pStyle w:val="Normal"/>
        <w:rPr/>
      </w:pPr>
      <w:r>
        <w:rPr/>
        <w:t>A traffic channel may be allocated at any instant until just after the call is answered by the UE.</w:t>
      </w:r>
    </w:p>
    <w:p>
      <w:pPr>
        <w:pStyle w:val="Normal"/>
        <w:rPr/>
      </w:pPr>
      <w:r>
        <w:rPr/>
        <w:t>The network indicates to the UE that it wishes to offer the UE a call. This notification includes the proposed bearer capability information, where available (see subclause D.2.5).</w:t>
      </w:r>
    </w:p>
    <w:p>
      <w:pPr>
        <w:pStyle w:val="Heading2"/>
        <w:bidi w:val="0"/>
        <w:jc w:val="start"/>
        <w:rPr>
          <w:b/>
          <w:b/>
        </w:rPr>
      </w:pPr>
      <w:bookmarkStart w:id="71" w:name="__RefHeading___Toc217728559"/>
      <w:bookmarkEnd w:id="71"/>
      <w:r>
        <w:rPr/>
        <w:t>D.3.1</w:t>
        <w:tab/>
        <w:t>Bearer Type</w:t>
      </w:r>
    </w:p>
    <w:p>
      <w:pPr>
        <w:pStyle w:val="Normal"/>
        <w:rPr/>
      </w:pPr>
      <w:r>
        <w:rPr/>
        <w:t>If the calling party specifies the required bearer capability this shall be used for the call set-up attempt. If the calling party does not specify the required bearer capability (e.g. because the call originated in the PSTN), the network shall attempt to determine the bearer capability to be used as described below.</w:t>
      </w:r>
    </w:p>
    <w:p>
      <w:pPr>
        <w:pStyle w:val="Normal"/>
        <w:rPr/>
      </w:pPr>
      <w:r>
        <w:rPr/>
        <w:t>The network may use a multi-numbering scheme to define the bearer capability by the MSISDN. In a multi-numbering scheme several MSISDNs are associated with one IMSI. Each MSISDN is used for a different bearer capability. If the network uses a multi-numbering scheme and the calling party has not specified the required bearer capability then the network shall use the bearer capability associated with the called party MSISDN.</w:t>
      </w:r>
    </w:p>
    <w:p>
      <w:pPr>
        <w:pStyle w:val="Normal"/>
        <w:rPr/>
      </w:pPr>
      <w:r>
        <w:rPr/>
        <w:t>The network may use a single-numbering scheme, in which one MSISDN is associated with each IMSI. If the network uses a single-numbering scheme and the calling party has not specified the required service then the network shall omit the bearer capability information.</w:t>
      </w:r>
    </w:p>
    <w:p>
      <w:pPr>
        <w:pStyle w:val="Heading2"/>
        <w:bidi w:val="0"/>
        <w:jc w:val="start"/>
        <w:rPr>
          <w:b/>
          <w:b/>
        </w:rPr>
      </w:pPr>
      <w:bookmarkStart w:id="72" w:name="__RefHeading___Toc217728560"/>
      <w:bookmarkEnd w:id="72"/>
      <w:r>
        <w:rPr/>
        <w:t>D.3.2</w:t>
        <w:tab/>
        <w:t>Response of the UE</w:t>
      </w:r>
    </w:p>
    <w:p>
      <w:pPr>
        <w:pStyle w:val="Normal"/>
        <w:rPr/>
      </w:pPr>
      <w:r>
        <w:rPr/>
        <w:t>On receipt of the call set-up request from the network, the UE shall check that it is able to support the type of call requested and that it is not User Determined User Busy (see annex C). The UE then alerts the user.</w:t>
      </w:r>
    </w:p>
    <w:p>
      <w:pPr>
        <w:pStyle w:val="Normal"/>
        <w:rPr/>
      </w:pPr>
      <w:r>
        <w:rPr/>
        <w:t>If the UE is unable to support the type of call requested, or the information is incomplete, the UE shall, if possible and not restricted by requirements in other ETSs, reply to the network proposing an alternative set of parameters, indicating those that are different from those proposed by the network. The network then either accepts this new proposal or terminates the call attempt.</w:t>
      </w:r>
    </w:p>
    <w:p>
      <w:pPr>
        <w:pStyle w:val="Heading2"/>
        <w:bidi w:val="0"/>
        <w:jc w:val="start"/>
        <w:rPr/>
      </w:pPr>
      <w:bookmarkStart w:id="73" w:name="__RefHeading___Toc217728561"/>
      <w:bookmarkEnd w:id="73"/>
      <w:r>
        <w:rPr/>
        <w:t>D.3.3</w:t>
        <w:tab/>
        <w:t>Description of Call Re-establishment</w:t>
      </w:r>
    </w:p>
    <w:p>
      <w:pPr>
        <w:pStyle w:val="Normal"/>
        <w:rPr/>
      </w:pPr>
      <w:r>
        <w:rPr/>
        <w:t>Call re-establishment allows the user equipment to attempt to reconnect a call following the loss of radio coverage between the UE and the network while a call is in progress. Call re-establishment may be initiated by the UE when it detects this situation, if supported in the network.</w:t>
      </w:r>
    </w:p>
    <w:p>
      <w:pPr>
        <w:pStyle w:val="Normal"/>
        <w:rPr/>
      </w:pPr>
      <w:r>
        <w:rPr/>
        <w:t>Call re-establishment is mandatory in the ME and optional in the network.</w:t>
      </w:r>
      <w:r>
        <w:br w:type="page"/>
      </w:r>
    </w:p>
    <w:p>
      <w:pPr>
        <w:pStyle w:val="Heading8"/>
        <w:bidi w:val="0"/>
        <w:ind w:start="0" w:hanging="0"/>
        <w:jc w:val="start"/>
        <w:rPr/>
      </w:pPr>
      <w:bookmarkStart w:id="74" w:name="__RefHeading___Toc217728562"/>
      <w:bookmarkEnd w:id="74"/>
      <w:r>
        <w:rPr/>
        <w:t>Annex E (normative):</w:t>
        <w:br/>
        <w:t>Automatic calling repeat call attempt restrictions</w:t>
      </w:r>
    </w:p>
    <w:p>
      <w:pPr>
        <w:pStyle w:val="Normal"/>
        <w:rPr/>
      </w:pPr>
      <w:r>
        <w:rPr/>
        <w:t>Call set up attempts referred to in this annex are assumed to be initiated from peripheral equipment or automatically from the MT itself.</w:t>
      </w:r>
    </w:p>
    <w:p>
      <w:pPr>
        <w:pStyle w:val="Normal"/>
        <w:rPr/>
      </w:pPr>
      <w:r>
        <w:rPr/>
        <w:t>A repeat call attempt may be made when a call attempt is unsuccessful for the reasons listed below (as defined in 3GPP TS 24.008 [13]).</w:t>
      </w:r>
    </w:p>
    <w:p>
      <w:pPr>
        <w:pStyle w:val="Normal"/>
        <w:rPr/>
      </w:pPr>
      <w:r>
        <w:rPr/>
        <w:t>These reasons are classified in three major categories:</w:t>
      </w:r>
    </w:p>
    <w:p>
      <w:pPr>
        <w:pStyle w:val="B1"/>
        <w:rPr/>
      </w:pPr>
      <w:r>
        <w:rPr/>
        <w:t>1)</w:t>
        <w:tab/>
        <w:t>"Busy destination":</w:t>
      </w:r>
    </w:p>
    <w:p>
      <w:pPr>
        <w:pStyle w:val="B2"/>
        <w:tabs>
          <w:tab w:val="clear" w:pos="284"/>
          <w:tab w:val="left" w:pos="2268" w:leader="none"/>
          <w:tab w:val="left" w:pos="2835" w:leader="none"/>
        </w:tabs>
        <w:rPr/>
      </w:pPr>
      <w:r>
        <w:rPr/>
        <w:t>-</w:t>
        <w:tab/>
        <w:t>cause number</w:t>
        <w:tab/>
        <w:t>17</w:t>
        <w:tab/>
        <w:t>User busy.</w:t>
      </w:r>
    </w:p>
    <w:p>
      <w:pPr>
        <w:pStyle w:val="B1"/>
        <w:rPr/>
      </w:pPr>
      <w:r>
        <w:rPr/>
        <w:t>2)</w:t>
        <w:tab/>
        <w:t>"Unobtainable destination - temporary":</w:t>
      </w:r>
    </w:p>
    <w:p>
      <w:pPr>
        <w:pStyle w:val="B2"/>
        <w:tabs>
          <w:tab w:val="clear" w:pos="284"/>
          <w:tab w:val="left" w:pos="2268" w:leader="none"/>
          <w:tab w:val="left" w:pos="2835" w:leader="none"/>
        </w:tabs>
        <w:rPr/>
      </w:pPr>
      <w:r>
        <w:rPr/>
        <w:t>-</w:t>
        <w:tab/>
        <w:t>cause number</w:t>
        <w:tab/>
        <w:t>18</w:t>
        <w:tab/>
        <w:t>No user responding;</w:t>
      </w:r>
    </w:p>
    <w:p>
      <w:pPr>
        <w:pStyle w:val="B3"/>
        <w:tabs>
          <w:tab w:val="clear" w:pos="284"/>
          <w:tab w:val="left" w:pos="2268" w:leader="none"/>
          <w:tab w:val="left" w:pos="2835" w:leader="none"/>
        </w:tabs>
        <w:rPr/>
      </w:pPr>
      <w:r>
        <w:rPr/>
        <w:tab/>
        <w:tab/>
        <w:t>19</w:t>
        <w:tab/>
        <w:t>User alerting, no answer;</w:t>
      </w:r>
    </w:p>
    <w:p>
      <w:pPr>
        <w:pStyle w:val="B3"/>
        <w:tabs>
          <w:tab w:val="clear" w:pos="284"/>
          <w:tab w:val="left" w:pos="2268" w:leader="none"/>
          <w:tab w:val="left" w:pos="2835" w:leader="none"/>
        </w:tabs>
        <w:rPr/>
      </w:pPr>
      <w:r>
        <w:rPr/>
        <w:tab/>
        <w:tab/>
        <w:t>27</w:t>
        <w:tab/>
        <w:t>Destination out of order;</w:t>
      </w:r>
    </w:p>
    <w:p>
      <w:pPr>
        <w:pStyle w:val="B3"/>
        <w:tabs>
          <w:tab w:val="clear" w:pos="284"/>
          <w:tab w:val="left" w:pos="2268" w:leader="none"/>
          <w:tab w:val="left" w:pos="2835" w:leader="none"/>
        </w:tabs>
        <w:rPr/>
      </w:pPr>
      <w:r>
        <w:rPr/>
        <w:tab/>
        <w:tab/>
        <w:t>34</w:t>
        <w:tab/>
        <w:t>No circuit/channel available;</w:t>
      </w:r>
    </w:p>
    <w:p>
      <w:pPr>
        <w:pStyle w:val="B3"/>
        <w:tabs>
          <w:tab w:val="clear" w:pos="284"/>
          <w:tab w:val="left" w:pos="2268" w:leader="none"/>
          <w:tab w:val="left" w:pos="2835" w:leader="none"/>
        </w:tabs>
        <w:rPr/>
      </w:pPr>
      <w:r>
        <w:rPr/>
        <w:tab/>
        <w:tab/>
        <w:t>41</w:t>
        <w:tab/>
        <w:t>Temporary failure;</w:t>
      </w:r>
    </w:p>
    <w:p>
      <w:pPr>
        <w:pStyle w:val="B3"/>
        <w:tabs>
          <w:tab w:val="clear" w:pos="284"/>
          <w:tab w:val="left" w:pos="2268" w:leader="none"/>
          <w:tab w:val="left" w:pos="2835" w:leader="none"/>
        </w:tabs>
        <w:rPr/>
      </w:pPr>
      <w:r>
        <w:rPr/>
        <w:tab/>
        <w:tab/>
        <w:t>42</w:t>
        <w:tab/>
        <w:t>Switching Equipment congestion;</w:t>
      </w:r>
    </w:p>
    <w:p>
      <w:pPr>
        <w:pStyle w:val="B3"/>
        <w:tabs>
          <w:tab w:val="clear" w:pos="284"/>
          <w:tab w:val="left" w:pos="2268" w:leader="none"/>
          <w:tab w:val="left" w:pos="2835" w:leader="none"/>
        </w:tabs>
        <w:rPr/>
      </w:pPr>
      <w:r>
        <w:rPr/>
        <w:tab/>
        <w:tab/>
        <w:t>44</w:t>
        <w:tab/>
        <w:t>Requested circuit/channel not available;</w:t>
      </w:r>
    </w:p>
    <w:p>
      <w:pPr>
        <w:pStyle w:val="B3"/>
        <w:tabs>
          <w:tab w:val="clear" w:pos="284"/>
          <w:tab w:val="left" w:pos="2268" w:leader="none"/>
          <w:tab w:val="left" w:pos="2835" w:leader="none"/>
        </w:tabs>
        <w:rPr/>
      </w:pPr>
      <w:r>
        <w:rPr/>
        <w:tab/>
        <w:tab/>
        <w:t>47</w:t>
        <w:tab/>
        <w:t>Resources unavailable, unspecified.</w:t>
      </w:r>
    </w:p>
    <w:p>
      <w:pPr>
        <w:pStyle w:val="B1"/>
        <w:rPr/>
      </w:pPr>
      <w:r>
        <w:rPr/>
        <w:t>3)</w:t>
        <w:tab/>
        <w:t>"Unobtainable destination - permanent/long term":</w:t>
      </w:r>
    </w:p>
    <w:p>
      <w:pPr>
        <w:pStyle w:val="B2"/>
        <w:tabs>
          <w:tab w:val="clear" w:pos="284"/>
          <w:tab w:val="left" w:pos="2268" w:leader="none"/>
          <w:tab w:val="left" w:pos="2835" w:leader="none"/>
        </w:tabs>
        <w:rPr/>
      </w:pPr>
      <w:r>
        <w:rPr/>
        <w:t>-</w:t>
        <w:tab/>
        <w:t>cause number</w:t>
        <w:tab/>
        <w:t>1</w:t>
        <w:tab/>
        <w:t>Unassigned (unallocated) number;</w:t>
      </w:r>
    </w:p>
    <w:p>
      <w:pPr>
        <w:pStyle w:val="B3"/>
        <w:tabs>
          <w:tab w:val="clear" w:pos="284"/>
          <w:tab w:val="left" w:pos="2268" w:leader="none"/>
          <w:tab w:val="left" w:pos="2694" w:leader="none"/>
        </w:tabs>
        <w:rPr/>
      </w:pPr>
      <w:r>
        <w:rPr/>
        <w:tab/>
        <w:tab/>
        <w:t>3</w:t>
        <w:tab/>
        <w:t>No route to destination;</w:t>
      </w:r>
    </w:p>
    <w:p>
      <w:pPr>
        <w:pStyle w:val="B3"/>
        <w:tabs>
          <w:tab w:val="clear" w:pos="284"/>
          <w:tab w:val="left" w:pos="2268" w:leader="none"/>
          <w:tab w:val="left" w:pos="2694" w:leader="none"/>
        </w:tabs>
        <w:rPr/>
      </w:pPr>
      <w:r>
        <w:rPr/>
        <w:tab/>
        <w:tab/>
        <w:t>22</w:t>
        <w:tab/>
        <w:t>Number changed;</w:t>
      </w:r>
    </w:p>
    <w:p>
      <w:pPr>
        <w:pStyle w:val="B3"/>
        <w:tabs>
          <w:tab w:val="clear" w:pos="284"/>
          <w:tab w:val="left" w:pos="2268" w:leader="none"/>
          <w:tab w:val="left" w:pos="2694" w:leader="none"/>
        </w:tabs>
        <w:rPr/>
      </w:pPr>
      <w:r>
        <w:rPr/>
        <w:tab/>
        <w:tab/>
        <w:t>28</w:t>
        <w:tab/>
        <w:t>Invalid number format (uncompleted number);</w:t>
      </w:r>
    </w:p>
    <w:p>
      <w:pPr>
        <w:pStyle w:val="B3"/>
        <w:tabs>
          <w:tab w:val="clear" w:pos="284"/>
          <w:tab w:val="left" w:pos="2268" w:leader="none"/>
          <w:tab w:val="left" w:pos="2694" w:leader="none"/>
        </w:tabs>
        <w:rPr/>
      </w:pPr>
      <w:r>
        <w:rPr/>
        <w:tab/>
        <w:tab/>
        <w:t>38</w:t>
        <w:tab/>
        <w:t>Network out of order.</w:t>
      </w:r>
    </w:p>
    <w:p>
      <w:pPr>
        <w:pStyle w:val="NO"/>
        <w:rPr/>
      </w:pPr>
      <w:r>
        <w:rPr/>
        <w:t>NOTE 1:</w:t>
        <w:tab/>
        <w:t>Optionally, it is allowed to implement cause number 27 in Category 3, instead of Category 2, as this is desirable already in Phase 1.</w:t>
      </w:r>
    </w:p>
    <w:p>
      <w:pPr>
        <w:pStyle w:val="Normal"/>
        <w:rPr/>
      </w:pPr>
      <w:r>
        <w:rPr/>
        <w:t>The table below describes a repeat call restriction pattern to any B number. This pattern defines a maximum number (n) of call repeat attempts; when this number n is reached, the associated B number shall be blacklisted by the MT until a manual re-set at the MT is performed in respect of that B number. When a repeat attempt to anyone B number fails, or is blacklisted, this does not prevent calls being made to other B numbers.</w:t>
      </w:r>
    </w:p>
    <w:p>
      <w:pPr>
        <w:pStyle w:val="TH"/>
        <w:rPr/>
      </w:pPr>
      <w:r>
        <w:rPr/>
        <w:t>For the categories 1 and 2 above, n shall be 10; for category 3, n shall be 1.</w:t>
      </w:r>
    </w:p>
    <w:tbl>
      <w:tblPr>
        <w:tblW w:w="7654" w:type="dxa"/>
        <w:jc w:val="center"/>
        <w:tblInd w:w="0" w:type="dxa"/>
        <w:tblCellMar>
          <w:top w:w="0" w:type="dxa"/>
          <w:start w:w="28" w:type="dxa"/>
          <w:bottom w:w="0" w:type="dxa"/>
          <w:end w:w="28" w:type="dxa"/>
        </w:tblCellMar>
      </w:tblPr>
      <w:tblGrid>
        <w:gridCol w:w="3402"/>
        <w:gridCol w:w="4252"/>
      </w:tblGrid>
      <w:tr>
        <w:trPr/>
        <w:tc>
          <w:tcPr>
            <w:tcW w:w="3402" w:type="dxa"/>
            <w:tcBorders/>
          </w:tcPr>
          <w:p>
            <w:pPr>
              <w:pStyle w:val="TAH"/>
              <w:rPr/>
            </w:pPr>
            <w:r>
              <w:rPr/>
              <w:t>call attempts</w:t>
            </w:r>
          </w:p>
        </w:tc>
        <w:tc>
          <w:tcPr>
            <w:tcW w:w="4252" w:type="dxa"/>
            <w:tcBorders>
              <w:start w:val="single" w:sz="6" w:space="0" w:color="000000"/>
            </w:tcBorders>
          </w:tcPr>
          <w:p>
            <w:pPr>
              <w:pStyle w:val="TAH"/>
              <w:rPr/>
            </w:pPr>
            <w:r>
              <w:rPr/>
              <w:t>Minimum duration between Call attempt</w:t>
            </w:r>
          </w:p>
        </w:tc>
      </w:tr>
      <w:tr>
        <w:trPr/>
        <w:tc>
          <w:tcPr>
            <w:tcW w:w="3402" w:type="dxa"/>
            <w:tcBorders/>
          </w:tcPr>
          <w:p>
            <w:pPr>
              <w:pStyle w:val="TAL"/>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Initial call attempt</w:t>
            </w:r>
          </w:p>
        </w:tc>
        <w:tc>
          <w:tcPr>
            <w:tcW w:w="4252" w:type="dxa"/>
            <w:tcBorders>
              <w:start w:val="single" w:sz="6" w:space="0" w:color="000000"/>
            </w:tcBorders>
          </w:tcPr>
          <w:p>
            <w:pPr>
              <w:pStyle w:val="TAC"/>
              <w:rPr/>
            </w:pPr>
            <w:r>
              <w:rPr/>
              <w:t>-</w:t>
            </w:r>
          </w:p>
        </w:tc>
      </w:tr>
      <w:tr>
        <w:trPr/>
        <w:tc>
          <w:tcPr>
            <w:tcW w:w="3402" w:type="dxa"/>
            <w:tcBorders/>
          </w:tcPr>
          <w:p>
            <w:pPr>
              <w:pStyle w:val="TAC"/>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1st repeat attempt</w:t>
            </w:r>
          </w:p>
        </w:tc>
        <w:tc>
          <w:tcPr>
            <w:tcW w:w="4252" w:type="dxa"/>
            <w:tcBorders>
              <w:start w:val="single" w:sz="6" w:space="0" w:color="000000"/>
            </w:tcBorders>
          </w:tcPr>
          <w:p>
            <w:pPr>
              <w:pStyle w:val="TAC"/>
              <w:rPr/>
            </w:pPr>
            <w:r>
              <w:rPr/>
              <w:t>5 sec</w:t>
            </w:r>
          </w:p>
        </w:tc>
      </w:tr>
      <w:tr>
        <w:trPr/>
        <w:tc>
          <w:tcPr>
            <w:tcW w:w="3402" w:type="dxa"/>
            <w:tcBorders/>
          </w:tcPr>
          <w:p>
            <w:pPr>
              <w:pStyle w:val="TAC"/>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2nd repeat attempt</w:t>
            </w:r>
          </w:p>
        </w:tc>
        <w:tc>
          <w:tcPr>
            <w:tcW w:w="4252" w:type="dxa"/>
            <w:tcBorders>
              <w:start w:val="single" w:sz="6" w:space="0" w:color="000000"/>
            </w:tcBorders>
          </w:tcPr>
          <w:p>
            <w:pPr>
              <w:pStyle w:val="TAC"/>
              <w:rPr/>
            </w:pPr>
            <w:r>
              <w:rPr/>
              <w:t>1 min</w:t>
            </w:r>
          </w:p>
        </w:tc>
      </w:tr>
      <w:tr>
        <w:trPr/>
        <w:tc>
          <w:tcPr>
            <w:tcW w:w="3402" w:type="dxa"/>
            <w:tcBorders/>
          </w:tcPr>
          <w:p>
            <w:pPr>
              <w:pStyle w:val="TAC"/>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3rd repeat attempt</w:t>
            </w:r>
          </w:p>
        </w:tc>
        <w:tc>
          <w:tcPr>
            <w:tcW w:w="4252" w:type="dxa"/>
            <w:tcBorders>
              <w:start w:val="single" w:sz="6" w:space="0" w:color="000000"/>
            </w:tcBorders>
          </w:tcPr>
          <w:p>
            <w:pPr>
              <w:pStyle w:val="TAC"/>
              <w:rPr/>
            </w:pPr>
            <w:r>
              <w:rPr/>
              <w:t>1 min</w:t>
            </w:r>
          </w:p>
        </w:tc>
      </w:tr>
      <w:tr>
        <w:trPr/>
        <w:tc>
          <w:tcPr>
            <w:tcW w:w="3402" w:type="dxa"/>
            <w:tcBorders/>
          </w:tcPr>
          <w:p>
            <w:pPr>
              <w:pStyle w:val="TAC"/>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4th repeat attempt</w:t>
            </w:r>
          </w:p>
        </w:tc>
        <w:tc>
          <w:tcPr>
            <w:tcW w:w="4252" w:type="dxa"/>
            <w:tcBorders>
              <w:start w:val="single" w:sz="6" w:space="0" w:color="000000"/>
            </w:tcBorders>
          </w:tcPr>
          <w:p>
            <w:pPr>
              <w:pStyle w:val="TAC"/>
              <w:rPr/>
            </w:pPr>
            <w:r>
              <w:rPr/>
              <w:t>1 min</w:t>
            </w:r>
          </w:p>
        </w:tc>
      </w:tr>
      <w:tr>
        <w:trPr/>
        <w:tc>
          <w:tcPr>
            <w:tcW w:w="3402" w:type="dxa"/>
            <w:tcBorders/>
          </w:tcPr>
          <w:p>
            <w:pPr>
              <w:pStyle w:val="TAC"/>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5th repeat attempt</w:t>
            </w:r>
          </w:p>
        </w:tc>
        <w:tc>
          <w:tcPr>
            <w:tcW w:w="4252" w:type="dxa"/>
            <w:tcBorders>
              <w:start w:val="single" w:sz="6" w:space="0" w:color="000000"/>
            </w:tcBorders>
          </w:tcPr>
          <w:p>
            <w:pPr>
              <w:pStyle w:val="TAC"/>
              <w:rPr/>
            </w:pPr>
            <w:r>
              <w:rPr/>
              <w:t>3 min</w:t>
            </w:r>
          </w:p>
        </w:tc>
      </w:tr>
      <w:tr>
        <w:trPr/>
        <w:tc>
          <w:tcPr>
            <w:tcW w:w="3402" w:type="dxa"/>
            <w:tcBorders/>
          </w:tcPr>
          <w:p>
            <w:pPr>
              <w:pStyle w:val="TAC"/>
              <w:snapToGrid w:val="false"/>
              <w:rPr/>
            </w:pPr>
            <w:r>
              <w:rPr/>
            </w:r>
          </w:p>
        </w:tc>
        <w:tc>
          <w:tcPr>
            <w:tcW w:w="4252" w:type="dxa"/>
            <w:tcBorders>
              <w:start w:val="single" w:sz="6" w:space="0" w:color="000000"/>
            </w:tcBorders>
          </w:tcPr>
          <w:p>
            <w:pPr>
              <w:pStyle w:val="TAC"/>
              <w:snapToGrid w:val="false"/>
              <w:rPr/>
            </w:pPr>
            <w:r>
              <w:rPr/>
            </w:r>
          </w:p>
        </w:tc>
      </w:tr>
      <w:tr>
        <w:trPr/>
        <w:tc>
          <w:tcPr>
            <w:tcW w:w="3402" w:type="dxa"/>
            <w:tcBorders/>
          </w:tcPr>
          <w:p>
            <w:pPr>
              <w:pStyle w:val="TAC"/>
              <w:rPr/>
            </w:pPr>
            <w:r>
              <w:rPr/>
              <w:t>nth repeat attempt</w:t>
            </w:r>
          </w:p>
        </w:tc>
        <w:tc>
          <w:tcPr>
            <w:tcW w:w="4252" w:type="dxa"/>
            <w:tcBorders>
              <w:start w:val="single" w:sz="6" w:space="0" w:color="000000"/>
            </w:tcBorders>
          </w:tcPr>
          <w:p>
            <w:pPr>
              <w:pStyle w:val="TAC"/>
              <w:rPr/>
            </w:pPr>
            <w:r>
              <w:rPr/>
              <w:t>3 min</w:t>
            </w:r>
          </w:p>
        </w:tc>
      </w:tr>
    </w:tbl>
    <w:p>
      <w:pPr>
        <w:pStyle w:val="Normal"/>
        <w:rPr/>
      </w:pPr>
      <w:r>
        <w:rPr/>
      </w:r>
    </w:p>
    <w:p>
      <w:pPr>
        <w:pStyle w:val="Normal"/>
        <w:rPr/>
      </w:pPr>
      <w:r>
        <w:rPr/>
        <w:t>The number of B numbers that can be held in the blacklist is at the manufacturers discretion but there shall be at least 8. However, when the blacklist is full the MT shall prohibit further automatic call attempts to any one number until the blacklist is manually cleared at the MT in respect of one or more B numbers.</w:t>
      </w:r>
    </w:p>
    <w:p>
      <w:pPr>
        <w:pStyle w:val="Normal"/>
        <w:rPr/>
      </w:pPr>
      <w:r>
        <w:rPr/>
        <w:t>When automatic calling apparatus is connected to an MT1 or MT2, or where an MTO is capable of auto-calling, then the MT shall process the call requests in accordance with the sequence of repeat attempts defined above, i.e. requests for repeat attempts with less than the minimum allowed duration between them shall be rejected by the MT.</w:t>
      </w:r>
    </w:p>
    <w:p>
      <w:pPr>
        <w:pStyle w:val="Normal"/>
        <w:rPr/>
      </w:pPr>
      <w:r>
        <w:rPr/>
        <w:t>A successful call attempt to a number which has been subject to the call restrictions shown above (i.e. an unsuccessful call set up attempt has previously occurred) shall reset the "counter" for that number.</w:t>
      </w:r>
    </w:p>
    <w:p>
      <w:pPr>
        <w:pStyle w:val="Normal"/>
        <w:rPr/>
      </w:pPr>
      <w:r>
        <w:rPr/>
        <w:t>The "counter" for an unsuccessfully attempted B number shall be maintained in 24 hours or until the MT is switched off.</w:t>
      </w:r>
    </w:p>
    <w:p>
      <w:pPr>
        <w:pStyle w:val="Normal"/>
        <w:rPr/>
      </w:pPr>
      <w:r>
        <w:rPr/>
        <w:t>The automatic calling repeat call attempt restrictions apply to speech and data services.</w:t>
      </w:r>
    </w:p>
    <w:p>
      <w:pPr>
        <w:pStyle w:val="NO"/>
        <w:rPr/>
      </w:pPr>
      <w:r>
        <w:rPr/>
        <w:t>NOTE 2:</w:t>
        <w:tab/>
        <w:t>The restrictions only apply to unsuccessful Call Control activity, not to Radio Resource Management or to Mobility Management, so multiple attempts at radio channel access are not limited by this mechanism.</w:t>
      </w:r>
      <w:r>
        <w:br w:type="page"/>
      </w:r>
    </w:p>
    <w:p>
      <w:pPr>
        <w:pStyle w:val="Heading8"/>
        <w:bidi w:val="0"/>
        <w:ind w:start="0" w:hanging="0"/>
        <w:jc w:val="start"/>
        <w:rPr/>
      </w:pPr>
      <w:bookmarkStart w:id="75" w:name="__RefHeading___Toc88_3899700106"/>
      <w:bookmarkStart w:id="76" w:name="__RefHeading___Toc217728563"/>
      <w:bookmarkEnd w:id="75"/>
      <w:r>
        <w:rPr/>
        <w:t>Annex F(informative):</w:t>
        <w:br/>
        <w:t>Procedures for call progress indications</w:t>
      </w:r>
      <w:bookmarkEnd w:id="76"/>
      <w:r>
        <w:rPr/>
        <w:t xml:space="preserve"> </w:t>
      </w:r>
    </w:p>
    <w:p>
      <w:pPr>
        <w:pStyle w:val="Heading1"/>
        <w:bidi w:val="0"/>
        <w:ind w:start="1134" w:hanging="1134"/>
        <w:jc w:val="start"/>
        <w:rPr/>
      </w:pPr>
      <w:bookmarkStart w:id="77" w:name="__RefHeading___Toc217728564"/>
      <w:bookmarkEnd w:id="77"/>
      <w:r>
        <w:rPr/>
        <w:t>F.1</w:t>
        <w:tab/>
        <w:t>General</w:t>
      </w:r>
    </w:p>
    <w:p>
      <w:pPr>
        <w:pStyle w:val="Normal"/>
        <w:rPr/>
      </w:pPr>
      <w:r>
        <w:rPr/>
        <w:t>Indications of call progress, such as ringing, engaged, unobtainable, and no radio channel, may in principle be verbal message, tones, displayed text or graphical symbols. Which combination of these applies may depend on the message, the UE and selection by the user or PLMN operator. However, verbal announcements will generally be reserved for situations which are peculiar to a mobile network, where users may be unfamiliar with any tone chosen to indicate conditions such as "call diversion" or "subscriber not available".</w:t>
      </w:r>
    </w:p>
    <w:p>
      <w:pPr>
        <w:pStyle w:val="Normal"/>
        <w:rPr/>
      </w:pPr>
      <w:r>
        <w:rPr/>
        <w:t>It may also be desirable to add comfort indications (e.g. tones, noise, music, clicks) while a call is being connected, since silence may cause an unfamiliar user to believe that nothing is happening.</w:t>
      </w:r>
    </w:p>
    <w:p>
      <w:pPr>
        <w:pStyle w:val="Normal"/>
        <w:rPr/>
      </w:pPr>
      <w:r>
        <w:rPr/>
        <w:t>Generally, on data calls, and on the data part of alternate speech/data or speech-followed-by-data calls, PLMN generated network tones and announcements should be muted.</w:t>
      </w:r>
    </w:p>
    <w:p>
      <w:pPr>
        <w:pStyle w:val="Heading1"/>
        <w:bidi w:val="0"/>
        <w:ind w:start="1134" w:hanging="1134"/>
        <w:jc w:val="start"/>
        <w:rPr/>
      </w:pPr>
      <w:bookmarkStart w:id="78" w:name="__RefHeading___Toc217728565"/>
      <w:bookmarkEnd w:id="78"/>
      <w:r>
        <w:rPr/>
        <w:t>F.2</w:t>
        <w:tab/>
        <w:t>Supervisory tones</w:t>
      </w:r>
    </w:p>
    <w:p>
      <w:pPr>
        <w:pStyle w:val="Heading2"/>
        <w:bidi w:val="0"/>
        <w:jc w:val="start"/>
        <w:rPr/>
      </w:pPr>
      <w:bookmarkStart w:id="79" w:name="__RefHeading___Toc217728566"/>
      <w:bookmarkEnd w:id="79"/>
      <w:r>
        <w:rPr/>
        <w:t>F.2.1</w:t>
        <w:tab/>
        <w:t>General</w:t>
      </w:r>
    </w:p>
    <w:p>
      <w:pPr>
        <w:pStyle w:val="Normal"/>
        <w:rPr/>
      </w:pPr>
      <w:r>
        <w:rPr/>
        <w:t>Supervisory Tones, indicating primarily ringing, engaged and unobtainable numbers, may be generated by both the PLMN and PSTN.</w:t>
      </w:r>
    </w:p>
    <w:p>
      <w:pPr>
        <w:pStyle w:val="Normal"/>
        <w:rPr/>
      </w:pPr>
      <w:r>
        <w:rPr/>
        <w:t>Except for ring tone, all tones indicating call progress to a user shall be generated in the UE, on the basis of signals from the network where available, and are according to the standard defined in the present document.</w:t>
      </w:r>
    </w:p>
    <w:p>
      <w:pPr>
        <w:pStyle w:val="Normal"/>
        <w:rPr/>
      </w:pPr>
      <w:r>
        <w:rPr/>
        <w:t>Tones sent to a caller to a UE will be generated in the network, generally local to the caller, and will be to the standard of his local exchange, except for mobile to mobile calls, where the tones will be generated in the calling UE. For mobile terminated calls, the ring tone will be generated in the called MSC (except OACSU).</w:t>
      </w:r>
    </w:p>
    <w:p>
      <w:pPr>
        <w:pStyle w:val="Heading2"/>
        <w:bidi w:val="0"/>
        <w:jc w:val="start"/>
        <w:rPr/>
      </w:pPr>
      <w:bookmarkStart w:id="80" w:name="__RefHeading___Toc217728567"/>
      <w:bookmarkEnd w:id="80"/>
      <w:r>
        <w:rPr/>
        <w:t>F.2.2</w:t>
        <w:tab/>
        <w:t>Method</w:t>
      </w:r>
    </w:p>
    <w:p>
      <w:pPr>
        <w:pStyle w:val="Normal"/>
        <w:rPr/>
      </w:pPr>
      <w:r>
        <w:rPr/>
        <w:t>In the interests of early release of the traffic channel on failure to succeed in setting up a (mobile originated) call, where possible supervisory tones should be indicated over signalling channels. The UE will then generate the required tones. However, if the network generates an in-band announcement this will be indicated to the UE. In this case the UE shall connect the user to the announcement until instructed to release the call, either by the user or by the network. An alternate procedure may apply for UE able to generate appropriate announcements internally.</w:t>
      </w:r>
    </w:p>
    <w:p>
      <w:pPr>
        <w:pStyle w:val="Normal"/>
        <w:rPr/>
      </w:pPr>
      <w:r>
        <w:rPr/>
        <w:t>The ring tone will be sent over the traffic channel, since this channel must be available for traffic immediately it is answered (exception: Off Air Call Set Up). The Ring Tone is therefore generated by the PLMN or PSTN supporting the called phone.</w:t>
      </w:r>
    </w:p>
    <w:p>
      <w:pPr>
        <w:pStyle w:val="Normal"/>
        <w:rPr/>
      </w:pPr>
      <w:r>
        <w:rPr/>
        <w:t>On failed mobile terminated call attempts, the called MSC will either signal to the caller, if this is possible, or else will generate the required supervisory tones.</w:t>
      </w:r>
    </w:p>
    <w:p>
      <w:pPr>
        <w:pStyle w:val="Normal"/>
        <w:rPr/>
      </w:pPr>
      <w:r>
        <w:rPr/>
        <w:t>"Alert" is not a supervisory tone. The indication is signalled, and the UE may generate any form of indication to the user that the UE is being called.</w:t>
      </w:r>
    </w:p>
    <w:p>
      <w:pPr>
        <w:pStyle w:val="Heading2"/>
        <w:bidi w:val="0"/>
        <w:jc w:val="start"/>
        <w:rPr/>
      </w:pPr>
      <w:bookmarkStart w:id="81" w:name="__RefHeading___Toc217728568"/>
      <w:bookmarkEnd w:id="81"/>
      <w:r>
        <w:rPr/>
        <w:t>F.2.3</w:t>
        <w:tab/>
        <w:t>Standard tones</w:t>
      </w:r>
    </w:p>
    <w:p>
      <w:pPr>
        <w:pStyle w:val="Normal"/>
        <w:rPr/>
      </w:pPr>
      <w:r>
        <w:rPr/>
        <w:t>UE generated tones will be generally in accordance with CEPT, ANSI T1.607, or Japan recommendations, where appropriate, and are listed in table 1. Any network originated tones will be according to PLMN or PSTN choice.</w:t>
      </w:r>
    </w:p>
    <w:p>
      <w:pPr>
        <w:pStyle w:val="Heading2"/>
        <w:bidi w:val="0"/>
        <w:jc w:val="start"/>
        <w:rPr/>
      </w:pPr>
      <w:bookmarkStart w:id="82" w:name="__RefHeading___Toc217728569"/>
      <w:bookmarkEnd w:id="82"/>
      <w:r>
        <w:rPr/>
        <w:t>F.2.4</w:t>
        <w:tab/>
        <w:t>Applicability</w:t>
      </w:r>
    </w:p>
    <w:p>
      <w:pPr>
        <w:pStyle w:val="Normal"/>
        <w:rPr/>
      </w:pPr>
      <w:r>
        <w:rPr/>
        <w:t>This method will apply in all cases where signalling is capable of indicating the supervisory tone required. However, for connection to certain fixed networks where this signalling is not possible, fixed network tones will be carried over the traffic channel.</w:t>
      </w:r>
    </w:p>
    <w:p>
      <w:pPr>
        <w:pStyle w:val="Normal"/>
        <w:rPr/>
      </w:pPr>
      <w:r>
        <w:rPr/>
        <w:t>User equipment may employ any suitable technique to indicate supervisory information. However, if tones are employed, they shall be in accordance with the present document. The use of these tones in the MSC is preferred.</w:t>
      </w:r>
    </w:p>
    <w:p>
      <w:pPr>
        <w:pStyle w:val="NO"/>
        <w:rPr/>
      </w:pPr>
      <w:r>
        <w:rPr/>
        <w:t>NOTE 1:</w:t>
        <w:tab/>
        <w:t>The tones and/or announcement to the calling party should not be provided if  the Information transfer capability is set to UDI.</w:t>
      </w:r>
    </w:p>
    <w:p>
      <w:pPr>
        <w:pStyle w:val="NO"/>
        <w:rPr/>
      </w:pPr>
      <w:r>
        <w:rPr/>
        <w:t>NOTE 2:</w:t>
        <w:tab/>
        <w:t>For a call with information transfer capability set to 3.1 kHz, the use of tones and/or announcement may cause the expiry of an awaiting answer timer in a modem or fax machine.</w:t>
      </w:r>
    </w:p>
    <w:p>
      <w:pPr>
        <w:pStyle w:val="Heading2"/>
        <w:bidi w:val="0"/>
        <w:jc w:val="start"/>
        <w:rPr/>
      </w:pPr>
      <w:bookmarkStart w:id="83" w:name="__RefHeading___Toc217728570"/>
      <w:bookmarkEnd w:id="83"/>
      <w:r>
        <w:rPr/>
        <w:t>F.2.5</w:t>
        <w:tab/>
        <w:t>Comfort tones</w:t>
      </w:r>
    </w:p>
    <w:p>
      <w:pPr>
        <w:pStyle w:val="Normal"/>
        <w:rPr/>
      </w:pPr>
      <w:r>
        <w:rPr/>
        <w:t>If desired by the PLMN operator, the network may optionally introduce "comfort tones" while the call is being connected, during what would otherwise be silence. This would be overridden by indication of a supervisory tone, an announcement or by traffic. PLMNs may offer this feature optionally to incoming or outgoing callers.</w:t>
      </w:r>
    </w:p>
    <w:p>
      <w:pPr>
        <w:pStyle w:val="Normal"/>
        <w:rPr/>
      </w:pPr>
      <w:r>
        <w:rPr/>
        <w:t>The "comfort tones" may take the form of tones, clicks, noise, music or any other suitable form, provided that they cannot be confused with other indications that might be expected.</w:t>
      </w:r>
    </w:p>
    <w:p>
      <w:pPr>
        <w:pStyle w:val="Normal"/>
        <w:rPr/>
      </w:pPr>
      <w:r>
        <w:rPr/>
        <w:t>This feature is intended to indicate to the user that his call is progressing, to prevent him terminating the call prematurely.</w:t>
      </w:r>
    </w:p>
    <w:p>
      <w:pPr>
        <w:pStyle w:val="TH"/>
        <w:ind w:start="2160" w:firstLine="720"/>
        <w:jc w:val="start"/>
        <w:rPr/>
      </w:pPr>
      <w:r>
        <w:rPr/>
        <w:t>Table 1: Supervisory tones in UEs</w:t>
      </w:r>
    </w:p>
    <w:tbl>
      <w:tblPr>
        <w:tblW w:w="9528" w:type="dxa"/>
        <w:jc w:val="center"/>
        <w:tblInd w:w="0" w:type="dxa"/>
        <w:tblCellMar>
          <w:top w:w="0" w:type="dxa"/>
          <w:start w:w="108" w:type="dxa"/>
          <w:bottom w:w="0" w:type="dxa"/>
          <w:end w:w="108" w:type="dxa"/>
        </w:tblCellMar>
      </w:tblPr>
      <w:tblGrid>
        <w:gridCol w:w="709"/>
        <w:gridCol w:w="1418"/>
        <w:gridCol w:w="375"/>
        <w:gridCol w:w="617"/>
        <w:gridCol w:w="142"/>
        <w:gridCol w:w="850"/>
        <w:gridCol w:w="780"/>
        <w:gridCol w:w="71"/>
        <w:gridCol w:w="708"/>
        <w:gridCol w:w="91"/>
        <w:gridCol w:w="760"/>
        <w:gridCol w:w="110"/>
        <w:gridCol w:w="811"/>
        <w:gridCol w:w="142"/>
        <w:gridCol w:w="922"/>
        <w:gridCol w:w="141"/>
        <w:gridCol w:w="881"/>
      </w:tblGrid>
      <w:tr>
        <w:trPr>
          <w:cantSplit w:val="true"/>
        </w:trPr>
        <w:tc>
          <w:tcPr>
            <w:tcW w:w="709" w:type="dxa"/>
            <w:tcBorders>
              <w:top w:val="single" w:sz="12" w:space="0" w:color="000000"/>
              <w:start w:val="single" w:sz="12" w:space="0" w:color="000000"/>
              <w:bottom w:val="single" w:sz="6" w:space="0" w:color="000000"/>
            </w:tcBorders>
          </w:tcPr>
          <w:p>
            <w:pPr>
              <w:pStyle w:val="TAH"/>
              <w:rPr>
                <w:rFonts w:ascii="Times New Roman" w:hAnsi="Times New Roman" w:cs="Times New Roman"/>
                <w:lang w:val="en-US"/>
              </w:rPr>
            </w:pPr>
            <w:r>
              <w:rPr>
                <w:lang w:val="en-US"/>
              </w:rPr>
              <w:t>Tone</w:t>
            </w:r>
          </w:p>
        </w:tc>
        <w:tc>
          <w:tcPr>
            <w:tcW w:w="1418" w:type="dxa"/>
            <w:tcBorders>
              <w:top w:val="single" w:sz="12" w:space="0" w:color="000000"/>
              <w:start w:val="single" w:sz="6" w:space="0" w:color="000000"/>
              <w:bottom w:val="single" w:sz="6" w:space="0" w:color="000000"/>
            </w:tcBorders>
          </w:tcPr>
          <w:p>
            <w:pPr>
              <w:pStyle w:val="TAH"/>
              <w:snapToGrid w:val="false"/>
              <w:rPr>
                <w:rFonts w:ascii="Times New Roman" w:hAnsi="Times New Roman" w:cs="Times New Roman"/>
                <w:lang w:val="en-US"/>
              </w:rPr>
            </w:pPr>
            <w:r>
              <w:rPr>
                <w:rFonts w:cs="Times New Roman" w:ascii="Times New Roman" w:hAnsi="Times New Roman"/>
                <w:lang w:val="en-US"/>
              </w:rPr>
            </w:r>
          </w:p>
        </w:tc>
        <w:tc>
          <w:tcPr>
            <w:tcW w:w="2835" w:type="dxa"/>
            <w:gridSpan w:val="6"/>
            <w:tcBorders>
              <w:top w:val="single" w:sz="12" w:space="0" w:color="000000"/>
              <w:start w:val="single" w:sz="6" w:space="0" w:color="000000"/>
              <w:bottom w:val="single" w:sz="6" w:space="0" w:color="000000"/>
            </w:tcBorders>
          </w:tcPr>
          <w:p>
            <w:pPr>
              <w:pStyle w:val="TAH"/>
              <w:rPr/>
            </w:pPr>
            <w:r>
              <w:rPr/>
              <w:t>Frequency</w:t>
            </w:r>
          </w:p>
        </w:tc>
        <w:tc>
          <w:tcPr>
            <w:tcW w:w="1559" w:type="dxa"/>
            <w:gridSpan w:val="3"/>
            <w:tcBorders>
              <w:top w:val="single" w:sz="12" w:space="0" w:color="000000"/>
              <w:start w:val="single" w:sz="6" w:space="0" w:color="000000"/>
              <w:bottom w:val="single" w:sz="6" w:space="0" w:color="000000"/>
            </w:tcBorders>
          </w:tcPr>
          <w:p>
            <w:pPr>
              <w:pStyle w:val="TAH"/>
              <w:rPr/>
            </w:pPr>
            <w:r>
              <w:rPr/>
              <w:t>Tolerance</w:t>
            </w:r>
          </w:p>
        </w:tc>
        <w:tc>
          <w:tcPr>
            <w:tcW w:w="3007" w:type="dxa"/>
            <w:gridSpan w:val="6"/>
            <w:tcBorders>
              <w:top w:val="single" w:sz="12" w:space="0" w:color="000000"/>
              <w:start w:val="single" w:sz="6" w:space="0" w:color="000000"/>
              <w:bottom w:val="single" w:sz="6" w:space="0" w:color="000000"/>
              <w:end w:val="single" w:sz="12" w:space="0" w:color="000000"/>
            </w:tcBorders>
          </w:tcPr>
          <w:p>
            <w:pPr>
              <w:pStyle w:val="TAH"/>
              <w:rPr>
                <w:lang w:val="fr-FR"/>
              </w:rPr>
            </w:pPr>
            <w:r>
              <w:rPr>
                <w:lang w:val="fr-FR"/>
              </w:rPr>
              <w:t>Type</w:t>
            </w:r>
          </w:p>
        </w:tc>
      </w:tr>
      <w:tr>
        <w:trPr>
          <w:trHeight w:val="419" w:hRule="atLeast"/>
          <w:cantSplit w:val="true"/>
        </w:trPr>
        <w:tc>
          <w:tcPr>
            <w:tcW w:w="709" w:type="dxa"/>
            <w:tcBorders>
              <w:start w:val="single" w:sz="12" w:space="0" w:color="000000"/>
              <w:bottom w:val="single" w:sz="6" w:space="0" w:color="000000"/>
            </w:tcBorders>
          </w:tcPr>
          <w:p>
            <w:pPr>
              <w:pStyle w:val="TAH"/>
              <w:snapToGrid w:val="false"/>
              <w:rPr>
                <w:lang w:val="fr-FR"/>
              </w:rPr>
            </w:pPr>
            <w:r>
              <w:rPr>
                <w:lang w:val="fr-FR"/>
              </w:rPr>
            </w:r>
          </w:p>
        </w:tc>
        <w:tc>
          <w:tcPr>
            <w:tcW w:w="1418" w:type="dxa"/>
            <w:tcBorders>
              <w:start w:val="single" w:sz="6" w:space="0" w:color="000000"/>
              <w:bottom w:val="single" w:sz="6" w:space="0" w:color="000000"/>
            </w:tcBorders>
          </w:tcPr>
          <w:p>
            <w:pPr>
              <w:pStyle w:val="TAH"/>
              <w:snapToGrid w:val="false"/>
              <w:rPr>
                <w:lang w:val="fr-FR"/>
              </w:rPr>
            </w:pPr>
            <w:r>
              <w:rPr>
                <w:lang w:val="fr-FR"/>
              </w:rPr>
            </w:r>
          </w:p>
        </w:tc>
        <w:tc>
          <w:tcPr>
            <w:tcW w:w="992" w:type="dxa"/>
            <w:gridSpan w:val="2"/>
            <w:tcBorders>
              <w:start w:val="single" w:sz="6" w:space="0" w:color="000000"/>
              <w:bottom w:val="single" w:sz="6" w:space="0" w:color="000000"/>
            </w:tcBorders>
          </w:tcPr>
          <w:p>
            <w:pPr>
              <w:pStyle w:val="TAH"/>
              <w:rPr>
                <w:sz w:val="16"/>
                <w:lang w:val="fr-FR"/>
              </w:rPr>
            </w:pPr>
            <w:r>
              <w:rPr>
                <w:sz w:val="16"/>
                <w:lang w:val="fr-FR"/>
              </w:rPr>
              <w:t>CEPT</w:t>
            </w:r>
          </w:p>
        </w:tc>
        <w:tc>
          <w:tcPr>
            <w:tcW w:w="992" w:type="dxa"/>
            <w:gridSpan w:val="2"/>
            <w:tcBorders>
              <w:start w:val="single" w:sz="6" w:space="0" w:color="000000"/>
              <w:bottom w:val="single" w:sz="6" w:space="0" w:color="000000"/>
            </w:tcBorders>
          </w:tcPr>
          <w:p>
            <w:pPr>
              <w:pStyle w:val="TAH"/>
              <w:rPr>
                <w:sz w:val="16"/>
                <w:lang w:val="fr-FR"/>
              </w:rPr>
            </w:pPr>
            <w:r>
              <w:rPr>
                <w:sz w:val="16"/>
                <w:lang w:val="fr-FR"/>
              </w:rPr>
              <w:t>ANSI</w:t>
            </w:r>
          </w:p>
        </w:tc>
        <w:tc>
          <w:tcPr>
            <w:tcW w:w="851" w:type="dxa"/>
            <w:gridSpan w:val="2"/>
            <w:tcBorders>
              <w:start w:val="single" w:sz="6" w:space="0" w:color="000000"/>
              <w:bottom w:val="single" w:sz="6" w:space="0" w:color="000000"/>
            </w:tcBorders>
          </w:tcPr>
          <w:p>
            <w:pPr>
              <w:pStyle w:val="TAH"/>
              <w:rPr>
                <w:sz w:val="16"/>
                <w:lang w:val="fr-FR"/>
              </w:rPr>
            </w:pPr>
            <w:r>
              <w:rPr>
                <w:sz w:val="16"/>
                <w:lang w:val="fr-FR"/>
              </w:rPr>
              <w:t>Japan</w:t>
            </w:r>
          </w:p>
        </w:tc>
        <w:tc>
          <w:tcPr>
            <w:tcW w:w="708" w:type="dxa"/>
            <w:tcBorders>
              <w:start w:val="single" w:sz="6" w:space="0" w:color="000000"/>
              <w:bottom w:val="single" w:sz="6" w:space="0" w:color="000000"/>
            </w:tcBorders>
          </w:tcPr>
          <w:p>
            <w:pPr>
              <w:pStyle w:val="TAH"/>
              <w:rPr/>
            </w:pPr>
            <w:r>
              <w:rPr>
                <w:sz w:val="16"/>
                <w:lang w:val="fr-FR"/>
              </w:rPr>
              <w:t>CEPT</w:t>
            </w:r>
            <w:r>
              <w:rPr>
                <w:sz w:val="16"/>
                <w:lang w:val="fr-FR"/>
              </w:rPr>
              <w:t xml:space="preserve"> </w:t>
            </w:r>
            <w:r>
              <w:rPr>
                <w:sz w:val="16"/>
                <w:lang w:val="fr-FR"/>
              </w:rPr>
              <w:t>ANSI</w:t>
            </w:r>
          </w:p>
        </w:tc>
        <w:tc>
          <w:tcPr>
            <w:tcW w:w="851" w:type="dxa"/>
            <w:gridSpan w:val="2"/>
            <w:tcBorders>
              <w:start w:val="single" w:sz="6" w:space="0" w:color="000000"/>
              <w:bottom w:val="single" w:sz="6" w:space="0" w:color="000000"/>
            </w:tcBorders>
          </w:tcPr>
          <w:p>
            <w:pPr>
              <w:pStyle w:val="TAH"/>
              <w:rPr>
                <w:sz w:val="16"/>
                <w:lang w:val="fr-FR"/>
              </w:rPr>
            </w:pPr>
            <w:r>
              <w:rPr>
                <w:sz w:val="16"/>
                <w:lang w:val="fr-FR"/>
              </w:rPr>
              <w:t>Japan</w:t>
            </w:r>
          </w:p>
        </w:tc>
        <w:tc>
          <w:tcPr>
            <w:tcW w:w="921" w:type="dxa"/>
            <w:gridSpan w:val="2"/>
            <w:tcBorders>
              <w:start w:val="single" w:sz="6" w:space="0" w:color="000000"/>
              <w:bottom w:val="single" w:sz="6" w:space="0" w:color="000000"/>
            </w:tcBorders>
          </w:tcPr>
          <w:p>
            <w:pPr>
              <w:pStyle w:val="TAH"/>
              <w:rPr>
                <w:sz w:val="16"/>
                <w:lang w:val="fr-FR"/>
              </w:rPr>
            </w:pPr>
            <w:r>
              <w:rPr>
                <w:sz w:val="16"/>
                <w:lang w:val="fr-FR"/>
              </w:rPr>
              <w:t>CEPT</w:t>
            </w:r>
          </w:p>
        </w:tc>
        <w:tc>
          <w:tcPr>
            <w:tcW w:w="1064" w:type="dxa"/>
            <w:gridSpan w:val="2"/>
            <w:tcBorders>
              <w:start w:val="single" w:sz="6" w:space="0" w:color="000000"/>
              <w:bottom w:val="single" w:sz="6" w:space="0" w:color="000000"/>
            </w:tcBorders>
          </w:tcPr>
          <w:p>
            <w:pPr>
              <w:pStyle w:val="TAH"/>
              <w:rPr>
                <w:sz w:val="16"/>
                <w:lang w:val="fr-FR"/>
              </w:rPr>
            </w:pPr>
            <w:r>
              <w:rPr>
                <w:sz w:val="16"/>
                <w:lang w:val="fr-FR"/>
              </w:rPr>
              <w:t>ANSI</w:t>
            </w:r>
          </w:p>
        </w:tc>
        <w:tc>
          <w:tcPr>
            <w:tcW w:w="1022" w:type="dxa"/>
            <w:gridSpan w:val="2"/>
            <w:tcBorders>
              <w:start w:val="single" w:sz="6" w:space="0" w:color="000000"/>
              <w:bottom w:val="single" w:sz="6" w:space="0" w:color="000000"/>
              <w:end w:val="single" w:sz="12" w:space="0" w:color="000000"/>
            </w:tcBorders>
          </w:tcPr>
          <w:p>
            <w:pPr>
              <w:pStyle w:val="TAH"/>
              <w:rPr>
                <w:sz w:val="16"/>
              </w:rPr>
            </w:pPr>
            <w:r>
              <w:rPr>
                <w:sz w:val="16"/>
              </w:rPr>
              <w:t>Japan</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1</w:t>
            </w:r>
          </w:p>
        </w:tc>
        <w:tc>
          <w:tcPr>
            <w:tcW w:w="1418" w:type="dxa"/>
            <w:tcBorders>
              <w:top w:val="single" w:sz="6" w:space="0" w:color="000000"/>
              <w:start w:val="single" w:sz="6" w:space="0" w:color="000000"/>
              <w:bottom w:val="single" w:sz="6" w:space="0" w:color="000000"/>
            </w:tcBorders>
          </w:tcPr>
          <w:p>
            <w:pPr>
              <w:pStyle w:val="TAL"/>
              <w:rPr>
                <w:lang w:val="en-US" w:eastAsia="ja-JP"/>
              </w:rPr>
            </w:pPr>
            <w:r>
              <w:rPr>
                <w:lang w:val="en-US" w:eastAsia="ja-JP"/>
              </w:rPr>
              <w:t>Dial tone (optional)</w:t>
            </w:r>
          </w:p>
        </w:tc>
        <w:tc>
          <w:tcPr>
            <w:tcW w:w="992" w:type="dxa"/>
            <w:gridSpan w:val="2"/>
            <w:tcBorders>
              <w:top w:val="single" w:sz="6" w:space="0" w:color="000000"/>
              <w:start w:val="single" w:sz="6" w:space="0" w:color="000000"/>
              <w:bottom w:val="single" w:sz="6" w:space="0" w:color="000000"/>
            </w:tcBorders>
          </w:tcPr>
          <w:p>
            <w:pPr>
              <w:pStyle w:val="TAL"/>
              <w:rPr>
                <w:lang w:val="en-US" w:eastAsia="ja-JP"/>
              </w:rPr>
            </w:pPr>
            <w:r>
              <w:rPr>
                <w:lang w:val="en-US" w:eastAsia="ja-JP"/>
              </w:rPr>
              <w:t>425 Hz</w:t>
            </w:r>
          </w:p>
        </w:tc>
        <w:tc>
          <w:tcPr>
            <w:tcW w:w="992" w:type="dxa"/>
            <w:gridSpan w:val="2"/>
            <w:tcBorders>
              <w:top w:val="single" w:sz="6" w:space="0" w:color="000000"/>
              <w:start w:val="single" w:sz="6" w:space="0" w:color="000000"/>
              <w:bottom w:val="single" w:sz="6" w:space="0" w:color="000000"/>
            </w:tcBorders>
          </w:tcPr>
          <w:p>
            <w:pPr>
              <w:pStyle w:val="TAL"/>
              <w:rPr/>
            </w:pPr>
            <w:r>
              <w:rPr>
                <w:lang w:eastAsia="ja-JP"/>
              </w:rPr>
              <w:t>350</w:t>
            </w:r>
            <w:r>
              <w:rPr>
                <w:lang w:eastAsia="ja-JP"/>
              </w:rPr>
              <w:t xml:space="preserve"> </w:t>
            </w:r>
            <w:r>
              <w:rPr>
                <w:lang w:eastAsia="ja-JP"/>
              </w:rPr>
              <w:t>Hz added to 440 Hz</w:t>
            </w:r>
          </w:p>
        </w:tc>
        <w:tc>
          <w:tcPr>
            <w:tcW w:w="851" w:type="dxa"/>
            <w:gridSpan w:val="2"/>
            <w:tcBorders>
              <w:top w:val="single" w:sz="6" w:space="0" w:color="000000"/>
              <w:start w:val="single" w:sz="6" w:space="0" w:color="000000"/>
              <w:bottom w:val="single" w:sz="6" w:space="0" w:color="000000"/>
            </w:tcBorders>
          </w:tcPr>
          <w:p>
            <w:pPr>
              <w:pStyle w:val="TAL"/>
              <w:rPr/>
            </w:pPr>
            <w:r>
              <w:rPr>
                <w:lang w:val="fr-FR" w:eastAsia="ja-JP"/>
              </w:rPr>
              <w:t>400</w:t>
            </w:r>
            <w:r>
              <w:rPr>
                <w:lang w:val="fr-FR" w:eastAsia="ja-JP"/>
              </w:rPr>
              <w:t xml:space="preserve"> </w:t>
            </w:r>
            <w:r>
              <w:rPr>
                <w:lang w:val="fr-FR" w:eastAsia="ja-JP"/>
              </w:rPr>
              <w:t>Hz</w:t>
            </w:r>
          </w:p>
        </w:tc>
        <w:tc>
          <w:tcPr>
            <w:tcW w:w="708" w:type="dxa"/>
            <w:tcBorders>
              <w:top w:val="single" w:sz="6" w:space="0" w:color="000000"/>
              <w:start w:val="single" w:sz="6" w:space="0" w:color="000000"/>
              <w:bottom w:val="single" w:sz="6" w:space="0" w:color="000000"/>
            </w:tcBorders>
          </w:tcPr>
          <w:p>
            <w:pPr>
              <w:pStyle w:val="TAL"/>
              <w:rPr/>
            </w:pPr>
            <w:r>
              <w:rPr>
                <w:lang w:val="fr-FR" w:eastAsia="ja-JP"/>
              </w:rPr>
              <w:t>15</w:t>
            </w:r>
            <w:r>
              <w:rPr>
                <w:lang w:val="fr-FR" w:eastAsia="ja-JP"/>
              </w:rPr>
              <w:t xml:space="preserve"> </w:t>
            </w:r>
            <w:r>
              <w:rPr>
                <w:lang w:val="fr-FR" w:eastAsia="ja-JP"/>
              </w:rPr>
              <w:t>Hz</w:t>
            </w:r>
          </w:p>
        </w:tc>
        <w:tc>
          <w:tcPr>
            <w:tcW w:w="851" w:type="dxa"/>
            <w:gridSpan w:val="2"/>
            <w:tcBorders>
              <w:top w:val="single" w:sz="6" w:space="0" w:color="000000"/>
              <w:start w:val="single" w:sz="6" w:space="0" w:color="000000"/>
              <w:bottom w:val="single" w:sz="6" w:space="0" w:color="000000"/>
            </w:tcBorders>
          </w:tcPr>
          <w:p>
            <w:pPr>
              <w:pStyle w:val="TAL"/>
              <w:rPr>
                <w:lang w:val="fr-FR" w:eastAsia="ja-JP"/>
              </w:rPr>
            </w:pPr>
            <w:r>
              <w:rPr>
                <w:lang w:val="fr-FR" w:eastAsia="ja-JP"/>
              </w:rPr>
              <w:t>20Hz</w:t>
            </w:r>
          </w:p>
        </w:tc>
        <w:tc>
          <w:tcPr>
            <w:tcW w:w="921" w:type="dxa"/>
            <w:gridSpan w:val="2"/>
            <w:tcBorders>
              <w:top w:val="single" w:sz="6" w:space="0" w:color="000000"/>
              <w:start w:val="single" w:sz="6" w:space="0" w:color="000000"/>
              <w:bottom w:val="single" w:sz="6" w:space="0" w:color="000000"/>
            </w:tcBorders>
          </w:tcPr>
          <w:p>
            <w:pPr>
              <w:pStyle w:val="TAL"/>
              <w:rPr>
                <w:sz w:val="16"/>
                <w:lang w:val="fr-FR" w:eastAsia="ja-JP"/>
              </w:rPr>
            </w:pPr>
            <w:r>
              <w:rPr>
                <w:sz w:val="16"/>
                <w:lang w:val="fr-FR" w:eastAsia="ja-JP"/>
              </w:rPr>
              <w:t>Conti-nuous</w:t>
            </w:r>
          </w:p>
        </w:tc>
        <w:tc>
          <w:tcPr>
            <w:tcW w:w="1064" w:type="dxa"/>
            <w:gridSpan w:val="2"/>
            <w:tcBorders>
              <w:top w:val="single" w:sz="6" w:space="0" w:color="000000"/>
              <w:start w:val="single" w:sz="6" w:space="0" w:color="000000"/>
              <w:bottom w:val="single" w:sz="6" w:space="0" w:color="000000"/>
            </w:tcBorders>
          </w:tcPr>
          <w:p>
            <w:pPr>
              <w:pStyle w:val="TAL"/>
              <w:rPr>
                <w:sz w:val="16"/>
                <w:lang w:val="fr-FR" w:eastAsia="ja-JP"/>
              </w:rPr>
            </w:pPr>
            <w:r>
              <w:rPr>
                <w:sz w:val="16"/>
                <w:lang w:val="fr-FR" w:eastAsia="ja-JP"/>
              </w:rPr>
              <w:t>Continuous</w:t>
            </w:r>
          </w:p>
        </w:tc>
        <w:tc>
          <w:tcPr>
            <w:tcW w:w="1022" w:type="dxa"/>
            <w:gridSpan w:val="2"/>
            <w:tcBorders>
              <w:top w:val="single" w:sz="6" w:space="0" w:color="000000"/>
              <w:start w:val="single" w:sz="6" w:space="0" w:color="000000"/>
              <w:bottom w:val="single" w:sz="6" w:space="0" w:color="000000"/>
              <w:end w:val="single" w:sz="12" w:space="0" w:color="000000"/>
            </w:tcBorders>
          </w:tcPr>
          <w:p>
            <w:pPr>
              <w:pStyle w:val="TAL"/>
              <w:rPr>
                <w:sz w:val="16"/>
                <w:lang w:val="fr-FR" w:eastAsia="ja-JP"/>
              </w:rPr>
            </w:pPr>
            <w:r>
              <w:rPr>
                <w:sz w:val="16"/>
                <w:lang w:val="fr-FR" w:eastAsia="ja-JP"/>
              </w:rPr>
              <w:t>Conti-nuous</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2 *</w:t>
            </w:r>
          </w:p>
        </w:tc>
        <w:tc>
          <w:tcPr>
            <w:tcW w:w="1418" w:type="dxa"/>
            <w:tcBorders>
              <w:top w:val="single" w:sz="6" w:space="0" w:color="000000"/>
              <w:start w:val="single" w:sz="6" w:space="0" w:color="000000"/>
              <w:bottom w:val="single" w:sz="6" w:space="0" w:color="000000"/>
            </w:tcBorders>
          </w:tcPr>
          <w:p>
            <w:pPr>
              <w:pStyle w:val="TAL"/>
              <w:rPr>
                <w:sz w:val="16"/>
              </w:rPr>
            </w:pPr>
            <w:r>
              <w:rPr>
                <w:sz w:val="16"/>
              </w:rPr>
              <w:t>Subscriber Busy (Called Number)</w:t>
            </w:r>
          </w:p>
        </w:tc>
        <w:tc>
          <w:tcPr>
            <w:tcW w:w="992" w:type="dxa"/>
            <w:gridSpan w:val="2"/>
            <w:tcBorders>
              <w:top w:val="single" w:sz="6" w:space="0" w:color="000000"/>
              <w:start w:val="single" w:sz="6" w:space="0" w:color="000000"/>
              <w:bottom w:val="single" w:sz="6" w:space="0" w:color="000000"/>
            </w:tcBorders>
          </w:tcPr>
          <w:p>
            <w:pPr>
              <w:pStyle w:val="TAL"/>
              <w:rPr/>
            </w:pPr>
            <w:r>
              <w:rPr/>
              <w:t>425 Hz</w:t>
            </w:r>
          </w:p>
        </w:tc>
        <w:tc>
          <w:tcPr>
            <w:tcW w:w="992" w:type="dxa"/>
            <w:gridSpan w:val="2"/>
            <w:tcBorders>
              <w:top w:val="single" w:sz="6" w:space="0" w:color="000000"/>
              <w:start w:val="single" w:sz="6" w:space="0" w:color="000000"/>
              <w:bottom w:val="single" w:sz="6" w:space="0" w:color="000000"/>
            </w:tcBorders>
          </w:tcPr>
          <w:p>
            <w:pPr>
              <w:pStyle w:val="TAL"/>
              <w:rPr/>
            </w:pPr>
            <w:r>
              <w:rPr/>
              <w:t>480</w:t>
            </w:r>
            <w:r>
              <w:rPr/>
              <w:t xml:space="preserve"> </w:t>
            </w:r>
            <w:r>
              <w:rPr/>
              <w:t>Hz added to 620 Hz</w:t>
            </w:r>
          </w:p>
        </w:tc>
        <w:tc>
          <w:tcPr>
            <w:tcW w:w="851" w:type="dxa"/>
            <w:gridSpan w:val="2"/>
            <w:tcBorders>
              <w:top w:val="single" w:sz="6" w:space="0" w:color="000000"/>
              <w:start w:val="single" w:sz="6" w:space="0" w:color="000000"/>
              <w:bottom w:val="single" w:sz="6" w:space="0" w:color="000000"/>
            </w:tcBorders>
          </w:tcPr>
          <w:p>
            <w:pPr>
              <w:pStyle w:val="TAL"/>
              <w:rPr/>
            </w:pPr>
            <w:r>
              <w:rPr>
                <w:lang w:val="fr-FR"/>
              </w:rPr>
              <w:t>400</w:t>
            </w:r>
            <w:r>
              <w:rPr>
                <w:lang w:val="fr-FR"/>
              </w:rPr>
              <w:t xml:space="preserve"> </w:t>
            </w:r>
            <w:r>
              <w:rPr>
                <w:lang w:val="fr-FR"/>
              </w:rPr>
              <w:t>Hz</w:t>
            </w:r>
          </w:p>
        </w:tc>
        <w:tc>
          <w:tcPr>
            <w:tcW w:w="708" w:type="dxa"/>
            <w:tcBorders>
              <w:top w:val="single" w:sz="6" w:space="0" w:color="000000"/>
              <w:start w:val="single" w:sz="6" w:space="0" w:color="000000"/>
              <w:bottom w:val="single" w:sz="6" w:space="0" w:color="000000"/>
            </w:tcBorders>
          </w:tcPr>
          <w:p>
            <w:pPr>
              <w:pStyle w:val="TAL"/>
              <w:rPr>
                <w:lang w:val="fr-FR"/>
              </w:rPr>
            </w:pPr>
            <w:r>
              <w:rPr>
                <w:lang w:val="fr-FR"/>
              </w:rPr>
              <w:t>15</w:t>
            </w:r>
            <w:r>
              <w:rPr>
                <w:lang w:val="fr-FR"/>
              </w:rPr>
              <w:t xml:space="preserve"> </w:t>
            </w:r>
            <w:r>
              <w:rPr>
                <w:lang w:val="fr-FR"/>
              </w:rPr>
              <w:t>Hz</w:t>
            </w:r>
          </w:p>
        </w:tc>
        <w:tc>
          <w:tcPr>
            <w:tcW w:w="851" w:type="dxa"/>
            <w:gridSpan w:val="2"/>
            <w:tcBorders>
              <w:top w:val="single" w:sz="6" w:space="0" w:color="000000"/>
              <w:start w:val="single" w:sz="6" w:space="0" w:color="000000"/>
              <w:bottom w:val="single" w:sz="6" w:space="0" w:color="000000"/>
            </w:tcBorders>
          </w:tcPr>
          <w:p>
            <w:pPr>
              <w:pStyle w:val="TAL"/>
              <w:rPr>
                <w:sz w:val="16"/>
                <w:lang w:val="fr-FR"/>
              </w:rPr>
            </w:pPr>
            <w:r>
              <w:rPr>
                <w:sz w:val="16"/>
                <w:lang w:val="fr-FR"/>
              </w:rPr>
              <w:t>20Hz</w:t>
            </w:r>
          </w:p>
        </w:tc>
        <w:tc>
          <w:tcPr>
            <w:tcW w:w="921" w:type="dxa"/>
            <w:gridSpan w:val="2"/>
            <w:tcBorders>
              <w:top w:val="single" w:sz="6" w:space="0" w:color="000000"/>
              <w:start w:val="single" w:sz="6" w:space="0" w:color="000000"/>
              <w:bottom w:val="single" w:sz="6" w:space="0" w:color="000000"/>
            </w:tcBorders>
          </w:tcPr>
          <w:p>
            <w:pPr>
              <w:pStyle w:val="TAL"/>
              <w:rPr>
                <w:sz w:val="16"/>
              </w:rPr>
            </w:pPr>
            <w:r>
              <w:rPr>
                <w:sz w:val="16"/>
              </w:rPr>
              <w:t>Tone on 500ms</w:t>
              <w:br/>
              <w:t xml:space="preserve">Silence 500ms </w:t>
            </w:r>
          </w:p>
        </w:tc>
        <w:tc>
          <w:tcPr>
            <w:tcW w:w="1064" w:type="dxa"/>
            <w:gridSpan w:val="2"/>
            <w:tcBorders>
              <w:top w:val="single" w:sz="6" w:space="0" w:color="000000"/>
              <w:start w:val="single" w:sz="6" w:space="0" w:color="000000"/>
              <w:bottom w:val="single" w:sz="6" w:space="0" w:color="000000"/>
            </w:tcBorders>
          </w:tcPr>
          <w:p>
            <w:pPr>
              <w:pStyle w:val="TAL"/>
              <w:rPr>
                <w:sz w:val="16"/>
              </w:rPr>
            </w:pPr>
            <w:r>
              <w:rPr>
                <w:sz w:val="16"/>
              </w:rPr>
              <w:t>Tone on 500ms</w:t>
              <w:br/>
              <w:t>Silence 500ms</w:t>
            </w:r>
          </w:p>
        </w:tc>
        <w:tc>
          <w:tcPr>
            <w:tcW w:w="1022" w:type="dxa"/>
            <w:gridSpan w:val="2"/>
            <w:tcBorders>
              <w:top w:val="single" w:sz="6" w:space="0" w:color="000000"/>
              <w:start w:val="single" w:sz="6" w:space="0" w:color="000000"/>
              <w:bottom w:val="single" w:sz="6" w:space="0" w:color="000000"/>
              <w:end w:val="single" w:sz="12" w:space="0" w:color="000000"/>
            </w:tcBorders>
          </w:tcPr>
          <w:p>
            <w:pPr>
              <w:pStyle w:val="TAL"/>
              <w:rPr>
                <w:sz w:val="16"/>
              </w:rPr>
            </w:pPr>
            <w:r>
              <w:rPr>
                <w:sz w:val="16"/>
              </w:rPr>
              <w:t>Tone on 500ms Silence 500ms</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3 *</w:t>
            </w:r>
          </w:p>
        </w:tc>
        <w:tc>
          <w:tcPr>
            <w:tcW w:w="1418" w:type="dxa"/>
            <w:tcBorders>
              <w:top w:val="single" w:sz="6" w:space="0" w:color="000000"/>
              <w:start w:val="single" w:sz="6" w:space="0" w:color="000000"/>
              <w:bottom w:val="single" w:sz="6" w:space="0" w:color="000000"/>
            </w:tcBorders>
          </w:tcPr>
          <w:p>
            <w:pPr>
              <w:pStyle w:val="TAL"/>
              <w:rPr>
                <w:lang w:val="en-US" w:eastAsia="ja-JP"/>
              </w:rPr>
            </w:pPr>
            <w:r>
              <w:rPr>
                <w:lang w:val="en-US" w:eastAsia="ja-JP"/>
              </w:rPr>
              <w:t>Congestion</w:t>
            </w:r>
          </w:p>
        </w:tc>
        <w:tc>
          <w:tcPr>
            <w:tcW w:w="992" w:type="dxa"/>
            <w:gridSpan w:val="2"/>
            <w:tcBorders>
              <w:top w:val="single" w:sz="6" w:space="0" w:color="000000"/>
              <w:start w:val="single" w:sz="6" w:space="0" w:color="000000"/>
              <w:bottom w:val="single" w:sz="6" w:space="0" w:color="000000"/>
            </w:tcBorders>
          </w:tcPr>
          <w:p>
            <w:pPr>
              <w:pStyle w:val="TAL"/>
              <w:rPr/>
            </w:pPr>
            <w:r>
              <w:rPr/>
              <w:t>425 Hz</w:t>
            </w:r>
          </w:p>
        </w:tc>
        <w:tc>
          <w:tcPr>
            <w:tcW w:w="992" w:type="dxa"/>
            <w:gridSpan w:val="2"/>
            <w:tcBorders>
              <w:top w:val="single" w:sz="6" w:space="0" w:color="000000"/>
              <w:start w:val="single" w:sz="6" w:space="0" w:color="000000"/>
              <w:bottom w:val="single" w:sz="6" w:space="0" w:color="000000"/>
            </w:tcBorders>
          </w:tcPr>
          <w:p>
            <w:pPr>
              <w:pStyle w:val="TAL"/>
              <w:rPr/>
            </w:pPr>
            <w:r>
              <w:rPr/>
              <w:t>480</w:t>
            </w:r>
            <w:r>
              <w:rPr/>
              <w:t xml:space="preserve"> </w:t>
            </w:r>
            <w:r>
              <w:rPr/>
              <w:t>Hz added to 620 Hz</w:t>
            </w:r>
          </w:p>
        </w:tc>
        <w:tc>
          <w:tcPr>
            <w:tcW w:w="851" w:type="dxa"/>
            <w:gridSpan w:val="2"/>
            <w:tcBorders>
              <w:top w:val="single" w:sz="6" w:space="0" w:color="000000"/>
              <w:start w:val="single" w:sz="6" w:space="0" w:color="000000"/>
              <w:bottom w:val="single" w:sz="6" w:space="0" w:color="000000"/>
            </w:tcBorders>
          </w:tcPr>
          <w:p>
            <w:pPr>
              <w:pStyle w:val="TAL"/>
              <w:rPr>
                <w:sz w:val="16"/>
              </w:rPr>
            </w:pPr>
            <w:r>
              <w:rPr>
                <w:sz w:val="16"/>
              </w:rPr>
              <w:t>Optional</w:t>
            </w:r>
          </w:p>
        </w:tc>
        <w:tc>
          <w:tcPr>
            <w:tcW w:w="708" w:type="dxa"/>
            <w:tcBorders>
              <w:top w:val="single" w:sz="6" w:space="0" w:color="000000"/>
              <w:start w:val="single" w:sz="6" w:space="0" w:color="000000"/>
              <w:bottom w:val="single" w:sz="6" w:space="0" w:color="000000"/>
            </w:tcBorders>
          </w:tcPr>
          <w:p>
            <w:pPr>
              <w:pStyle w:val="TAL"/>
              <w:rPr/>
            </w:pPr>
            <w:r>
              <w:rPr/>
              <w:t>15</w:t>
            </w:r>
            <w:r>
              <w:rPr/>
              <w:t xml:space="preserve"> </w:t>
            </w:r>
            <w:r>
              <w:rPr/>
              <w:t>Hz</w:t>
            </w:r>
          </w:p>
        </w:tc>
        <w:tc>
          <w:tcPr>
            <w:tcW w:w="851" w:type="dxa"/>
            <w:gridSpan w:val="2"/>
            <w:tcBorders>
              <w:top w:val="single" w:sz="6" w:space="0" w:color="000000"/>
              <w:start w:val="single" w:sz="6" w:space="0" w:color="000000"/>
              <w:bottom w:val="single" w:sz="6" w:space="0" w:color="000000"/>
            </w:tcBorders>
          </w:tcPr>
          <w:p>
            <w:pPr>
              <w:pStyle w:val="TAL"/>
              <w:rPr>
                <w:sz w:val="16"/>
              </w:rPr>
            </w:pPr>
            <w:r>
              <w:rPr>
                <w:sz w:val="16"/>
              </w:rPr>
              <w:t>Optional</w:t>
            </w:r>
          </w:p>
        </w:tc>
        <w:tc>
          <w:tcPr>
            <w:tcW w:w="921" w:type="dxa"/>
            <w:gridSpan w:val="2"/>
            <w:tcBorders>
              <w:top w:val="single" w:sz="6" w:space="0" w:color="000000"/>
              <w:start w:val="single" w:sz="6" w:space="0" w:color="000000"/>
              <w:bottom w:val="single" w:sz="6" w:space="0" w:color="000000"/>
            </w:tcBorders>
          </w:tcPr>
          <w:p>
            <w:pPr>
              <w:pStyle w:val="TAL"/>
              <w:rPr>
                <w:sz w:val="16"/>
              </w:rPr>
            </w:pPr>
            <w:r>
              <w:rPr>
                <w:sz w:val="16"/>
              </w:rPr>
              <w:t>Tone on 200ms</w:t>
              <w:br/>
              <w:t xml:space="preserve">Silence 200ms </w:t>
            </w:r>
          </w:p>
        </w:tc>
        <w:tc>
          <w:tcPr>
            <w:tcW w:w="1064" w:type="dxa"/>
            <w:gridSpan w:val="2"/>
            <w:tcBorders>
              <w:top w:val="single" w:sz="6" w:space="0" w:color="000000"/>
              <w:start w:val="single" w:sz="6" w:space="0" w:color="000000"/>
              <w:bottom w:val="single" w:sz="6" w:space="0" w:color="000000"/>
            </w:tcBorders>
          </w:tcPr>
          <w:p>
            <w:pPr>
              <w:pStyle w:val="TAL"/>
              <w:rPr/>
            </w:pPr>
            <w:r>
              <w:rPr>
                <w:sz w:val="16"/>
              </w:rPr>
              <w:t>Tone on 2</w:t>
            </w:r>
            <w:r>
              <w:rPr>
                <w:sz w:val="16"/>
              </w:rPr>
              <w:t>5</w:t>
            </w:r>
            <w:r>
              <w:rPr>
                <w:sz w:val="16"/>
              </w:rPr>
              <w:t>0ms</w:t>
              <w:br/>
              <w:t>Silence 250ms</w:t>
            </w:r>
          </w:p>
        </w:tc>
        <w:tc>
          <w:tcPr>
            <w:tcW w:w="1022" w:type="dxa"/>
            <w:gridSpan w:val="2"/>
            <w:tcBorders>
              <w:top w:val="single" w:sz="6" w:space="0" w:color="000000"/>
              <w:start w:val="single" w:sz="6" w:space="0" w:color="000000"/>
              <w:bottom w:val="single" w:sz="6" w:space="0" w:color="000000"/>
              <w:end w:val="single" w:sz="12" w:space="0" w:color="000000"/>
            </w:tcBorders>
          </w:tcPr>
          <w:p>
            <w:pPr>
              <w:pStyle w:val="TAL"/>
              <w:rPr>
                <w:sz w:val="16"/>
              </w:rPr>
            </w:pPr>
            <w:r>
              <w:rPr>
                <w:sz w:val="16"/>
              </w:rPr>
              <w:t>Optional</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4</w:t>
            </w:r>
          </w:p>
        </w:tc>
        <w:tc>
          <w:tcPr>
            <w:tcW w:w="1418" w:type="dxa"/>
            <w:tcBorders>
              <w:top w:val="single" w:sz="6" w:space="0" w:color="000000"/>
              <w:start w:val="single" w:sz="6" w:space="0" w:color="000000"/>
              <w:bottom w:val="single" w:sz="6" w:space="0" w:color="000000"/>
            </w:tcBorders>
          </w:tcPr>
          <w:p>
            <w:pPr>
              <w:pStyle w:val="TAL"/>
              <w:rPr>
                <w:sz w:val="16"/>
              </w:rPr>
            </w:pPr>
            <w:r>
              <w:rPr>
                <w:sz w:val="16"/>
              </w:rPr>
              <w:t>Radio Path</w:t>
              <w:br/>
              <w:t>Acknowledgement (Mobile</w:t>
              <w:br/>
              <w:t>Originated only) (optional)</w:t>
            </w:r>
          </w:p>
        </w:tc>
        <w:tc>
          <w:tcPr>
            <w:tcW w:w="992" w:type="dxa"/>
            <w:gridSpan w:val="2"/>
            <w:tcBorders>
              <w:top w:val="single" w:sz="6" w:space="0" w:color="000000"/>
              <w:start w:val="single" w:sz="6" w:space="0" w:color="000000"/>
              <w:bottom w:val="single" w:sz="6" w:space="0" w:color="000000"/>
            </w:tcBorders>
          </w:tcPr>
          <w:p>
            <w:pPr>
              <w:pStyle w:val="TAL"/>
              <w:rPr/>
            </w:pPr>
            <w:r>
              <w:rPr/>
              <w:t>425 Hz</w:t>
            </w:r>
          </w:p>
        </w:tc>
        <w:tc>
          <w:tcPr>
            <w:tcW w:w="992" w:type="dxa"/>
            <w:gridSpan w:val="2"/>
            <w:tcBorders>
              <w:top w:val="single" w:sz="6" w:space="0" w:color="000000"/>
              <w:start w:val="single" w:sz="6" w:space="0" w:color="000000"/>
              <w:bottom w:val="single" w:sz="6" w:space="0" w:color="000000"/>
            </w:tcBorders>
          </w:tcPr>
          <w:p>
            <w:pPr>
              <w:pStyle w:val="TAL"/>
              <w:rPr/>
            </w:pPr>
            <w:r>
              <w:rPr/>
              <w:t>425</w:t>
            </w:r>
            <w:r>
              <w:rPr/>
              <w:t xml:space="preserve"> </w:t>
            </w:r>
            <w:r>
              <w:rPr/>
              <w:t>Hz</w:t>
            </w:r>
          </w:p>
        </w:tc>
        <w:tc>
          <w:tcPr>
            <w:tcW w:w="851" w:type="dxa"/>
            <w:gridSpan w:val="2"/>
            <w:tcBorders>
              <w:top w:val="single" w:sz="6" w:space="0" w:color="000000"/>
              <w:start w:val="single" w:sz="6" w:space="0" w:color="000000"/>
              <w:bottom w:val="single" w:sz="6" w:space="0" w:color="000000"/>
            </w:tcBorders>
          </w:tcPr>
          <w:p>
            <w:pPr>
              <w:pStyle w:val="TAL"/>
              <w:rPr/>
            </w:pPr>
            <w:r>
              <w:rPr/>
              <w:t>400</w:t>
            </w:r>
            <w:r>
              <w:rPr/>
              <w:t xml:space="preserve"> </w:t>
            </w:r>
            <w:r>
              <w:rPr/>
              <w:t>Hz</w:t>
            </w:r>
          </w:p>
          <w:p>
            <w:pPr>
              <w:pStyle w:val="TAL"/>
              <w:rPr>
                <w:sz w:val="16"/>
              </w:rPr>
            </w:pPr>
            <w:r>
              <w:rPr>
                <w:sz w:val="16"/>
              </w:rPr>
            </w:r>
          </w:p>
        </w:tc>
        <w:tc>
          <w:tcPr>
            <w:tcW w:w="708" w:type="dxa"/>
            <w:tcBorders>
              <w:top w:val="single" w:sz="6" w:space="0" w:color="000000"/>
              <w:start w:val="single" w:sz="6" w:space="0" w:color="000000"/>
              <w:bottom w:val="single" w:sz="6" w:space="0" w:color="000000"/>
            </w:tcBorders>
          </w:tcPr>
          <w:p>
            <w:pPr>
              <w:pStyle w:val="TAL"/>
              <w:rPr/>
            </w:pPr>
            <w:r>
              <w:rPr/>
              <w:t>15</w:t>
            </w:r>
            <w:r>
              <w:rPr/>
              <w:t xml:space="preserve"> </w:t>
            </w:r>
            <w:r>
              <w:rPr/>
              <w:t>Hz</w:t>
            </w:r>
          </w:p>
        </w:tc>
        <w:tc>
          <w:tcPr>
            <w:tcW w:w="851" w:type="dxa"/>
            <w:gridSpan w:val="2"/>
            <w:tcBorders>
              <w:top w:val="single" w:sz="6" w:space="0" w:color="000000"/>
              <w:start w:val="single" w:sz="6" w:space="0" w:color="000000"/>
              <w:bottom w:val="single" w:sz="6" w:space="0" w:color="000000"/>
            </w:tcBorders>
          </w:tcPr>
          <w:p>
            <w:pPr>
              <w:pStyle w:val="TAL"/>
              <w:rPr/>
            </w:pPr>
            <w:r>
              <w:rPr>
                <w:sz w:val="16"/>
              </w:rPr>
              <w:t>20</w:t>
            </w:r>
            <w:r>
              <w:rPr>
                <w:sz w:val="16"/>
              </w:rPr>
              <w:t xml:space="preserve"> </w:t>
            </w:r>
            <w:r>
              <w:rPr>
                <w:sz w:val="16"/>
              </w:rPr>
              <w:t>Hz</w:t>
            </w:r>
          </w:p>
        </w:tc>
        <w:tc>
          <w:tcPr>
            <w:tcW w:w="921" w:type="dxa"/>
            <w:gridSpan w:val="2"/>
            <w:tcBorders>
              <w:top w:val="single" w:sz="6" w:space="0" w:color="000000"/>
              <w:start w:val="single" w:sz="6" w:space="0" w:color="000000"/>
              <w:bottom w:val="single" w:sz="6" w:space="0" w:color="000000"/>
            </w:tcBorders>
          </w:tcPr>
          <w:p>
            <w:pPr>
              <w:pStyle w:val="TAL"/>
              <w:rPr>
                <w:sz w:val="16"/>
              </w:rPr>
            </w:pPr>
            <w:r>
              <w:rPr>
                <w:sz w:val="16"/>
              </w:rPr>
              <w:t>Single tone 200ms</w:t>
            </w:r>
          </w:p>
        </w:tc>
        <w:tc>
          <w:tcPr>
            <w:tcW w:w="1064" w:type="dxa"/>
            <w:gridSpan w:val="2"/>
            <w:tcBorders>
              <w:top w:val="single" w:sz="6" w:space="0" w:color="000000"/>
              <w:start w:val="single" w:sz="6" w:space="0" w:color="000000"/>
              <w:bottom w:val="single" w:sz="6" w:space="0" w:color="000000"/>
            </w:tcBorders>
          </w:tcPr>
          <w:p>
            <w:pPr>
              <w:pStyle w:val="TAL"/>
              <w:rPr>
                <w:sz w:val="16"/>
              </w:rPr>
            </w:pPr>
            <w:r>
              <w:rPr>
                <w:sz w:val="16"/>
              </w:rPr>
              <w:t>Single tone 200ms</w:t>
            </w:r>
          </w:p>
        </w:tc>
        <w:tc>
          <w:tcPr>
            <w:tcW w:w="1022" w:type="dxa"/>
            <w:gridSpan w:val="2"/>
            <w:tcBorders>
              <w:top w:val="single" w:sz="6" w:space="0" w:color="000000"/>
              <w:start w:val="single" w:sz="6" w:space="0" w:color="000000"/>
              <w:bottom w:val="single" w:sz="6" w:space="0" w:color="000000"/>
              <w:end w:val="single" w:sz="12" w:space="0" w:color="000000"/>
            </w:tcBorders>
          </w:tcPr>
          <w:p>
            <w:pPr>
              <w:pStyle w:val="TAL"/>
              <w:rPr/>
            </w:pPr>
            <w:r>
              <w:rPr>
                <w:sz w:val="16"/>
                <w:lang w:val="fr-FR"/>
              </w:rPr>
              <w:t>Tone on 1 Sec Silence 2</w:t>
            </w:r>
            <w:r>
              <w:rPr>
                <w:sz w:val="16"/>
                <w:lang w:val="fr-FR"/>
              </w:rPr>
              <w:t> </w:t>
            </w:r>
            <w:r>
              <w:rPr>
                <w:sz w:val="16"/>
                <w:lang w:val="fr-FR"/>
              </w:rPr>
              <w:t xml:space="preserve">Sec </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5</w:t>
            </w:r>
          </w:p>
        </w:tc>
        <w:tc>
          <w:tcPr>
            <w:tcW w:w="1418" w:type="dxa"/>
            <w:tcBorders>
              <w:top w:val="single" w:sz="6" w:space="0" w:color="000000"/>
              <w:start w:val="single" w:sz="6" w:space="0" w:color="000000"/>
              <w:bottom w:val="single" w:sz="6" w:space="0" w:color="000000"/>
            </w:tcBorders>
          </w:tcPr>
          <w:p>
            <w:pPr>
              <w:pStyle w:val="TAL"/>
              <w:rPr>
                <w:sz w:val="16"/>
              </w:rPr>
            </w:pPr>
            <w:r>
              <w:rPr>
                <w:sz w:val="16"/>
              </w:rPr>
              <w:t>{Radio Path Not Available</w:t>
              <w:br/>
              <w:t>{Call Dropped – Mobile originated only</w:t>
            </w:r>
          </w:p>
        </w:tc>
        <w:tc>
          <w:tcPr>
            <w:tcW w:w="992" w:type="dxa"/>
            <w:gridSpan w:val="2"/>
            <w:tcBorders>
              <w:top w:val="single" w:sz="6" w:space="0" w:color="000000"/>
              <w:start w:val="single" w:sz="6" w:space="0" w:color="000000"/>
              <w:bottom w:val="single" w:sz="6" w:space="0" w:color="000000"/>
            </w:tcBorders>
          </w:tcPr>
          <w:p>
            <w:pPr>
              <w:pStyle w:val="TAL"/>
              <w:rPr>
                <w:lang w:val="fr-FR"/>
              </w:rPr>
            </w:pPr>
            <w:r>
              <w:rPr>
                <w:lang w:val="fr-FR"/>
              </w:rPr>
              <w:t>425 Hz</w:t>
            </w:r>
          </w:p>
        </w:tc>
        <w:tc>
          <w:tcPr>
            <w:tcW w:w="992" w:type="dxa"/>
            <w:gridSpan w:val="2"/>
            <w:tcBorders>
              <w:top w:val="single" w:sz="6" w:space="0" w:color="000000"/>
              <w:start w:val="single" w:sz="6" w:space="0" w:color="000000"/>
              <w:bottom w:val="single" w:sz="6" w:space="0" w:color="000000"/>
            </w:tcBorders>
          </w:tcPr>
          <w:p>
            <w:pPr>
              <w:pStyle w:val="TAL"/>
              <w:rPr/>
            </w:pPr>
            <w:r>
              <w:rPr>
                <w:lang w:val="fr-FR"/>
              </w:rPr>
              <w:t>425</w:t>
            </w:r>
            <w:r>
              <w:rPr>
                <w:lang w:val="fr-FR"/>
              </w:rPr>
              <w:t xml:space="preserve"> </w:t>
            </w:r>
            <w:r>
              <w:rPr>
                <w:lang w:val="fr-FR"/>
              </w:rPr>
              <w:t>Hz</w:t>
            </w:r>
          </w:p>
        </w:tc>
        <w:tc>
          <w:tcPr>
            <w:tcW w:w="851" w:type="dxa"/>
            <w:gridSpan w:val="2"/>
            <w:tcBorders>
              <w:top w:val="single" w:sz="6" w:space="0" w:color="000000"/>
              <w:start w:val="single" w:sz="6" w:space="0" w:color="000000"/>
              <w:bottom w:val="single" w:sz="6" w:space="0" w:color="000000"/>
            </w:tcBorders>
          </w:tcPr>
          <w:p>
            <w:pPr>
              <w:pStyle w:val="TAL"/>
              <w:rPr>
                <w:sz w:val="16"/>
                <w:lang w:val="fr-FR"/>
              </w:rPr>
            </w:pPr>
            <w:r>
              <w:rPr>
                <w:sz w:val="16"/>
                <w:lang w:val="fr-FR"/>
              </w:rPr>
              <w:t>Optional</w:t>
            </w:r>
          </w:p>
        </w:tc>
        <w:tc>
          <w:tcPr>
            <w:tcW w:w="708" w:type="dxa"/>
            <w:tcBorders>
              <w:top w:val="single" w:sz="6" w:space="0" w:color="000000"/>
              <w:start w:val="single" w:sz="6" w:space="0" w:color="000000"/>
              <w:bottom w:val="single" w:sz="6" w:space="0" w:color="000000"/>
            </w:tcBorders>
          </w:tcPr>
          <w:p>
            <w:pPr>
              <w:pStyle w:val="TAL"/>
              <w:rPr/>
            </w:pPr>
            <w:r>
              <w:rPr/>
              <w:t>15</w:t>
            </w:r>
            <w:r>
              <w:rPr/>
              <w:t xml:space="preserve"> </w:t>
            </w:r>
            <w:r>
              <w:rPr/>
              <w:t>Hz</w:t>
            </w:r>
          </w:p>
        </w:tc>
        <w:tc>
          <w:tcPr>
            <w:tcW w:w="851" w:type="dxa"/>
            <w:gridSpan w:val="2"/>
            <w:tcBorders>
              <w:top w:val="single" w:sz="6" w:space="0" w:color="000000"/>
              <w:start w:val="single" w:sz="6" w:space="0" w:color="000000"/>
              <w:bottom w:val="single" w:sz="6" w:space="0" w:color="000000"/>
            </w:tcBorders>
          </w:tcPr>
          <w:p>
            <w:pPr>
              <w:pStyle w:val="TAL"/>
              <w:rPr>
                <w:sz w:val="16"/>
              </w:rPr>
            </w:pPr>
            <w:r>
              <w:rPr>
                <w:sz w:val="16"/>
              </w:rPr>
              <w:t>Optional</w:t>
            </w:r>
          </w:p>
        </w:tc>
        <w:tc>
          <w:tcPr>
            <w:tcW w:w="921" w:type="dxa"/>
            <w:gridSpan w:val="2"/>
            <w:tcBorders>
              <w:top w:val="single" w:sz="6" w:space="0" w:color="000000"/>
              <w:start w:val="single" w:sz="6" w:space="0" w:color="000000"/>
              <w:bottom w:val="single" w:sz="6" w:space="0" w:color="000000"/>
            </w:tcBorders>
          </w:tcPr>
          <w:p>
            <w:pPr>
              <w:pStyle w:val="TAL"/>
              <w:rPr>
                <w:sz w:val="16"/>
              </w:rPr>
            </w:pPr>
            <w:r>
              <w:rPr>
                <w:sz w:val="16"/>
              </w:rPr>
              <w:t xml:space="preserve">200ms} On/off 200ms} for 3 </w:t>
              <w:br/>
              <w:t>burst</w:t>
            </w:r>
          </w:p>
        </w:tc>
        <w:tc>
          <w:tcPr>
            <w:tcW w:w="1064" w:type="dxa"/>
            <w:gridSpan w:val="2"/>
            <w:tcBorders>
              <w:top w:val="single" w:sz="6" w:space="0" w:color="000000"/>
              <w:start w:val="single" w:sz="6" w:space="0" w:color="000000"/>
              <w:bottom w:val="single" w:sz="6" w:space="0" w:color="000000"/>
            </w:tcBorders>
          </w:tcPr>
          <w:p>
            <w:pPr>
              <w:pStyle w:val="TAL"/>
              <w:rPr>
                <w:sz w:val="16"/>
              </w:rPr>
            </w:pPr>
            <w:r>
              <w:rPr>
                <w:sz w:val="16"/>
              </w:rPr>
              <w:t>200ms} On/off 200ms} for 3 burst</w:t>
            </w:r>
          </w:p>
        </w:tc>
        <w:tc>
          <w:tcPr>
            <w:tcW w:w="1022" w:type="dxa"/>
            <w:gridSpan w:val="2"/>
            <w:tcBorders>
              <w:top w:val="single" w:sz="6" w:space="0" w:color="000000"/>
              <w:start w:val="single" w:sz="6" w:space="0" w:color="000000"/>
              <w:bottom w:val="single" w:sz="6" w:space="0" w:color="000000"/>
              <w:end w:val="single" w:sz="12" w:space="0" w:color="000000"/>
            </w:tcBorders>
          </w:tcPr>
          <w:p>
            <w:pPr>
              <w:pStyle w:val="TAL"/>
              <w:rPr>
                <w:sz w:val="16"/>
              </w:rPr>
            </w:pPr>
            <w:r>
              <w:rPr>
                <w:sz w:val="16"/>
              </w:rPr>
              <w:t>Optional</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6 *</w:t>
            </w:r>
          </w:p>
        </w:tc>
        <w:tc>
          <w:tcPr>
            <w:tcW w:w="1418" w:type="dxa"/>
            <w:tcBorders>
              <w:top w:val="single" w:sz="6" w:space="0" w:color="000000"/>
              <w:start w:val="single" w:sz="6" w:space="0" w:color="000000"/>
              <w:bottom w:val="single" w:sz="6" w:space="0" w:color="000000"/>
            </w:tcBorders>
          </w:tcPr>
          <w:p>
            <w:pPr>
              <w:pStyle w:val="TAL"/>
              <w:rPr>
                <w:sz w:val="16"/>
              </w:rPr>
            </w:pPr>
            <w:r>
              <w:rPr>
                <w:sz w:val="16"/>
              </w:rPr>
              <w:t>Error/Special Information}</w:t>
            </w:r>
          </w:p>
          <w:p>
            <w:pPr>
              <w:pStyle w:val="TAL"/>
              <w:rPr>
                <w:sz w:val="16"/>
              </w:rPr>
            </w:pPr>
            <w:r>
              <w:rPr>
                <w:sz w:val="16"/>
              </w:rPr>
              <w:t>Number Unobtainable }</w:t>
            </w:r>
          </w:p>
          <w:p>
            <w:pPr>
              <w:pStyle w:val="TAL"/>
              <w:rPr>
                <w:sz w:val="16"/>
              </w:rPr>
            </w:pPr>
            <w:r>
              <w:rPr>
                <w:sz w:val="16"/>
              </w:rPr>
              <w:t>Authentication Failure }</w:t>
            </w:r>
          </w:p>
        </w:tc>
        <w:tc>
          <w:tcPr>
            <w:tcW w:w="992" w:type="dxa"/>
            <w:gridSpan w:val="2"/>
            <w:tcBorders>
              <w:top w:val="single" w:sz="6" w:space="0" w:color="000000"/>
              <w:start w:val="single" w:sz="6" w:space="0" w:color="000000"/>
              <w:bottom w:val="single" w:sz="6" w:space="0" w:color="000000"/>
            </w:tcBorders>
          </w:tcPr>
          <w:p>
            <w:pPr>
              <w:pStyle w:val="TAL"/>
              <w:rPr>
                <w:sz w:val="16"/>
                <w:lang w:val="fr-FR"/>
              </w:rPr>
            </w:pPr>
            <w:r>
              <w:rPr>
                <w:sz w:val="16"/>
                <w:lang w:val="fr-FR"/>
              </w:rPr>
              <w:t>950 Hz</w:t>
            </w:r>
          </w:p>
          <w:p>
            <w:pPr>
              <w:pStyle w:val="TAL"/>
              <w:rPr>
                <w:lang w:val="fr-FR"/>
              </w:rPr>
            </w:pPr>
            <w:r>
              <w:rPr>
                <w:lang w:val="fr-FR"/>
              </w:rPr>
              <w:t>1400 Hz</w:t>
            </w:r>
          </w:p>
          <w:p>
            <w:pPr>
              <w:pStyle w:val="TAL"/>
              <w:rPr>
                <w:sz w:val="16"/>
                <w:lang w:val="fr-FR"/>
              </w:rPr>
            </w:pPr>
            <w:r>
              <w:rPr>
                <w:sz w:val="16"/>
                <w:lang w:val="fr-FR"/>
              </w:rPr>
              <w:t>1800 Hz</w:t>
            </w:r>
          </w:p>
        </w:tc>
        <w:tc>
          <w:tcPr>
            <w:tcW w:w="992" w:type="dxa"/>
            <w:gridSpan w:val="2"/>
            <w:tcBorders>
              <w:top w:val="single" w:sz="6" w:space="0" w:color="000000"/>
              <w:start w:val="single" w:sz="6" w:space="0" w:color="000000"/>
              <w:bottom w:val="single" w:sz="6" w:space="0" w:color="000000"/>
            </w:tcBorders>
          </w:tcPr>
          <w:p>
            <w:pPr>
              <w:pStyle w:val="TAL"/>
              <w:rPr/>
            </w:pPr>
            <w:r>
              <w:rPr>
                <w:sz w:val="16"/>
                <w:lang w:val="fr-FR"/>
              </w:rPr>
              <w:t>950</w:t>
            </w:r>
            <w:r>
              <w:rPr>
                <w:sz w:val="16"/>
                <w:lang w:val="fr-FR"/>
              </w:rPr>
              <w:t xml:space="preserve"> </w:t>
            </w:r>
            <w:r>
              <w:rPr>
                <w:sz w:val="16"/>
                <w:lang w:val="fr-FR"/>
              </w:rPr>
              <w:t>Hz</w:t>
            </w:r>
          </w:p>
          <w:p>
            <w:pPr>
              <w:pStyle w:val="TAL"/>
              <w:rPr/>
            </w:pPr>
            <w:r>
              <w:rPr>
                <w:lang w:val="fr-FR"/>
              </w:rPr>
              <w:t>1400</w:t>
            </w:r>
            <w:r>
              <w:rPr>
                <w:lang w:val="fr-FR"/>
              </w:rPr>
              <w:t xml:space="preserve"> </w:t>
            </w:r>
            <w:r>
              <w:rPr>
                <w:lang w:val="fr-FR"/>
              </w:rPr>
              <w:t>Hz</w:t>
            </w:r>
          </w:p>
          <w:p>
            <w:pPr>
              <w:pStyle w:val="TAL"/>
              <w:rPr/>
            </w:pPr>
            <w:r>
              <w:rPr>
                <w:sz w:val="16"/>
                <w:lang w:val="fr-FR"/>
              </w:rPr>
              <w:t>1800</w:t>
            </w:r>
            <w:r>
              <w:rPr>
                <w:sz w:val="16"/>
                <w:lang w:val="fr-FR"/>
              </w:rPr>
              <w:t xml:space="preserve"> </w:t>
            </w:r>
            <w:r>
              <w:rPr>
                <w:sz w:val="16"/>
                <w:lang w:val="fr-FR"/>
              </w:rPr>
              <w:t>Hz</w:t>
            </w:r>
          </w:p>
          <w:p>
            <w:pPr>
              <w:pStyle w:val="TAL"/>
              <w:rPr>
                <w:sz w:val="16"/>
                <w:lang w:val="fr-FR"/>
              </w:rPr>
            </w:pPr>
            <w:r>
              <w:rPr>
                <w:sz w:val="16"/>
                <w:lang w:val="fr-FR"/>
              </w:rPr>
            </w:r>
          </w:p>
        </w:tc>
        <w:tc>
          <w:tcPr>
            <w:tcW w:w="851" w:type="dxa"/>
            <w:gridSpan w:val="2"/>
            <w:tcBorders>
              <w:top w:val="single" w:sz="6" w:space="0" w:color="000000"/>
              <w:start w:val="single" w:sz="6" w:space="0" w:color="000000"/>
              <w:bottom w:val="single" w:sz="6" w:space="0" w:color="000000"/>
            </w:tcBorders>
          </w:tcPr>
          <w:p>
            <w:pPr>
              <w:pStyle w:val="TAL"/>
              <w:rPr>
                <w:sz w:val="16"/>
                <w:lang w:val="fr-FR"/>
              </w:rPr>
            </w:pPr>
            <w:r>
              <w:rPr>
                <w:sz w:val="16"/>
                <w:lang w:val="fr-FR"/>
              </w:rPr>
              <w:t>Optional</w:t>
            </w:r>
          </w:p>
        </w:tc>
        <w:tc>
          <w:tcPr>
            <w:tcW w:w="708" w:type="dxa"/>
            <w:tcBorders>
              <w:top w:val="single" w:sz="6" w:space="0" w:color="000000"/>
              <w:start w:val="single" w:sz="6" w:space="0" w:color="000000"/>
              <w:bottom w:val="single" w:sz="6" w:space="0" w:color="000000"/>
            </w:tcBorders>
          </w:tcPr>
          <w:p>
            <w:pPr>
              <w:pStyle w:val="TAL"/>
              <w:rPr/>
            </w:pPr>
            <w:r>
              <w:rPr>
                <w:lang w:val="fr-FR"/>
              </w:rPr>
              <w:t>50</w:t>
            </w:r>
            <w:r>
              <w:rPr>
                <w:lang w:val="fr-FR"/>
              </w:rPr>
              <w:t xml:space="preserve"> </w:t>
            </w:r>
            <w:r>
              <w:rPr>
                <w:lang w:val="fr-FR"/>
              </w:rPr>
              <w:t>Hz</w:t>
            </w:r>
          </w:p>
          <w:p>
            <w:pPr>
              <w:pStyle w:val="TAL"/>
              <w:rPr/>
            </w:pPr>
            <w:r>
              <w:rPr>
                <w:lang w:val="fr-FR"/>
              </w:rPr>
              <w:t>50</w:t>
            </w:r>
            <w:r>
              <w:rPr>
                <w:lang w:val="fr-FR"/>
              </w:rPr>
              <w:t xml:space="preserve"> </w:t>
            </w:r>
            <w:r>
              <w:rPr>
                <w:lang w:val="fr-FR"/>
              </w:rPr>
              <w:t>Hz</w:t>
            </w:r>
          </w:p>
          <w:p>
            <w:pPr>
              <w:pStyle w:val="TAL"/>
              <w:rPr>
                <w:lang w:val="fr-FR"/>
              </w:rPr>
            </w:pPr>
            <w:r>
              <w:rPr>
                <w:lang w:val="fr-FR"/>
              </w:rPr>
              <w:t>50</w:t>
            </w:r>
            <w:r>
              <w:rPr>
                <w:lang w:val="fr-FR"/>
              </w:rPr>
              <w:t xml:space="preserve"> </w:t>
            </w:r>
            <w:r>
              <w:rPr>
                <w:lang w:val="fr-FR"/>
              </w:rPr>
              <w:t>Hz</w:t>
            </w:r>
          </w:p>
        </w:tc>
        <w:tc>
          <w:tcPr>
            <w:tcW w:w="851" w:type="dxa"/>
            <w:gridSpan w:val="2"/>
            <w:tcBorders>
              <w:top w:val="single" w:sz="6" w:space="0" w:color="000000"/>
              <w:start w:val="single" w:sz="6" w:space="0" w:color="000000"/>
              <w:bottom w:val="single" w:sz="6" w:space="0" w:color="000000"/>
            </w:tcBorders>
          </w:tcPr>
          <w:p>
            <w:pPr>
              <w:pStyle w:val="TAL"/>
              <w:rPr>
                <w:sz w:val="16"/>
              </w:rPr>
            </w:pPr>
            <w:r>
              <w:rPr>
                <w:sz w:val="16"/>
              </w:rPr>
              <w:t>Optional</w:t>
            </w:r>
          </w:p>
        </w:tc>
        <w:tc>
          <w:tcPr>
            <w:tcW w:w="921" w:type="dxa"/>
            <w:gridSpan w:val="2"/>
            <w:tcBorders>
              <w:top w:val="single" w:sz="6" w:space="0" w:color="000000"/>
              <w:start w:val="single" w:sz="6" w:space="0" w:color="000000"/>
              <w:bottom w:val="single" w:sz="6" w:space="0" w:color="000000"/>
            </w:tcBorders>
          </w:tcPr>
          <w:p>
            <w:pPr>
              <w:pStyle w:val="TAL"/>
              <w:rPr>
                <w:sz w:val="16"/>
              </w:rPr>
            </w:pPr>
            <w:r>
              <w:rPr>
                <w:sz w:val="16"/>
              </w:rPr>
              <w:t>{Triple Tone</w:t>
            </w:r>
          </w:p>
          <w:p>
            <w:pPr>
              <w:pStyle w:val="TAL"/>
              <w:rPr>
                <w:sz w:val="16"/>
              </w:rPr>
            </w:pPr>
            <w:r>
              <w:rPr>
                <w:sz w:val="16"/>
              </w:rPr>
              <w:t>{Tones on 330ms</w:t>
            </w:r>
          </w:p>
          <w:p>
            <w:pPr>
              <w:pStyle w:val="TAL"/>
              <w:rPr>
                <w:sz w:val="16"/>
              </w:rPr>
            </w:pPr>
            <w:r>
              <w:rPr>
                <w:sz w:val="16"/>
              </w:rPr>
              <w:t>{Silence 1.0s</w:t>
            </w:r>
          </w:p>
        </w:tc>
        <w:tc>
          <w:tcPr>
            <w:tcW w:w="1064" w:type="dxa"/>
            <w:gridSpan w:val="2"/>
            <w:tcBorders>
              <w:top w:val="single" w:sz="6" w:space="0" w:color="000000"/>
              <w:start w:val="single" w:sz="6" w:space="0" w:color="000000"/>
              <w:bottom w:val="single" w:sz="6" w:space="0" w:color="000000"/>
            </w:tcBorders>
          </w:tcPr>
          <w:p>
            <w:pPr>
              <w:pStyle w:val="TAL"/>
              <w:rPr>
                <w:sz w:val="16"/>
              </w:rPr>
            </w:pPr>
            <w:r>
              <w:rPr>
                <w:sz w:val="16"/>
              </w:rPr>
              <w:t>Triple Tone</w:t>
            </w:r>
          </w:p>
          <w:p>
            <w:pPr>
              <w:pStyle w:val="TAL"/>
              <w:rPr>
                <w:sz w:val="16"/>
              </w:rPr>
            </w:pPr>
            <w:r>
              <w:rPr>
                <w:sz w:val="16"/>
              </w:rPr>
              <w:t>{Tones on 330ms</w:t>
            </w:r>
          </w:p>
          <w:p>
            <w:pPr>
              <w:pStyle w:val="TAL"/>
              <w:rPr>
                <w:sz w:val="16"/>
              </w:rPr>
            </w:pPr>
            <w:r>
              <w:rPr>
                <w:sz w:val="16"/>
              </w:rPr>
              <w:t>{Silence 1.0s</w:t>
            </w:r>
          </w:p>
        </w:tc>
        <w:tc>
          <w:tcPr>
            <w:tcW w:w="1022" w:type="dxa"/>
            <w:gridSpan w:val="2"/>
            <w:tcBorders>
              <w:top w:val="single" w:sz="6" w:space="0" w:color="000000"/>
              <w:start w:val="single" w:sz="6" w:space="0" w:color="000000"/>
              <w:bottom w:val="single" w:sz="6" w:space="0" w:color="000000"/>
              <w:end w:val="single" w:sz="12" w:space="0" w:color="000000"/>
            </w:tcBorders>
          </w:tcPr>
          <w:p>
            <w:pPr>
              <w:pStyle w:val="TAL"/>
              <w:rPr>
                <w:sz w:val="16"/>
              </w:rPr>
            </w:pPr>
            <w:r>
              <w:rPr>
                <w:sz w:val="16"/>
              </w:rPr>
              <w:t>Optional</w:t>
            </w:r>
          </w:p>
        </w:tc>
      </w:tr>
      <w:tr>
        <w:trPr>
          <w:cantSplit w:val="true"/>
        </w:trPr>
        <w:tc>
          <w:tcPr>
            <w:tcW w:w="709" w:type="dxa"/>
            <w:tcBorders>
              <w:top w:val="single" w:sz="6" w:space="0" w:color="000000"/>
              <w:start w:val="single" w:sz="12" w:space="0" w:color="000000"/>
              <w:bottom w:val="single" w:sz="6" w:space="0" w:color="000000"/>
            </w:tcBorders>
          </w:tcPr>
          <w:p>
            <w:pPr>
              <w:pStyle w:val="TAC"/>
              <w:rPr/>
            </w:pPr>
            <w:r>
              <w:rPr/>
              <w:t>7</w:t>
            </w:r>
          </w:p>
        </w:tc>
        <w:tc>
          <w:tcPr>
            <w:tcW w:w="1418" w:type="dxa"/>
            <w:tcBorders>
              <w:top w:val="single" w:sz="6" w:space="0" w:color="000000"/>
              <w:start w:val="single" w:sz="6" w:space="0" w:color="000000"/>
              <w:bottom w:val="single" w:sz="6" w:space="0" w:color="000000"/>
            </w:tcBorders>
          </w:tcPr>
          <w:p>
            <w:pPr>
              <w:pStyle w:val="TAL"/>
              <w:rPr>
                <w:sz w:val="16"/>
              </w:rPr>
            </w:pPr>
            <w:r>
              <w:rPr>
                <w:sz w:val="16"/>
              </w:rPr>
              <w:t>Call Waiting Tone</w:t>
            </w:r>
            <w:r>
              <w:rPr>
                <w:sz w:val="16"/>
              </w:rPr>
              <w:t xml:space="preserve"> (CEPT)</w:t>
            </w:r>
          </w:p>
        </w:tc>
        <w:tc>
          <w:tcPr>
            <w:tcW w:w="7401" w:type="dxa"/>
            <w:gridSpan w:val="15"/>
            <w:tcBorders>
              <w:top w:val="single" w:sz="6" w:space="0" w:color="000000"/>
              <w:start w:val="single" w:sz="6" w:space="0" w:color="000000"/>
              <w:bottom w:val="single" w:sz="6" w:space="0" w:color="000000"/>
              <w:end w:val="single" w:sz="12" w:space="0" w:color="000000"/>
            </w:tcBorders>
          </w:tcPr>
          <w:p>
            <w:pPr>
              <w:pStyle w:val="TAL"/>
              <w:rPr/>
            </w:pPr>
            <w:r>
              <w:rPr/>
              <w:t xml:space="preserve">425 Hz (tolerance 15 Hz), on for 200 ms, off for 600 ms on for 200 ms, off for 3 s, on for 200 ms, off for 600 ms on for 200 ms. This tone is superimposed on the audio traffic received by the called user. Alternate tones are </w:t>
            </w:r>
            <w:r>
              <w:rPr>
                <w:i/>
              </w:rPr>
              <w:t>acceptable</w:t>
            </w:r>
            <w:r>
              <w:rPr/>
              <w:t xml:space="preserve"> but not preferred.</w:t>
            </w:r>
          </w:p>
        </w:tc>
      </w:tr>
      <w:tr>
        <w:trPr>
          <w:trHeight w:val="283" w:hRule="atLeast"/>
          <w:cantSplit w:val="true"/>
        </w:trPr>
        <w:tc>
          <w:tcPr>
            <w:tcW w:w="709" w:type="dxa"/>
            <w:tcBorders>
              <w:top w:val="single" w:sz="6" w:space="0" w:color="000000"/>
              <w:start w:val="single" w:sz="12" w:space="0" w:color="000000"/>
              <w:bottom w:val="single" w:sz="6" w:space="0" w:color="000000"/>
            </w:tcBorders>
          </w:tcPr>
          <w:p>
            <w:pPr>
              <w:pStyle w:val="TAC"/>
              <w:rPr/>
            </w:pPr>
            <w:r>
              <w:rPr/>
              <w:t>7</w:t>
            </w:r>
          </w:p>
        </w:tc>
        <w:tc>
          <w:tcPr>
            <w:tcW w:w="1418" w:type="dxa"/>
            <w:tcBorders>
              <w:top w:val="single" w:sz="6" w:space="0" w:color="000000"/>
              <w:start w:val="single" w:sz="6" w:space="0" w:color="000000"/>
              <w:bottom w:val="single" w:sz="6" w:space="0" w:color="000000"/>
            </w:tcBorders>
          </w:tcPr>
          <w:p>
            <w:pPr>
              <w:pStyle w:val="TAL"/>
              <w:rPr>
                <w:sz w:val="16"/>
              </w:rPr>
            </w:pPr>
            <w:r>
              <w:rPr>
                <w:sz w:val="16"/>
              </w:rPr>
              <w:t>Call Waiting Tone (ANSI)</w:t>
            </w:r>
          </w:p>
        </w:tc>
        <w:tc>
          <w:tcPr>
            <w:tcW w:w="7401" w:type="dxa"/>
            <w:gridSpan w:val="15"/>
            <w:tcBorders>
              <w:top w:val="single" w:sz="6" w:space="0" w:color="000000"/>
              <w:start w:val="single" w:sz="6" w:space="0" w:color="000000"/>
              <w:bottom w:val="single" w:sz="6" w:space="0" w:color="000000"/>
              <w:end w:val="single" w:sz="12" w:space="0" w:color="000000"/>
            </w:tcBorders>
          </w:tcPr>
          <w:p>
            <w:pPr>
              <w:pStyle w:val="TAL"/>
              <w:rPr/>
            </w:pPr>
            <w:r>
              <w:rPr/>
              <w:t>440 Hz, on for 300 ms, 9,7 s off followed by (440 Hz, on for 100 ms off for 100 ms, on for 100 ms, 9,7s off and repeated as necessary) This tone is superimposed on the audio traffic received by the called user.</w:t>
            </w:r>
          </w:p>
        </w:tc>
      </w:tr>
      <w:tr>
        <w:trPr>
          <w:trHeight w:val="283" w:hRule="atLeast"/>
          <w:cantSplit w:val="true"/>
        </w:trPr>
        <w:tc>
          <w:tcPr>
            <w:tcW w:w="709" w:type="dxa"/>
            <w:tcBorders>
              <w:top w:val="single" w:sz="6" w:space="0" w:color="000000"/>
              <w:start w:val="single" w:sz="12" w:space="0" w:color="000000"/>
              <w:bottom w:val="single" w:sz="6" w:space="0" w:color="000000"/>
            </w:tcBorders>
          </w:tcPr>
          <w:p>
            <w:pPr>
              <w:pStyle w:val="TAC"/>
              <w:rPr/>
            </w:pPr>
            <w:r>
              <w:rPr/>
              <w:t>7</w:t>
            </w:r>
          </w:p>
        </w:tc>
        <w:tc>
          <w:tcPr>
            <w:tcW w:w="1418" w:type="dxa"/>
            <w:tcBorders>
              <w:top w:val="single" w:sz="6" w:space="0" w:color="000000"/>
              <w:start w:val="single" w:sz="6" w:space="0" w:color="000000"/>
              <w:bottom w:val="single" w:sz="6" w:space="0" w:color="000000"/>
            </w:tcBorders>
          </w:tcPr>
          <w:p>
            <w:pPr>
              <w:pStyle w:val="TAL"/>
              <w:rPr>
                <w:sz w:val="16"/>
              </w:rPr>
            </w:pPr>
            <w:r>
              <w:rPr>
                <w:sz w:val="16"/>
              </w:rPr>
              <w:t>Call Waiting Tone (Japan)</w:t>
            </w:r>
          </w:p>
        </w:tc>
        <w:tc>
          <w:tcPr>
            <w:tcW w:w="7401" w:type="dxa"/>
            <w:gridSpan w:val="15"/>
            <w:tcBorders>
              <w:top w:val="single" w:sz="6" w:space="0" w:color="000000"/>
              <w:start w:val="single" w:sz="6" w:space="0" w:color="000000"/>
              <w:bottom w:val="single" w:sz="6" w:space="0" w:color="000000"/>
              <w:end w:val="single" w:sz="12" w:space="0" w:color="000000"/>
            </w:tcBorders>
          </w:tcPr>
          <w:p>
            <w:pPr>
              <w:pStyle w:val="TAL"/>
              <w:rPr/>
            </w:pPr>
            <w:r>
              <w:rPr/>
              <w:t>Optional</w:t>
            </w:r>
          </w:p>
        </w:tc>
      </w:tr>
      <w:tr>
        <w:trPr>
          <w:cantSplit w:val="true"/>
        </w:trPr>
        <w:tc>
          <w:tcPr>
            <w:tcW w:w="9528" w:type="dxa"/>
            <w:gridSpan w:val="17"/>
            <w:tcBorders>
              <w:top w:val="single" w:sz="6" w:space="0" w:color="000000"/>
              <w:start w:val="single" w:sz="12" w:space="0" w:color="000000"/>
              <w:bottom w:val="single" w:sz="6" w:space="0" w:color="000000"/>
              <w:end w:val="single" w:sz="12" w:space="0" w:color="000000"/>
            </w:tcBorders>
          </w:tcPr>
          <w:p>
            <w:pPr>
              <w:pStyle w:val="TAL"/>
              <w:rPr/>
            </w:pPr>
            <w:r>
              <w:rPr/>
              <w:t>Definition of these and other tones, together with advice on announcements, may be found in CEPT T/CS 20-15 and in T/SF 23.</w:t>
            </w:r>
          </w:p>
        </w:tc>
      </w:tr>
      <w:tr>
        <w:trPr>
          <w:cantSplit w:val="true"/>
        </w:trPr>
        <w:tc>
          <w:tcPr>
            <w:tcW w:w="9528" w:type="dxa"/>
            <w:gridSpan w:val="17"/>
            <w:tcBorders>
              <w:top w:val="single" w:sz="6" w:space="0" w:color="000000"/>
              <w:start w:val="single" w:sz="12" w:space="0" w:color="000000"/>
              <w:bottom w:val="single" w:sz="6" w:space="0" w:color="000000"/>
              <w:end w:val="single" w:sz="12" w:space="0" w:color="000000"/>
            </w:tcBorders>
          </w:tcPr>
          <w:p>
            <w:pPr>
              <w:pStyle w:val="TAN"/>
              <w:rPr/>
            </w:pPr>
            <w:r>
              <w:rPr/>
              <w:t>NOTE:</w:t>
              <w:tab/>
              <w:t>*: The duration of these tones is an implementation option. However, in each case, the UE should be returned immediately to the idle state, and will be able to originate/receive calls, which will override these tones.</w:t>
            </w:r>
          </w:p>
        </w:tc>
      </w:tr>
      <w:tr>
        <w:trPr>
          <w:cantSplit w:val="true"/>
        </w:trPr>
        <w:tc>
          <w:tcPr>
            <w:tcW w:w="2502" w:type="dxa"/>
            <w:gridSpan w:val="3"/>
            <w:tcBorders>
              <w:top w:val="single" w:sz="6" w:space="0" w:color="000000"/>
              <w:start w:val="single" w:sz="12" w:space="0" w:color="000000"/>
              <w:bottom w:val="single" w:sz="6" w:space="0" w:color="000000"/>
            </w:tcBorders>
          </w:tcPr>
          <w:p>
            <w:pPr>
              <w:pStyle w:val="TAL"/>
              <w:rPr/>
            </w:pPr>
            <w:r>
              <w:rPr/>
              <w:t>Ringing Tone (Alternative</w:t>
            </w:r>
          </w:p>
          <w:p>
            <w:pPr>
              <w:pStyle w:val="TAL"/>
              <w:rPr/>
            </w:pPr>
            <w:r>
              <w:rPr/>
              <w:t>National options permitted)</w:t>
            </w:r>
          </w:p>
        </w:tc>
        <w:tc>
          <w:tcPr>
            <w:tcW w:w="759" w:type="dxa"/>
            <w:gridSpan w:val="2"/>
            <w:tcBorders>
              <w:top w:val="single" w:sz="6" w:space="0" w:color="000000"/>
              <w:start w:val="single" w:sz="6" w:space="0" w:color="000000"/>
              <w:bottom w:val="single" w:sz="6" w:space="0" w:color="000000"/>
            </w:tcBorders>
          </w:tcPr>
          <w:p>
            <w:pPr>
              <w:pStyle w:val="TAL"/>
              <w:rPr/>
            </w:pPr>
            <w:r>
              <w:rPr/>
              <w:t>425Hz</w:t>
            </w:r>
          </w:p>
        </w:tc>
        <w:tc>
          <w:tcPr>
            <w:tcW w:w="850" w:type="dxa"/>
            <w:tcBorders>
              <w:top w:val="single" w:sz="6" w:space="0" w:color="000000"/>
              <w:start w:val="single" w:sz="6" w:space="0" w:color="000000"/>
              <w:bottom w:val="single" w:sz="6" w:space="0" w:color="000000"/>
            </w:tcBorders>
          </w:tcPr>
          <w:p>
            <w:pPr>
              <w:pStyle w:val="TAL"/>
              <w:rPr/>
            </w:pPr>
            <w:r>
              <w:rPr/>
              <w:t>440</w:t>
            </w:r>
            <w:r>
              <w:rPr/>
              <w:t xml:space="preserve"> </w:t>
            </w:r>
            <w:r>
              <w:rPr/>
              <w:t>Hz added to 480</w:t>
            </w:r>
            <w:r>
              <w:rPr/>
              <w:t> </w:t>
            </w:r>
            <w:r>
              <w:rPr/>
              <w:t>Hz</w:t>
            </w:r>
          </w:p>
        </w:tc>
        <w:tc>
          <w:tcPr>
            <w:tcW w:w="780" w:type="dxa"/>
            <w:tcBorders>
              <w:top w:val="single" w:sz="6" w:space="0" w:color="000000"/>
              <w:start w:val="single" w:sz="6" w:space="0" w:color="000000"/>
              <w:bottom w:val="single" w:sz="6" w:space="0" w:color="000000"/>
            </w:tcBorders>
          </w:tcPr>
          <w:p>
            <w:pPr>
              <w:pStyle w:val="TAL"/>
              <w:rPr/>
            </w:pPr>
            <w:r>
              <w:rPr/>
              <w:t>Optional</w:t>
            </w:r>
          </w:p>
        </w:tc>
        <w:tc>
          <w:tcPr>
            <w:tcW w:w="870" w:type="dxa"/>
            <w:gridSpan w:val="3"/>
            <w:tcBorders>
              <w:top w:val="single" w:sz="6" w:space="0" w:color="000000"/>
              <w:start w:val="single" w:sz="6" w:space="0" w:color="000000"/>
              <w:bottom w:val="single" w:sz="6" w:space="0" w:color="000000"/>
            </w:tcBorders>
          </w:tcPr>
          <w:p>
            <w:pPr>
              <w:pStyle w:val="TAL"/>
              <w:rPr/>
            </w:pPr>
            <w:r>
              <w:rPr/>
              <w:t>15</w:t>
            </w:r>
            <w:r>
              <w:rPr/>
              <w:t xml:space="preserve"> </w:t>
            </w:r>
            <w:r>
              <w:rPr/>
              <w:t>Hz</w:t>
            </w:r>
          </w:p>
        </w:tc>
        <w:tc>
          <w:tcPr>
            <w:tcW w:w="870" w:type="dxa"/>
            <w:gridSpan w:val="2"/>
            <w:tcBorders>
              <w:top w:val="single" w:sz="6" w:space="0" w:color="000000"/>
              <w:start w:val="single" w:sz="6" w:space="0" w:color="000000"/>
              <w:bottom w:val="single" w:sz="6" w:space="0" w:color="000000"/>
            </w:tcBorders>
          </w:tcPr>
          <w:p>
            <w:pPr>
              <w:pStyle w:val="TAL"/>
              <w:rPr>
                <w:sz w:val="16"/>
              </w:rPr>
            </w:pPr>
            <w:r>
              <w:rPr>
                <w:sz w:val="16"/>
              </w:rPr>
              <w:t>Optional</w:t>
            </w:r>
          </w:p>
        </w:tc>
        <w:tc>
          <w:tcPr>
            <w:tcW w:w="953" w:type="dxa"/>
            <w:gridSpan w:val="2"/>
            <w:tcBorders>
              <w:top w:val="single" w:sz="6" w:space="0" w:color="000000"/>
              <w:start w:val="single" w:sz="6" w:space="0" w:color="000000"/>
              <w:bottom w:val="single" w:sz="6" w:space="0" w:color="000000"/>
            </w:tcBorders>
          </w:tcPr>
          <w:p>
            <w:pPr>
              <w:pStyle w:val="TAL"/>
              <w:rPr/>
            </w:pPr>
            <w:r>
              <w:rPr/>
              <w:t>Tone on 1 s Silence 4 s</w:t>
            </w:r>
          </w:p>
        </w:tc>
        <w:tc>
          <w:tcPr>
            <w:tcW w:w="1063" w:type="dxa"/>
            <w:gridSpan w:val="2"/>
            <w:tcBorders>
              <w:top w:val="single" w:sz="6" w:space="0" w:color="000000"/>
              <w:start w:val="single" w:sz="6" w:space="0" w:color="000000"/>
              <w:bottom w:val="single" w:sz="6" w:space="0" w:color="000000"/>
            </w:tcBorders>
          </w:tcPr>
          <w:p>
            <w:pPr>
              <w:pStyle w:val="TAL"/>
              <w:rPr/>
            </w:pPr>
            <w:r>
              <w:rPr/>
              <w:t>Tone on 2</w:t>
            </w:r>
            <w:r>
              <w:rPr/>
              <w:t> </w:t>
            </w:r>
            <w:r>
              <w:rPr/>
              <w:t>s Silence 4</w:t>
            </w:r>
            <w:r>
              <w:rPr/>
              <w:t xml:space="preserve"> </w:t>
            </w:r>
            <w:r>
              <w:rPr/>
              <w:t>s</w:t>
            </w:r>
          </w:p>
        </w:tc>
        <w:tc>
          <w:tcPr>
            <w:tcW w:w="881" w:type="dxa"/>
            <w:tcBorders>
              <w:top w:val="single" w:sz="6" w:space="0" w:color="000000"/>
              <w:start w:val="single" w:sz="6" w:space="0" w:color="000000"/>
              <w:bottom w:val="single" w:sz="6" w:space="0" w:color="000000"/>
              <w:end w:val="single" w:sz="12" w:space="0" w:color="000000"/>
            </w:tcBorders>
          </w:tcPr>
          <w:p>
            <w:pPr>
              <w:pStyle w:val="TAL"/>
              <w:rPr>
                <w:sz w:val="16"/>
              </w:rPr>
            </w:pPr>
            <w:r>
              <w:rPr>
                <w:sz w:val="16"/>
              </w:rPr>
              <w:t>Optional</w:t>
            </w:r>
          </w:p>
        </w:tc>
      </w:tr>
      <w:tr>
        <w:trPr>
          <w:cantSplit w:val="true"/>
        </w:trPr>
        <w:tc>
          <w:tcPr>
            <w:tcW w:w="9528" w:type="dxa"/>
            <w:gridSpan w:val="17"/>
            <w:tcBorders>
              <w:top w:val="single" w:sz="6" w:space="0" w:color="000000"/>
              <w:start w:val="single" w:sz="12" w:space="0" w:color="000000"/>
              <w:bottom w:val="single" w:sz="12" w:space="0" w:color="000000"/>
              <w:end w:val="single" w:sz="12" w:space="0" w:color="000000"/>
            </w:tcBorders>
          </w:tcPr>
          <w:p>
            <w:pPr>
              <w:pStyle w:val="TAL"/>
              <w:rPr/>
            </w:pPr>
            <w:r>
              <w:rPr/>
              <w:t>For application of Call Control Cause Information Elements to these tones, see F.4.</w:t>
            </w:r>
          </w:p>
        </w:tc>
      </w:tr>
    </w:tbl>
    <w:p>
      <w:pPr>
        <w:pStyle w:val="Normal"/>
        <w:rPr/>
      </w:pPr>
      <w:r>
        <w:rPr/>
      </w:r>
    </w:p>
    <w:p>
      <w:pPr>
        <w:pStyle w:val="Heading1"/>
        <w:bidi w:val="0"/>
        <w:ind w:start="1134" w:hanging="1134"/>
        <w:jc w:val="start"/>
        <w:rPr/>
      </w:pPr>
      <w:bookmarkStart w:id="84" w:name="__RefHeading___Toc217728571"/>
      <w:bookmarkEnd w:id="84"/>
      <w:r>
        <w:rPr/>
        <w:t>F.3</w:t>
        <w:tab/>
        <w:t>Recorded announcements</w:t>
      </w:r>
    </w:p>
    <w:p>
      <w:pPr>
        <w:pStyle w:val="Normal"/>
        <w:rPr/>
      </w:pPr>
      <w:r>
        <w:rPr/>
        <w:t>In present networks, both fixed and cellular, the language of recorded announcements and displayed information is invariably that of the country of origin. However, this is generally undesirable in a multi-lingual environment such as is encountered on a global network with international roaming. It is therefore probably desirable to minimise the number of such announcements.</w:t>
      </w:r>
    </w:p>
    <w:p>
      <w:pPr>
        <w:pStyle w:val="Normal"/>
        <w:rPr/>
      </w:pPr>
      <w:r>
        <w:rPr/>
        <w:t>Advanced UEs may be designed which have the ability to generate announcements in the form desired by the user, e.g. in the language preferred by the user. In this case, it becomes necessary to block any verbal announcements sent from the network towards the UE, to avoid clashes with those generated by the UE. The UE may be allowed to block in-band announcements in case appropriate announcements according to the Cause Information Elements (F.3) can be generated. The default setting of the UE shall be "non blocking", which could be set by MMI command to "blocking".</w:t>
      </w:r>
    </w:p>
    <w:p>
      <w:pPr>
        <w:pStyle w:val="Normal"/>
        <w:rPr/>
      </w:pPr>
      <w:r>
        <w:rPr/>
        <w:t>Announcements generated by the PLMN and sent to callers to that PLMN will generally be in the language of the PLMN. However, on some fixed networks it will be possible for the message to be signalled back to the caller's local exchange, which will then generate the announcement in its local language.</w:t>
      </w:r>
    </w:p>
    <w:p>
      <w:pPr>
        <w:pStyle w:val="Heading1"/>
        <w:bidi w:val="0"/>
        <w:ind w:start="1134" w:hanging="1134"/>
        <w:jc w:val="start"/>
        <w:rPr/>
      </w:pPr>
      <w:bookmarkStart w:id="85" w:name="__RefHeading___Toc217728572"/>
      <w:bookmarkEnd w:id="85"/>
      <w:r>
        <w:rPr/>
        <w:t>F.4</w:t>
        <w:tab/>
        <w:t>Application of call control cause information elements to supervisory tones</w:t>
      </w:r>
    </w:p>
    <w:p>
      <w:pPr>
        <w:pStyle w:val="Normal"/>
        <w:rPr/>
      </w:pPr>
      <w:r>
        <w:rPr/>
        <w:t>The Cause Information Elements are listed and defined in 3GPP TS 24.008 [12]. This annex lists these elements and indicates which supervisory tone should be generated in response. It should be noted that some conditions (e.g. radio path not available, dropped call) may be deduced by the UE, rather than signalled explicitly over the air interface. All causes not listed below should result in the generation of tone 6. In case of multiple calls a tone should only be generated if it does not disturb an ongoing active call. "-" indicates no tone required.</w:t>
      </w:r>
    </w:p>
    <w:p>
      <w:pPr>
        <w:pStyle w:val="FP"/>
        <w:tabs>
          <w:tab w:val="clear" w:pos="284"/>
          <w:tab w:val="left" w:pos="709" w:leader="none"/>
          <w:tab w:val="left" w:pos="1560" w:leader="none"/>
          <w:tab w:val="left" w:pos="5954" w:leader="none"/>
        </w:tabs>
        <w:rPr/>
      </w:pPr>
      <w:r>
        <w:rPr/>
        <w:tab/>
        <w:t>Cause</w:t>
        <w:tab/>
        <w:tab/>
        <w:t>Tone</w:t>
      </w:r>
    </w:p>
    <w:p>
      <w:pPr>
        <w:pStyle w:val="FP"/>
        <w:tabs>
          <w:tab w:val="clear" w:pos="284"/>
          <w:tab w:val="left" w:pos="709" w:leader="none"/>
          <w:tab w:val="left" w:pos="1560" w:leader="none"/>
          <w:tab w:val="left" w:pos="5954" w:leader="none"/>
        </w:tabs>
        <w:rPr/>
      </w:pPr>
      <w:r>
        <w:rPr/>
        <w:tab/>
        <w:t>CC</w:t>
        <w:tab/>
        <w:tab/>
        <w:t>(see table 1)</w:t>
      </w:r>
    </w:p>
    <w:p>
      <w:pPr>
        <w:pStyle w:val="FP"/>
        <w:tabs>
          <w:tab w:val="clear" w:pos="284"/>
          <w:tab w:val="left" w:pos="709" w:leader="none"/>
          <w:tab w:val="left" w:pos="1560" w:leader="none"/>
          <w:tab w:val="left" w:pos="5954" w:leader="none"/>
        </w:tabs>
        <w:rPr/>
      </w:pPr>
      <w:r>
        <w:rPr/>
      </w:r>
    </w:p>
    <w:p>
      <w:pPr>
        <w:pStyle w:val="FP"/>
        <w:tabs>
          <w:tab w:val="clear" w:pos="284"/>
          <w:tab w:val="left" w:pos="709" w:leader="none"/>
          <w:tab w:val="left" w:pos="1560" w:leader="none"/>
          <w:tab w:val="left" w:pos="5954" w:leader="none"/>
        </w:tabs>
        <w:rPr/>
      </w:pPr>
      <w:r>
        <w:rPr/>
        <w:tab/>
        <w:t>16</w:t>
        <w:tab/>
        <w:t>Normal Clearing</w:t>
        <w:tab/>
        <w:t>1</w:t>
      </w:r>
    </w:p>
    <w:p>
      <w:pPr>
        <w:pStyle w:val="FP"/>
        <w:tabs>
          <w:tab w:val="clear" w:pos="284"/>
          <w:tab w:val="left" w:pos="709" w:leader="none"/>
          <w:tab w:val="left" w:pos="1560" w:leader="none"/>
          <w:tab w:val="left" w:pos="5954" w:leader="none"/>
        </w:tabs>
        <w:rPr/>
      </w:pPr>
      <w:r>
        <w:rPr/>
        <w:tab/>
        <w:t>17</w:t>
        <w:tab/>
        <w:t>User Busy</w:t>
        <w:tab/>
        <w:t>2</w:t>
      </w:r>
    </w:p>
    <w:p>
      <w:pPr>
        <w:pStyle w:val="FP"/>
        <w:tabs>
          <w:tab w:val="clear" w:pos="284"/>
          <w:tab w:val="left" w:pos="709" w:leader="none"/>
          <w:tab w:val="left" w:pos="1560" w:leader="none"/>
          <w:tab w:val="left" w:pos="5954" w:leader="none"/>
        </w:tabs>
        <w:rPr/>
      </w:pPr>
      <w:r>
        <w:rPr/>
        <w:tab/>
        <w:t>22</w:t>
        <w:tab/>
        <w:t>Number Changed</w:t>
        <w:tab/>
        <w:t>-</w:t>
      </w:r>
    </w:p>
    <w:p>
      <w:pPr>
        <w:pStyle w:val="FP"/>
        <w:tabs>
          <w:tab w:val="clear" w:pos="284"/>
          <w:tab w:val="left" w:pos="709" w:leader="none"/>
          <w:tab w:val="left" w:pos="1560" w:leader="none"/>
          <w:tab w:val="left" w:pos="5954" w:leader="none"/>
        </w:tabs>
        <w:rPr/>
      </w:pPr>
      <w:r>
        <w:rPr/>
        <w:tab/>
        <w:t>30</w:t>
        <w:tab/>
        <w:t>Response to STATUS ENQUIRY</w:t>
        <w:tab/>
        <w:t>-</w:t>
      </w:r>
    </w:p>
    <w:p>
      <w:pPr>
        <w:pStyle w:val="FP"/>
        <w:tabs>
          <w:tab w:val="clear" w:pos="284"/>
          <w:tab w:val="left" w:pos="709" w:leader="none"/>
          <w:tab w:val="left" w:pos="1560" w:leader="none"/>
          <w:tab w:val="left" w:pos="5954" w:leader="none"/>
        </w:tabs>
        <w:rPr/>
      </w:pPr>
      <w:r>
        <w:rPr/>
        <w:tab/>
        <w:t>31</w:t>
        <w:tab/>
        <w:t>Normal, unspecified</w:t>
        <w:tab/>
        <w:t>-</w:t>
      </w:r>
    </w:p>
    <w:p>
      <w:pPr>
        <w:pStyle w:val="FP"/>
        <w:tabs>
          <w:tab w:val="clear" w:pos="284"/>
          <w:tab w:val="left" w:pos="709" w:leader="none"/>
          <w:tab w:val="left" w:pos="1560" w:leader="none"/>
          <w:tab w:val="left" w:pos="5954" w:leader="none"/>
        </w:tabs>
        <w:rPr/>
      </w:pPr>
      <w:r>
        <w:rPr/>
        <w:tab/>
        <w:t>34</w:t>
        <w:tab/>
        <w:t>No circuit/channel available</w:t>
        <w:tab/>
        <w:t>3</w:t>
      </w:r>
    </w:p>
    <w:p>
      <w:pPr>
        <w:pStyle w:val="FP"/>
        <w:tabs>
          <w:tab w:val="clear" w:pos="284"/>
          <w:tab w:val="left" w:pos="709" w:leader="none"/>
          <w:tab w:val="left" w:pos="1560" w:leader="none"/>
          <w:tab w:val="left" w:pos="5954" w:leader="none"/>
        </w:tabs>
        <w:rPr/>
      </w:pPr>
      <w:r>
        <w:rPr/>
        <w:tab/>
        <w:t>41</w:t>
        <w:tab/>
        <w:t>Temporary Failure</w:t>
        <w:tab/>
        <w:t>3</w:t>
      </w:r>
    </w:p>
    <w:p>
      <w:pPr>
        <w:pStyle w:val="FP"/>
        <w:tabs>
          <w:tab w:val="clear" w:pos="284"/>
          <w:tab w:val="left" w:pos="709" w:leader="none"/>
          <w:tab w:val="left" w:pos="1560" w:leader="none"/>
          <w:tab w:val="left" w:pos="5954" w:leader="none"/>
        </w:tabs>
        <w:rPr/>
      </w:pPr>
      <w:r>
        <w:rPr/>
        <w:tab/>
        <w:t>42</w:t>
        <w:tab/>
        <w:t>Switching Equipment Congestion</w:t>
        <w:tab/>
        <w:t>3</w:t>
      </w:r>
    </w:p>
    <w:p>
      <w:pPr>
        <w:pStyle w:val="FP"/>
        <w:tabs>
          <w:tab w:val="clear" w:pos="284"/>
          <w:tab w:val="left" w:pos="709" w:leader="none"/>
          <w:tab w:val="left" w:pos="1560" w:leader="none"/>
          <w:tab w:val="left" w:pos="5954" w:leader="none"/>
        </w:tabs>
        <w:rPr/>
      </w:pPr>
      <w:r>
        <w:rPr/>
        <w:tab/>
        <w:t>44</w:t>
        <w:tab/>
        <w:t>Requested circuit/channel not available</w:t>
        <w:tab/>
        <w:t>3</w:t>
      </w:r>
    </w:p>
    <w:p>
      <w:pPr>
        <w:pStyle w:val="FP"/>
        <w:tabs>
          <w:tab w:val="clear" w:pos="284"/>
          <w:tab w:val="left" w:pos="709" w:leader="none"/>
          <w:tab w:val="left" w:pos="1560" w:leader="none"/>
          <w:tab w:val="left" w:pos="5954" w:leader="none"/>
        </w:tabs>
        <w:rPr/>
      </w:pPr>
      <w:r>
        <w:rPr/>
        <w:tab/>
        <w:t>49</w:t>
        <w:tab/>
        <w:t>Quality of Service Unavailable</w:t>
        <w:tab/>
        <w:t>3</w:t>
      </w:r>
    </w:p>
    <w:p>
      <w:pPr>
        <w:pStyle w:val="FP"/>
        <w:tabs>
          <w:tab w:val="clear" w:pos="284"/>
          <w:tab w:val="left" w:pos="709" w:leader="none"/>
          <w:tab w:val="left" w:pos="1560" w:leader="none"/>
          <w:tab w:val="left" w:pos="5954" w:leader="none"/>
        </w:tabs>
        <w:rPr/>
      </w:pPr>
      <w:r>
        <w:rPr/>
        <w:tab/>
        <w:t>58</w:t>
        <w:tab/>
        <w:t>Bearer Capability not available</w:t>
        <w:tab/>
        <w:t>3</w:t>
      </w:r>
    </w:p>
    <w:p>
      <w:pPr>
        <w:pStyle w:val="Normal"/>
        <w:rPr/>
      </w:pPr>
      <w:r>
        <w:rPr/>
      </w:r>
      <w:r>
        <w:br w:type="page"/>
      </w:r>
    </w:p>
    <w:p>
      <w:pPr>
        <w:pStyle w:val="Heading8"/>
        <w:bidi w:val="0"/>
        <w:ind w:start="0" w:hanging="0"/>
        <w:jc w:val="start"/>
        <w:rPr/>
      </w:pPr>
      <w:bookmarkStart w:id="86" w:name="__RefHeading___Toc217728573"/>
      <w:bookmarkEnd w:id="86"/>
      <w:r>
        <w:rPr/>
        <w:t>Annex G (informative):</w:t>
        <w:br/>
        <w:t>Change history</w:t>
      </w:r>
    </w:p>
    <w:p>
      <w:pPr>
        <w:pStyle w:val="TH"/>
        <w:rPr/>
      </w:pPr>
      <w:r>
        <w:rPr/>
      </w:r>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5"/>
      </w:tblGrid>
      <w:tr>
        <w:trPr>
          <w:cantSplit w:val="true"/>
        </w:trPr>
        <w:tc>
          <w:tcPr>
            <w:tcW w:w="9644" w:type="dxa"/>
            <w:gridSpan w:val="12"/>
            <w:tcBorders>
              <w:top w:val="single" w:sz="6" w:space="0" w:color="000000"/>
              <w:start w:val="single" w:sz="6" w:space="0" w:color="000000"/>
              <w:bottom w:val="single" w:sz="6" w:space="0" w:color="000000"/>
              <w:end w:val="single" w:sz="6" w:space="0" w:color="000000"/>
            </w:tcBorders>
            <w:shd w:fill="FFFFFF" w:val="clear"/>
          </w:tcPr>
          <w:p>
            <w:pPr>
              <w:pStyle w:val="TAH"/>
              <w:rPr>
                <w:sz w:val="16"/>
              </w:rPr>
            </w:pPr>
            <w:r>
              <w:rPr/>
              <w:t>Change history</w:t>
            </w:r>
          </w:p>
        </w:tc>
      </w:tr>
      <w:tr>
        <w:trPr/>
        <w:tc>
          <w:tcPr>
            <w:tcW w:w="799" w:type="dxa"/>
            <w:tcBorders>
              <w:top w:val="single" w:sz="6" w:space="0" w:color="000000"/>
              <w:start w:val="single" w:sz="6" w:space="0" w:color="000000"/>
              <w:bottom w:val="single" w:sz="6" w:space="0" w:color="000000"/>
            </w:tcBorders>
            <w:shd w:fill="FFFFFF" w:val="clear"/>
          </w:tcPr>
          <w:p>
            <w:pPr>
              <w:pStyle w:val="TAH"/>
              <w:rPr>
                <w:sz w:val="16"/>
                <w:lang w:val="fr-FR"/>
              </w:rPr>
            </w:pPr>
            <w:r>
              <w:rPr>
                <w:sz w:val="16"/>
                <w:lang w:val="fr-FR"/>
              </w:rPr>
              <w:t>TSG SA#</w:t>
            </w:r>
          </w:p>
        </w:tc>
        <w:tc>
          <w:tcPr>
            <w:tcW w:w="901" w:type="dxa"/>
            <w:tcBorders>
              <w:top w:val="single" w:sz="6" w:space="0" w:color="000000"/>
              <w:start w:val="single" w:sz="6" w:space="0" w:color="000000"/>
              <w:bottom w:val="single" w:sz="6" w:space="0" w:color="000000"/>
            </w:tcBorders>
            <w:shd w:fill="FFFFFF" w:val="clear"/>
          </w:tcPr>
          <w:p>
            <w:pPr>
              <w:pStyle w:val="TAH"/>
              <w:rPr>
                <w:sz w:val="16"/>
                <w:lang w:val="fr-FR"/>
              </w:rPr>
            </w:pPr>
            <w:r>
              <w:rPr>
                <w:sz w:val="16"/>
                <w:lang w:val="fr-FR"/>
              </w:rPr>
              <w:t>SA Doc.</w:t>
            </w:r>
          </w:p>
        </w:tc>
        <w:tc>
          <w:tcPr>
            <w:tcW w:w="992" w:type="dxa"/>
            <w:tcBorders>
              <w:top w:val="single" w:sz="6" w:space="0" w:color="000000"/>
              <w:start w:val="single" w:sz="6" w:space="0" w:color="000000"/>
              <w:bottom w:val="single" w:sz="6" w:space="0" w:color="000000"/>
            </w:tcBorders>
            <w:shd w:fill="FFFFFF" w:val="clear"/>
          </w:tcPr>
          <w:p>
            <w:pPr>
              <w:pStyle w:val="TAH"/>
              <w:rPr>
                <w:sz w:val="16"/>
                <w:lang w:val="fr-FR"/>
              </w:rPr>
            </w:pPr>
            <w:r>
              <w:rPr>
                <w:sz w:val="16"/>
                <w:lang w:val="fr-FR"/>
              </w:rPr>
              <w:t>SA1 Doc</w:t>
            </w:r>
          </w:p>
        </w:tc>
        <w:tc>
          <w:tcPr>
            <w:tcW w:w="708" w:type="dxa"/>
            <w:tcBorders>
              <w:top w:val="single" w:sz="6" w:space="0" w:color="000000"/>
              <w:start w:val="single" w:sz="6" w:space="0" w:color="000000"/>
              <w:bottom w:val="single" w:sz="6" w:space="0" w:color="000000"/>
            </w:tcBorders>
            <w:shd w:fill="FFFFFF" w:val="clear"/>
          </w:tcPr>
          <w:p>
            <w:pPr>
              <w:pStyle w:val="TAH"/>
              <w:rPr>
                <w:sz w:val="16"/>
                <w:lang w:val="fr-FR"/>
              </w:rPr>
            </w:pPr>
            <w:r>
              <w:rPr>
                <w:sz w:val="16"/>
                <w:lang w:val="fr-FR"/>
              </w:rPr>
              <w:t>Spec</w:t>
            </w:r>
          </w:p>
        </w:tc>
        <w:tc>
          <w:tcPr>
            <w:tcW w:w="425" w:type="dxa"/>
            <w:tcBorders>
              <w:top w:val="single" w:sz="6" w:space="0" w:color="000000"/>
              <w:start w:val="single" w:sz="6" w:space="0" w:color="000000"/>
              <w:bottom w:val="single" w:sz="6" w:space="0" w:color="000000"/>
            </w:tcBorders>
            <w:shd w:fill="FFFFFF" w:val="clear"/>
          </w:tcPr>
          <w:p>
            <w:pPr>
              <w:pStyle w:val="TAH"/>
              <w:rPr>
                <w:sz w:val="16"/>
              </w:rPr>
            </w:pPr>
            <w:r>
              <w:rPr>
                <w:sz w:val="16"/>
              </w:rPr>
              <w:t>CR</w:t>
            </w:r>
          </w:p>
        </w:tc>
        <w:tc>
          <w:tcPr>
            <w:tcW w:w="425" w:type="dxa"/>
            <w:tcBorders>
              <w:top w:val="single" w:sz="6" w:space="0" w:color="000000"/>
              <w:start w:val="single" w:sz="6" w:space="0" w:color="000000"/>
              <w:bottom w:val="single" w:sz="6" w:space="0" w:color="000000"/>
            </w:tcBorders>
            <w:shd w:fill="FFFFFF" w:val="clear"/>
          </w:tcPr>
          <w:p>
            <w:pPr>
              <w:pStyle w:val="TAH"/>
              <w:rPr>
                <w:sz w:val="16"/>
              </w:rPr>
            </w:pPr>
            <w:r>
              <w:rPr>
                <w:sz w:val="16"/>
              </w:rPr>
              <w:t>Rev</w:t>
            </w:r>
          </w:p>
        </w:tc>
        <w:tc>
          <w:tcPr>
            <w:tcW w:w="595" w:type="dxa"/>
            <w:tcBorders>
              <w:top w:val="single" w:sz="6" w:space="0" w:color="000000"/>
              <w:start w:val="single" w:sz="6" w:space="0" w:color="000000"/>
              <w:bottom w:val="single" w:sz="6" w:space="0" w:color="000000"/>
            </w:tcBorders>
            <w:shd w:fill="FFFFFF" w:val="clear"/>
          </w:tcPr>
          <w:p>
            <w:pPr>
              <w:pStyle w:val="TAH"/>
              <w:rPr>
                <w:sz w:val="16"/>
              </w:rPr>
            </w:pPr>
            <w:r>
              <w:rPr>
                <w:sz w:val="16"/>
              </w:rPr>
              <w:t>Rel</w:t>
            </w:r>
          </w:p>
        </w:tc>
        <w:tc>
          <w:tcPr>
            <w:tcW w:w="391" w:type="dxa"/>
            <w:tcBorders>
              <w:top w:val="single" w:sz="6" w:space="0" w:color="000000"/>
              <w:start w:val="single" w:sz="6" w:space="0" w:color="000000"/>
              <w:bottom w:val="single" w:sz="6" w:space="0" w:color="000000"/>
            </w:tcBorders>
            <w:shd w:fill="FFFFFF" w:val="clear"/>
          </w:tcPr>
          <w:p>
            <w:pPr>
              <w:pStyle w:val="TAH"/>
              <w:rPr>
                <w:sz w:val="16"/>
              </w:rPr>
            </w:pPr>
            <w:r>
              <w:rPr>
                <w:sz w:val="16"/>
              </w:rPr>
              <w:t>Cat</w:t>
            </w:r>
          </w:p>
        </w:tc>
        <w:tc>
          <w:tcPr>
            <w:tcW w:w="2409" w:type="dxa"/>
            <w:tcBorders>
              <w:top w:val="single" w:sz="6" w:space="0" w:color="000000"/>
              <w:start w:val="single" w:sz="6" w:space="0" w:color="000000"/>
              <w:bottom w:val="single" w:sz="6" w:space="0" w:color="000000"/>
            </w:tcBorders>
            <w:shd w:fill="FFFFFF" w:val="clear"/>
          </w:tcPr>
          <w:p>
            <w:pPr>
              <w:pStyle w:val="TAH"/>
              <w:rPr>
                <w:sz w:val="16"/>
              </w:rPr>
            </w:pPr>
            <w:r>
              <w:rPr>
                <w:sz w:val="16"/>
              </w:rPr>
              <w:t>Subject/Comment</w:t>
            </w:r>
          </w:p>
        </w:tc>
        <w:tc>
          <w:tcPr>
            <w:tcW w:w="567" w:type="dxa"/>
            <w:tcBorders>
              <w:top w:val="single" w:sz="6" w:space="0" w:color="000000"/>
              <w:start w:val="single" w:sz="6" w:space="0" w:color="000000"/>
              <w:bottom w:val="single" w:sz="6" w:space="0" w:color="000000"/>
            </w:tcBorders>
            <w:shd w:fill="FFFFFF" w:val="clear"/>
          </w:tcPr>
          <w:p>
            <w:pPr>
              <w:pStyle w:val="TAH"/>
              <w:rPr>
                <w:sz w:val="16"/>
              </w:rPr>
            </w:pPr>
            <w:r>
              <w:rPr>
                <w:sz w:val="16"/>
              </w:rPr>
              <w:t>Old</w:t>
            </w:r>
          </w:p>
        </w:tc>
        <w:tc>
          <w:tcPr>
            <w:tcW w:w="567" w:type="dxa"/>
            <w:tcBorders>
              <w:top w:val="single" w:sz="6" w:space="0" w:color="000000"/>
              <w:start w:val="single" w:sz="6" w:space="0" w:color="000000"/>
              <w:bottom w:val="single" w:sz="6" w:space="0" w:color="000000"/>
            </w:tcBorders>
            <w:shd w:fill="FFFFFF" w:val="clear"/>
          </w:tcPr>
          <w:p>
            <w:pPr>
              <w:pStyle w:val="TAH"/>
              <w:rPr>
                <w:sz w:val="16"/>
              </w:rPr>
            </w:pPr>
            <w:r>
              <w:rPr>
                <w:sz w:val="16"/>
              </w:rPr>
              <w:t>New</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H"/>
              <w:rPr>
                <w:sz w:val="16"/>
              </w:rPr>
            </w:pPr>
            <w:r>
              <w:rPr>
                <w:sz w:val="16"/>
              </w:rPr>
              <w:t>WI</w:t>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Dec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02.01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SP-99519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S1-991076</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22.001</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Mainly an editorial update for GSM/3GPP use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SP-000069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S1-000124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22.001</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modification for change of SMS-CB to CBS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tcBorders>
            <w:shd w:fill="FFFFFF" w:val="clear"/>
          </w:tcPr>
          <w:p>
            <w:pPr>
              <w:pStyle w:val="TAL"/>
              <w:rPr>
                <w:sz w:val="16"/>
              </w:rPr>
            </w:pPr>
            <w:r>
              <w:rPr>
                <w:sz w:val="16"/>
              </w:rPr>
              <w:t>SP-000053</w:t>
            </w:r>
          </w:p>
        </w:tc>
        <w:tc>
          <w:tcPr>
            <w:tcW w:w="992" w:type="dxa"/>
            <w:tcBorders>
              <w:top w:val="single" w:sz="6" w:space="0" w:color="000000"/>
              <w:start w:val="single" w:sz="6" w:space="0" w:color="000000"/>
            </w:tcBorders>
            <w:shd w:fill="FFFFFF" w:val="clear"/>
          </w:tcPr>
          <w:p>
            <w:pPr>
              <w:pStyle w:val="TAL"/>
              <w:rPr>
                <w:sz w:val="16"/>
              </w:rPr>
            </w:pPr>
            <w:r>
              <w:rPr>
                <w:sz w:val="16"/>
              </w:rPr>
              <w:t>S1-000133</w:t>
            </w:r>
          </w:p>
        </w:tc>
        <w:tc>
          <w:tcPr>
            <w:tcW w:w="708" w:type="dxa"/>
            <w:tcBorders>
              <w:top w:val="single" w:sz="6" w:space="0" w:color="000000"/>
              <w:start w:val="single" w:sz="6" w:space="0" w:color="000000"/>
            </w:tcBorders>
            <w:shd w:fill="FFFFFF" w:val="clear"/>
          </w:tcPr>
          <w:p>
            <w:pPr>
              <w:pStyle w:val="TAL"/>
              <w:rPr>
                <w:sz w:val="16"/>
              </w:rPr>
            </w:pPr>
            <w:r>
              <w:rPr>
                <w:sz w:val="16"/>
              </w:rPr>
              <w:t>22.001</w:t>
            </w:r>
          </w:p>
        </w:tc>
        <w:tc>
          <w:tcPr>
            <w:tcW w:w="425" w:type="dxa"/>
            <w:tcBorders>
              <w:top w:val="single" w:sz="6" w:space="0" w:color="000000"/>
              <w:start w:val="single" w:sz="6" w:space="0" w:color="000000"/>
            </w:tcBorders>
            <w:shd w:fill="FFFFFF" w:val="clear"/>
          </w:tcPr>
          <w:p>
            <w:pPr>
              <w:pStyle w:val="TAL"/>
              <w:rPr>
                <w:sz w:val="16"/>
              </w:rPr>
            </w:pPr>
            <w:r>
              <w:rPr>
                <w:sz w:val="16"/>
              </w:rPr>
              <w:t>003</w:t>
            </w:r>
          </w:p>
        </w:tc>
        <w:tc>
          <w:tcPr>
            <w:tcW w:w="425" w:type="dxa"/>
            <w:tcBorders>
              <w:top w:val="single" w:sz="6" w:space="0" w:color="000000"/>
              <w:start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tcBorders>
            <w:shd w:fill="FFFFFF" w:val="clear"/>
          </w:tcPr>
          <w:p>
            <w:pPr>
              <w:pStyle w:val="TAL"/>
              <w:rPr>
                <w:sz w:val="16"/>
              </w:rPr>
            </w:pPr>
            <w:r>
              <w:rPr>
                <w:sz w:val="16"/>
              </w:rPr>
              <w:t>Procedure for call progress indications</w:t>
            </w:r>
          </w:p>
        </w:tc>
        <w:tc>
          <w:tcPr>
            <w:tcW w:w="567" w:type="dxa"/>
            <w:tcBorders>
              <w:top w:val="single" w:sz="6" w:space="0" w:color="000000"/>
              <w:start w:val="single" w:sz="6" w:space="0" w:color="000000"/>
            </w:tcBorders>
            <w:shd w:fill="FFFFFF" w:val="clear"/>
          </w:tcPr>
          <w:p>
            <w:pPr>
              <w:pStyle w:val="TAL"/>
              <w:rPr>
                <w:sz w:val="16"/>
              </w:rPr>
            </w:pPr>
            <w:r>
              <w:rPr>
                <w:sz w:val="16"/>
              </w:rPr>
              <w:t>3.1.1</w:t>
            </w:r>
          </w:p>
        </w:tc>
        <w:tc>
          <w:tcPr>
            <w:tcW w:w="567" w:type="dxa"/>
            <w:tcBorders>
              <w:top w:val="single" w:sz="6" w:space="0" w:color="000000"/>
              <w:start w:val="single" w:sz="6" w:space="0" w:color="000000"/>
            </w:tcBorders>
            <w:shd w:fill="FFFFFF" w:val="clear"/>
          </w:tcPr>
          <w:p>
            <w:pPr>
              <w:pStyle w:val="TAL"/>
              <w:rPr>
                <w:sz w:val="16"/>
              </w:rPr>
            </w:pPr>
            <w:r>
              <w:rPr>
                <w:sz w:val="16"/>
              </w:rPr>
              <w:t>3.2.0</w:t>
            </w:r>
          </w:p>
        </w:tc>
        <w:tc>
          <w:tcPr>
            <w:tcW w:w="865" w:type="dxa"/>
            <w:tcBorders>
              <w:top w:val="single" w:sz="6" w:space="0" w:color="000000"/>
              <w:start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SP-000389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S1-000642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22.001</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R4</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CR on TS22.001 for Bearer Modification without pre-notification</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SP-000539</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S1-000772</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Subscription Check</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BMWPN</w:t>
            </w:r>
          </w:p>
        </w:tc>
      </w:tr>
      <w:tr>
        <w:trPr/>
        <w:tc>
          <w:tcPr>
            <w:tcW w:w="799" w:type="dxa"/>
            <w:tcBorders>
              <w:top w:val="single" w:sz="4" w:space="0" w:color="000000"/>
              <w:start w:val="single" w:sz="4" w:space="0" w:color="000000"/>
              <w:bottom w:val="single" w:sz="4" w:space="0" w:color="000000"/>
            </w:tcBorders>
            <w:shd w:fill="FFFFFF" w:val="clear"/>
          </w:tcPr>
          <w:p>
            <w:pPr>
              <w:pStyle w:val="TAL"/>
              <w:snapToGrid w:val="false"/>
              <w:rPr>
                <w:rFonts w:ascii="Arial" w:hAnsi="Arial" w:cs="Arial"/>
                <w:sz w:val="16"/>
              </w:rPr>
            </w:pPr>
            <w:r>
              <w:rPr>
                <w:rFonts w:cs="Arial"/>
                <w:sz w:val="16"/>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Accepting change bars introduced at SP-10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SP-010264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S1-010540</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Removal Bearer modification without pre-modification from 22.001</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4.1.1</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BMWPN</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SP-020045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S1-020457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007</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CORRECT</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Rel-4 to Rel5</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4.3.0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22.001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2009-12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Rel-9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10.0.0</w:t>
            </w:r>
          </w:p>
        </w:tc>
      </w:tr>
    </w:tbl>
    <w:p>
      <w:pPr>
        <w:pStyle w:val="TH"/>
        <w:rPr/>
      </w:pPr>
      <w:r>
        <w:rPr/>
      </w:r>
    </w:p>
    <w:p>
      <w:pPr>
        <w:pStyle w:val="TH"/>
        <w:rPr/>
      </w:pPr>
      <w:r>
        <w:rPr/>
      </w:r>
    </w:p>
    <w:p>
      <w:pPr>
        <w:pStyle w:val="TH"/>
        <w:rPr/>
      </w:pPr>
      <w:r>
        <w:rPr/>
      </w:r>
    </w:p>
    <w:p>
      <w:pPr>
        <w:pStyle w:val="Normal"/>
        <w:widowControl/>
        <w:overflowPunct w:val="false"/>
        <w:autoSpaceDE w:val="false"/>
        <w:bidi w:val="0"/>
        <w:spacing w:before="0" w:after="180"/>
        <w:textAlignment w:val="baseline"/>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22.001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22.001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9">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TABLEFIGURECOURIER12">
    <w:name w:val="TABLE.FIGURE..(COURIER 12)"/>
    <w:qFormat/>
    <w:pPr>
      <w:keepNext w:val="true"/>
      <w:keepLines/>
      <w:widowControl/>
      <w:bidi w:val="0"/>
      <w:jc w:val="center"/>
    </w:pPr>
    <w:rPr>
      <w:rFonts w:ascii="Courier" w:hAnsi="Courier" w:eastAsia="Times New Roman" w:cs="Courier"/>
      <w:color w:val="auto"/>
      <w:sz w:val="24"/>
      <w:szCs w:val="20"/>
      <w:lang w:val="en-GB" w:bidi="ar-SA" w:eastAsia="zh-CN"/>
    </w:rPr>
  </w:style>
  <w:style w:type="paragraph" w:styleId="TABLETITLE">
    <w:name w:val="TABLE TITLE"/>
    <w:qFormat/>
    <w:pPr>
      <w:keepNext w:val="true"/>
      <w:keepLines/>
      <w:widowControl/>
      <w:bidi w:val="0"/>
      <w:spacing w:lineRule="exact" w:line="240" w:before="0" w:after="240"/>
      <w:jc w:val="center"/>
    </w:pPr>
    <w:rPr>
      <w:rFonts w:ascii="Helvetica" w:hAnsi="Helvetica" w:eastAsia="Times New Roman" w:cs="Helvetica"/>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2009-12-19T21:52:00Z</dcterms:created>
  <dc:creator>MCC Support</dc:creator>
  <dc:description/>
  <cp:keywords>LTE GSM UMTS service</cp:keywords>
  <dc:language>en-US</dc:language>
  <cp:lastModifiedBy>Alain Sultan</cp:lastModifiedBy>
  <cp:lastPrinted>2000-03-27T11:57:00Z</cp:lastPrinted>
  <dcterms:modified xsi:type="dcterms:W3CDTF">2011-04-08T14:39:00Z</dcterms:modified>
  <cp:revision>6</cp:revision>
  <dc:subject>Principles of circuit telecommunication services supported by a Public Land Mobile Network (PLMN) (Release 10)</dc:subject>
  <dc:title>3GPP TS 22.001</dc:title>
</cp:coreProperties>
</file>