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22.032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22.032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241425"/>
                <wp:effectExtent l="0" t="0" r="0" b="0"/>
                <wp:wrapTopAndBottom/>
                <wp:docPr id="3" name="Frame3"/>
                <a:graphic xmlns:a="http://schemas.openxmlformats.org/drawingml/2006/main">
                  <a:graphicData uri="http://schemas.microsoft.com/office/word/2010/wordprocessingShape">
                    <wps:wsp>
                      <wps:cNvSpPr txBox="1"/>
                      <wps:spPr>
                        <a:xfrm>
                          <a:off x="0" y="0"/>
                          <a:ext cx="6301105" cy="124142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Immediate Service Termination (IST);</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Immediate Service Termination (IST);</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05120" cy="452755"/>
                <wp:effectExtent l="0" t="0" r="0" b="0"/>
                <wp:wrapTopAndBottom/>
                <wp:docPr id="11" name="Frame7"/>
                <a:graphic xmlns:a="http://schemas.openxmlformats.org/drawingml/2006/main">
                  <a:graphicData uri="http://schemas.microsoft.com/office/word/2010/wordprocessingShape">
                    <wps:wsp>
                      <wps:cNvSpPr txBox="1"/>
                      <wps:spPr>
                        <a:xfrm>
                          <a:off x="0" y="0"/>
                          <a:ext cx="54051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IST, Security, stage 1</w:t>
                            </w:r>
                          </w:p>
                        </w:txbxContent>
                      </wps:txbx>
                      <wps:bodyPr anchor="t" lIns="0" tIns="0" rIns="0" bIns="12700">
                        <a:noAutofit/>
                      </wps:bodyPr>
                    </wps:wsp>
                  </a:graphicData>
                </a:graphic>
              </wp:anchor>
            </w:drawing>
          </mc:Choice>
          <mc:Fallback>
            <w:pict>
              <v:rect fillcolor="#FFFFFF" style="position:absolute;rotation:0;width:425.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IST, Security,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3"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169676020">
            <w:r>
              <w:rPr>
                <w:rStyle w:val="IndexLink"/>
              </w:rPr>
              <w:t>4</w:t>
            </w:r>
          </w:hyperlink>
        </w:p>
        <w:p>
          <w:pPr>
            <w:pStyle w:val="Contents1"/>
            <w:tabs>
              <w:tab w:val="clear" w:pos="9639"/>
              <w:tab w:val="right" w:pos="9640" w:leader="dot"/>
            </w:tabs>
            <w:bidi w:val="0"/>
            <w:jc w:val="start"/>
            <w:rPr/>
          </w:pPr>
          <w:r>
            <w:rPr/>
            <w:t>1 Scope</w:t>
            <w:tab/>
          </w:r>
          <w:hyperlink w:anchor="__RefHeading___Toc169676021">
            <w:r>
              <w:rPr>
                <w:rStyle w:val="IndexLink"/>
              </w:rPr>
              <w:t>5</w:t>
            </w:r>
          </w:hyperlink>
        </w:p>
        <w:p>
          <w:pPr>
            <w:pStyle w:val="Contents1"/>
            <w:tabs>
              <w:tab w:val="clear" w:pos="9639"/>
              <w:tab w:val="right" w:pos="9640" w:leader="dot"/>
            </w:tabs>
            <w:bidi w:val="0"/>
            <w:jc w:val="start"/>
            <w:rPr/>
          </w:pPr>
          <w:r>
            <w:rPr/>
            <w:t>2 Normative references</w:t>
            <w:tab/>
          </w:r>
          <w:hyperlink w:anchor="__RefHeading___Toc169676022">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169676023">
            <w:r>
              <w:rPr>
                <w:rStyle w:val="IndexLink"/>
              </w:rPr>
              <w:t>5</w:t>
            </w:r>
          </w:hyperlink>
        </w:p>
        <w:p>
          <w:pPr>
            <w:pStyle w:val="Contents2"/>
            <w:tabs>
              <w:tab w:val="clear" w:pos="9639"/>
              <w:tab w:val="right" w:pos="9640" w:leader="dot"/>
            </w:tabs>
            <w:bidi w:val="0"/>
            <w:jc w:val="start"/>
            <w:rPr/>
          </w:pPr>
          <w:r>
            <w:rPr/>
            <w:t>3.1 Definitions</w:t>
            <w:tab/>
          </w:r>
          <w:hyperlink w:anchor="__RefHeading___Toc169676024">
            <w:r>
              <w:rPr>
                <w:rStyle w:val="IndexLink"/>
              </w:rPr>
              <w:t>5</w:t>
            </w:r>
          </w:hyperlink>
        </w:p>
        <w:p>
          <w:pPr>
            <w:pStyle w:val="Contents2"/>
            <w:tabs>
              <w:tab w:val="clear" w:pos="9639"/>
              <w:tab w:val="right" w:pos="9640" w:leader="dot"/>
            </w:tabs>
            <w:bidi w:val="0"/>
            <w:jc w:val="start"/>
            <w:rPr/>
          </w:pPr>
          <w:r>
            <w:rPr/>
            <w:t>3.2 Abbreviations</w:t>
            <w:tab/>
          </w:r>
          <w:hyperlink w:anchor="__RefHeading___Toc169676025">
            <w:r>
              <w:rPr>
                <w:rStyle w:val="IndexLink"/>
              </w:rPr>
              <w:t>5</w:t>
            </w:r>
          </w:hyperlink>
        </w:p>
        <w:p>
          <w:pPr>
            <w:pStyle w:val="Contents1"/>
            <w:tabs>
              <w:tab w:val="clear" w:pos="9639"/>
              <w:tab w:val="right" w:pos="9640" w:leader="dot"/>
            </w:tabs>
            <w:bidi w:val="0"/>
            <w:jc w:val="start"/>
            <w:rPr/>
          </w:pPr>
          <w:r>
            <w:rPr/>
            <w:t>4 Immediate Service Termination (IST)</w:t>
            <w:tab/>
          </w:r>
          <w:hyperlink w:anchor="__RefHeading___Toc169676026">
            <w:r>
              <w:rPr>
                <w:rStyle w:val="IndexLink"/>
              </w:rPr>
              <w:t>5</w:t>
            </w:r>
          </w:hyperlink>
        </w:p>
        <w:p>
          <w:pPr>
            <w:pStyle w:val="Contents2"/>
            <w:tabs>
              <w:tab w:val="clear" w:pos="9639"/>
              <w:tab w:val="right" w:pos="9640" w:leader="dot"/>
            </w:tabs>
            <w:bidi w:val="0"/>
            <w:jc w:val="start"/>
            <w:rPr/>
          </w:pPr>
          <w:r>
            <w:rPr/>
            <w:t>4.1 Description</w:t>
            <w:tab/>
          </w:r>
          <w:hyperlink w:anchor="__RefHeading___Toc169676027">
            <w:r>
              <w:rPr>
                <w:rStyle w:val="IndexLink"/>
              </w:rPr>
              <w:t>6</w:t>
            </w:r>
          </w:hyperlink>
        </w:p>
        <w:p>
          <w:pPr>
            <w:pStyle w:val="Contents2"/>
            <w:tabs>
              <w:tab w:val="clear" w:pos="9639"/>
              <w:tab w:val="right" w:pos="9640" w:leader="dot"/>
            </w:tabs>
            <w:bidi w:val="0"/>
            <w:jc w:val="start"/>
            <w:rPr/>
          </w:pPr>
          <w:r>
            <w:rPr/>
            <w:t>4.2 Applicability</w:t>
            <w:tab/>
          </w:r>
          <w:hyperlink w:anchor="__RefHeading___Toc169676028">
            <w:r>
              <w:rPr>
                <w:rStyle w:val="IndexLink"/>
              </w:rPr>
              <w:t>6</w:t>
            </w:r>
          </w:hyperlink>
        </w:p>
        <w:p>
          <w:pPr>
            <w:pStyle w:val="Contents2"/>
            <w:tabs>
              <w:tab w:val="clear" w:pos="9639"/>
              <w:tab w:val="right" w:pos="9640" w:leader="dot"/>
            </w:tabs>
            <w:bidi w:val="0"/>
            <w:jc w:val="start"/>
            <w:rPr/>
          </w:pPr>
          <w:r>
            <w:rPr/>
            <w:t>4.3 Normal procedure</w:t>
            <w:tab/>
          </w:r>
          <w:hyperlink w:anchor="__RefHeading___Toc169676029">
            <w:r>
              <w:rPr>
                <w:rStyle w:val="IndexLink"/>
              </w:rPr>
              <w:t>6</w:t>
            </w:r>
          </w:hyperlink>
        </w:p>
        <w:p>
          <w:pPr>
            <w:pStyle w:val="Contents2"/>
            <w:tabs>
              <w:tab w:val="clear" w:pos="9639"/>
              <w:tab w:val="right" w:pos="9640" w:leader="dot"/>
            </w:tabs>
            <w:bidi w:val="0"/>
            <w:jc w:val="start"/>
            <w:rPr/>
          </w:pPr>
          <w:r>
            <w:rPr/>
            <w:t>4.4 Exception procedures</w:t>
            <w:tab/>
          </w:r>
          <w:hyperlink w:anchor="__RefHeading___Toc169676030">
            <w:r>
              <w:rPr>
                <w:rStyle w:val="IndexLink"/>
              </w:rPr>
              <w:t>6</w:t>
            </w:r>
          </w:hyperlink>
        </w:p>
        <w:p>
          <w:pPr>
            <w:pStyle w:val="Contents1"/>
            <w:tabs>
              <w:tab w:val="clear" w:pos="9639"/>
              <w:tab w:val="right" w:pos="9640" w:leader="dot"/>
            </w:tabs>
            <w:bidi w:val="0"/>
            <w:jc w:val="start"/>
            <w:rPr/>
          </w:pPr>
          <w:r>
            <w:rPr/>
            <w:t>5 Security requirements between HPLMN and VPLMN</w:t>
            <w:tab/>
          </w:r>
          <w:hyperlink w:anchor="__RefHeading___Toc169676031">
            <w:r>
              <w:rPr>
                <w:rStyle w:val="IndexLink"/>
              </w:rPr>
              <w:t>6</w:t>
            </w:r>
          </w:hyperlink>
        </w:p>
        <w:p>
          <w:pPr>
            <w:pStyle w:val="Contents8"/>
            <w:tabs>
              <w:tab w:val="clear" w:pos="9639"/>
              <w:tab w:val="right" w:pos="9640" w:leader="dot"/>
            </w:tabs>
            <w:bidi w:val="0"/>
            <w:jc w:val="start"/>
            <w:rPr/>
          </w:pPr>
          <w:r>
            <w:rPr/>
            <w:t>Annex A (Informative): Normal procedure</w:t>
            <w:tab/>
          </w:r>
          <w:hyperlink w:anchor="__RefHeading___Toc169676032">
            <w:r>
              <w:rPr>
                <w:rStyle w:val="IndexLink"/>
              </w:rPr>
              <w:t>7</w:t>
            </w:r>
          </w:hyperlink>
        </w:p>
        <w:p>
          <w:pPr>
            <w:pStyle w:val="Contents8"/>
            <w:tabs>
              <w:tab w:val="clear" w:pos="9639"/>
              <w:tab w:val="right" w:pos="9640" w:leader="dot"/>
            </w:tabs>
            <w:bidi w:val="0"/>
            <w:jc w:val="start"/>
            <w:rPr/>
          </w:pPr>
          <w:r>
            <w:rPr/>
            <w:t>Annex B (Informative): Change History</w:t>
            <w:tab/>
          </w:r>
          <w:hyperlink w:anchor="__RefHeading___Toc169676033">
            <w:r>
              <w:rPr>
                <w:rStyle w:val="IndexLink"/>
              </w:rPr>
              <w:t>8</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5" w:name="__RefHeading___Toc169676020"/>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6" w:name="__RefHeading___Toc169676021"/>
      <w:bookmarkEnd w:id="6"/>
      <w:r>
        <w:rPr/>
        <w:t>1</w:t>
        <w:tab/>
        <w:t>Scope</w:t>
      </w:r>
    </w:p>
    <w:p>
      <w:pPr>
        <w:pStyle w:val="Normal"/>
        <w:rPr/>
      </w:pPr>
      <w:r>
        <w:rPr/>
        <w:t>This Technical Specification specifies the stage 1 description of the Immediate Service Termination (IST) service which provides the means for the HPLMN to terminate all the activities of an HPLMN subscriber in a VPLMN.</w:t>
      </w:r>
    </w:p>
    <w:p>
      <w:pPr>
        <w:pStyle w:val="Normal"/>
        <w:rPr/>
      </w:pPr>
      <w:r>
        <w:rPr/>
        <w:t>The purpose of this network feature is to enable the HPLMN to control the activities of its subscribers, particularly while they are roaming. If the HPLMN decides (based upon information received via Fraud Information Gathering System (FIGS) or other systems) that a roaming subscriber is behaving in a fraudulent or suspicious manner, the HPLMN can terminate all activities of the subscriber, including calls (including transferred and diverted calls) that are in progress.</w:t>
      </w:r>
    </w:p>
    <w:p>
      <w:pPr>
        <w:pStyle w:val="Normal"/>
        <w:rPr/>
      </w:pPr>
      <w:r>
        <w:rPr/>
        <w:t>This procedure can also be used to terminate all the activities of a subscriber when the subscription has ended.</w:t>
      </w:r>
    </w:p>
    <w:p>
      <w:pPr>
        <w:pStyle w:val="Normal"/>
        <w:rPr/>
      </w:pPr>
      <w:r>
        <w:rPr/>
        <w:t>The primary aim is to enable service providers/network operators to use IST to reduce the amount of money that they lose because of roaming fraud.</w:t>
      </w:r>
    </w:p>
    <w:p>
      <w:pPr>
        <w:pStyle w:val="Heading1"/>
        <w:bidi w:val="0"/>
        <w:ind w:start="1134" w:hanging="1134"/>
        <w:jc w:val="start"/>
        <w:rPr/>
      </w:pPr>
      <w:bookmarkStart w:id="7" w:name="__RefHeading___Toc169676022"/>
      <w:bookmarkEnd w:id="7"/>
      <w:r>
        <w:rPr/>
        <w:t>2</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"3rd Generation Partnership Project; Technical Specification Group Services and System Aspects; Vocabulary for 3GPP Specifications".</w:t>
      </w:r>
    </w:p>
    <w:p>
      <w:pPr>
        <w:pStyle w:val="Heading1"/>
        <w:bidi w:val="0"/>
        <w:ind w:start="1134" w:hanging="1134"/>
        <w:jc w:val="start"/>
        <w:rPr/>
      </w:pPr>
      <w:bookmarkStart w:id="8" w:name="__RefHeading___Toc169676023"/>
      <w:bookmarkEnd w:id="8"/>
      <w:r>
        <w:rPr/>
        <w:t>3</w:t>
        <w:tab/>
        <w:t>Definitions and abbreviations</w:t>
      </w:r>
    </w:p>
    <w:p>
      <w:pPr>
        <w:pStyle w:val="Heading2"/>
        <w:bidi w:val="0"/>
        <w:jc w:val="start"/>
        <w:rPr/>
      </w:pPr>
      <w:bookmarkStart w:id="9" w:name="__RefHeading___Toc169676024"/>
      <w:bookmarkEnd w:id="9"/>
      <w:r>
        <w:rPr/>
        <w:t>3.1</w:t>
        <w:tab/>
        <w:t>Definitions</w:t>
      </w:r>
    </w:p>
    <w:p>
      <w:pPr>
        <w:pStyle w:val="Normal"/>
        <w:rPr/>
      </w:pPr>
      <w:r>
        <w:rPr/>
        <w:t>For the purposes of this specification the following definitions apply:</w:t>
      </w:r>
    </w:p>
    <w:p>
      <w:pPr>
        <w:pStyle w:val="Normal"/>
        <w:rPr/>
      </w:pPr>
      <w:r>
        <w:rPr>
          <w:b/>
        </w:rPr>
        <w:t>subscriber activities:</w:t>
      </w:r>
      <w:r>
        <w:rPr/>
        <w:t xml:space="preserve"> subscriber activities that must be terminated. These can be call related events (e.g. call set-up, call termination) or the invocation of call related and call independent supplementary services (e.g. Call Hold, Call Waiting, Call Transfer, Call Forwarding, Unstructured Supplementary Service Data (USSD)).</w:t>
      </w:r>
    </w:p>
    <w:p>
      <w:pPr>
        <w:pStyle w:val="Heading2"/>
        <w:bidi w:val="0"/>
        <w:jc w:val="start"/>
        <w:rPr/>
      </w:pPr>
      <w:bookmarkStart w:id="10" w:name="__RefHeading___Toc169676025"/>
      <w:bookmarkEnd w:id="10"/>
      <w:r>
        <w:rPr/>
        <w:t>3.2</w:t>
        <w:tab/>
        <w:t>Abbreviations</w:t>
      </w:r>
    </w:p>
    <w:p>
      <w:pPr>
        <w:pStyle w:val="Normal"/>
        <w:keepNext w:val="true"/>
        <w:rPr/>
      </w:pPr>
      <w:r>
        <w:rPr/>
        <w:t>For the purposes of the present document, the abbreviations given in TR 21.905 [1] and the following abbreviations apply:</w:t>
      </w:r>
    </w:p>
    <w:p>
      <w:pPr>
        <w:pStyle w:val="EW"/>
        <w:rPr/>
      </w:pPr>
      <w:r>
        <w:rPr>
          <w:b/>
        </w:rPr>
        <w:t>IST</w:t>
        <w:tab/>
      </w:r>
      <w:r>
        <w:rPr/>
        <w:t>Immediate Service Termination</w:t>
      </w:r>
    </w:p>
    <w:p>
      <w:pPr>
        <w:pStyle w:val="EW"/>
        <w:rPr/>
      </w:pPr>
      <w:r>
        <w:rPr>
          <w:b/>
        </w:rPr>
        <w:t>FIGS</w:t>
        <w:tab/>
      </w:r>
      <w:r>
        <w:rPr/>
        <w:t>Fraud Information Gathering System</w:t>
      </w:r>
    </w:p>
    <w:p>
      <w:pPr>
        <w:pStyle w:val="EW"/>
        <w:rPr/>
      </w:pPr>
      <w:r>
        <w:rPr/>
      </w:r>
    </w:p>
    <w:p>
      <w:pPr>
        <w:pStyle w:val="Heading1"/>
        <w:bidi w:val="0"/>
        <w:ind w:start="1134" w:hanging="1134"/>
        <w:jc w:val="start"/>
        <w:rPr/>
      </w:pPr>
      <w:bookmarkStart w:id="11" w:name="__RefHeading___Toc169676026"/>
      <w:bookmarkEnd w:id="11"/>
      <w:r>
        <w:rPr/>
        <w:t>4</w:t>
        <w:tab/>
        <w:t>Immediate Service Termination (IST)</w:t>
      </w:r>
    </w:p>
    <w:p>
      <w:pPr>
        <w:pStyle w:val="Heading2"/>
        <w:bidi w:val="0"/>
        <w:jc w:val="start"/>
        <w:rPr/>
      </w:pPr>
      <w:bookmarkStart w:id="12" w:name="__RefHeading___Toc169676027"/>
      <w:bookmarkEnd w:id="12"/>
      <w:r>
        <w:rPr/>
        <w:t>4.1</w:t>
        <w:tab/>
        <w:t>Description</w:t>
      </w:r>
    </w:p>
    <w:p>
      <w:pPr>
        <w:pStyle w:val="Normal"/>
        <w:rPr/>
      </w:pPr>
      <w:r>
        <w:rPr/>
        <w:t>It shall be possible for the Home Public Land Mobile Network (HPLMN) to instruct any PLMN to terminate immediately all the activities of a specified HPLMN subscriber.</w:t>
      </w:r>
    </w:p>
    <w:p>
      <w:pPr>
        <w:pStyle w:val="Normal"/>
        <w:rPr/>
      </w:pPr>
      <w:r>
        <w:rPr/>
        <w:t>Immediate Service Termination (IST) is controlled by the HPLMN and can be triggered by the HPLMN only.</w:t>
      </w:r>
    </w:p>
    <w:p>
      <w:pPr>
        <w:pStyle w:val="Normal"/>
        <w:rPr/>
      </w:pPr>
      <w:r>
        <w:rPr/>
        <w:t>A subscriber shall be specified by the International Mobile Subscriber Identity (IMSI).</w:t>
      </w:r>
    </w:p>
    <w:p>
      <w:pPr>
        <w:pStyle w:val="Normal"/>
        <w:rPr/>
      </w:pPr>
      <w:r>
        <w:rPr/>
        <w:t>For subscribers that are marked as subscribed to a CAMEL-based service, IST shall be possible using Customised Application for Mobile network Enhanced Logic (CAMEL).</w:t>
      </w:r>
    </w:p>
    <w:p>
      <w:pPr>
        <w:pStyle w:val="Normal"/>
        <w:rPr/>
      </w:pPr>
      <w:r>
        <w:rPr/>
        <w:t>IST shall also be possible for subscribers who are not marked as subscribed to any CAMEL-based service (see Annex A).</w:t>
      </w:r>
    </w:p>
    <w:p>
      <w:pPr>
        <w:pStyle w:val="Heading2"/>
        <w:bidi w:val="0"/>
        <w:jc w:val="start"/>
        <w:rPr/>
      </w:pPr>
      <w:bookmarkStart w:id="13" w:name="__RefHeading___Toc169676028"/>
      <w:bookmarkEnd w:id="13"/>
      <w:r>
        <w:rPr/>
        <w:t>4.2</w:t>
        <w:tab/>
        <w:t>Applicability</w:t>
      </w:r>
    </w:p>
    <w:p>
      <w:pPr>
        <w:pStyle w:val="Normal"/>
        <w:rPr/>
      </w:pPr>
      <w:r>
        <w:rPr/>
        <w:t>This network feature applies to all subscribed Bearer Services and Teleservices of the subscriber, except for emergency calls.</w:t>
      </w:r>
    </w:p>
    <w:p>
      <w:pPr>
        <w:pStyle w:val="Heading2"/>
        <w:bidi w:val="0"/>
        <w:jc w:val="start"/>
        <w:rPr/>
      </w:pPr>
      <w:bookmarkStart w:id="14" w:name="__RefHeading___Toc169676029"/>
      <w:bookmarkEnd w:id="14"/>
      <w:r>
        <w:rPr/>
        <w:t>4.3</w:t>
        <w:tab/>
        <w:t>Normal procedure</w:t>
      </w:r>
    </w:p>
    <w:p>
      <w:pPr>
        <w:pStyle w:val="Normal"/>
        <w:rPr/>
      </w:pPr>
      <w:r>
        <w:rPr/>
        <w:t>The HPLMN will normally direct a request for IST for a particular subscriber to the current Visited PLMN (VPLMN) of that subscriber and the PLMN visited by the subscriber immediately prior to visiting the current VPLMN</w:t>
      </w:r>
    </w:p>
    <w:p>
      <w:pPr>
        <w:pStyle w:val="NO"/>
        <w:rPr/>
      </w:pPr>
      <w:r>
        <w:rPr/>
        <w:t>NOTE:</w:t>
        <w:tab/>
        <w:t>In practice, the IST command will be sent to individual Mobile-services Switching Centres (MSCs), and not to "VPLMNs" as a whole (but such detail is for Stage 2 and not Stage 1). IST will therefore be sent to all MSCs in which the subscriber has (or may have) an active call, as logged by the HPLMN. These MSCs may be confined to the current VPLMN or may include MSC(s) in the PLMN visited by the subscriber immediately prior to visiting the current VPLMN (or PLMNs visited even earlier).</w:t>
      </w:r>
    </w:p>
    <w:p>
      <w:pPr>
        <w:pStyle w:val="Normal"/>
        <w:rPr/>
      </w:pPr>
      <w:r>
        <w:rPr/>
        <w:t>The VPLMN shall confirm receipt of the IST command.</w:t>
      </w:r>
    </w:p>
    <w:p>
      <w:pPr>
        <w:pStyle w:val="Normal"/>
        <w:rPr/>
      </w:pPr>
      <w:r>
        <w:rPr/>
        <w:t>The VPLMN shall then terminate all activities of that subscriber in the VPLMN including ongoing calls and forwarded, deflected and transferred calls. The call records of calls terminated by the operation of IST shall contain a field indicating that the call terminated because of the operation of IST.</w:t>
      </w:r>
    </w:p>
    <w:p>
      <w:pPr>
        <w:pStyle w:val="Normal"/>
        <w:rPr/>
      </w:pPr>
      <w:r>
        <w:rPr/>
        <w:t>The VPLMN shall then confirm to the HPLMN that all subscriber activities in that VPLMN have been terminated.</w:t>
      </w:r>
    </w:p>
    <w:p>
      <w:pPr>
        <w:pStyle w:val="Normal"/>
        <w:rPr/>
      </w:pPr>
      <w:r>
        <w:rPr/>
        <w:t>If the specified subscriber has no activities in the VPLMN then the VPLMN shall inform the HPLMN of this.</w:t>
      </w:r>
    </w:p>
    <w:p>
      <w:pPr>
        <w:pStyle w:val="Heading2"/>
        <w:bidi w:val="0"/>
        <w:jc w:val="start"/>
        <w:rPr/>
      </w:pPr>
      <w:bookmarkStart w:id="15" w:name="__RefHeading___Toc169676030"/>
      <w:bookmarkEnd w:id="15"/>
      <w:r>
        <w:rPr/>
        <w:t>4.4</w:t>
        <w:tab/>
        <w:t>Exception procedures</w:t>
      </w:r>
    </w:p>
    <w:p>
      <w:pPr>
        <w:pStyle w:val="Normal"/>
        <w:rPr/>
      </w:pPr>
      <w:r>
        <w:rPr/>
        <w:t>If after sending an IST command to a VPLMN, the HPLMN does not receive a positive acknowledgement from the VPLMN indicating receipt and comprehension of the IST command, the HPLMN should assume that the VPLMN does not support IST.</w:t>
      </w:r>
    </w:p>
    <w:p>
      <w:pPr>
        <w:pStyle w:val="Heading1"/>
        <w:bidi w:val="0"/>
        <w:ind w:start="1134" w:hanging="1134"/>
        <w:jc w:val="start"/>
        <w:rPr/>
      </w:pPr>
      <w:bookmarkStart w:id="16" w:name="__RefHeading___Toc169676031"/>
      <w:bookmarkEnd w:id="16"/>
      <w:r>
        <w:rPr/>
        <w:t>5</w:t>
        <w:tab/>
        <w:t>Security requirements between HPLMN and VPLMN</w:t>
      </w:r>
    </w:p>
    <w:p>
      <w:pPr>
        <w:pStyle w:val="Normal"/>
        <w:rPr/>
      </w:pPr>
      <w:r>
        <w:rPr/>
        <w:t>It is expected that there will be a need for authentication and confidentiality of the communication made between PLMNs.</w:t>
      </w:r>
    </w:p>
    <w:p>
      <w:pPr>
        <w:pStyle w:val="Normal"/>
        <w:rPr/>
      </w:pPr>
      <w:r>
        <w:rPr/>
        <w:t>These issues are for study under other work items within the SMG10 work programme.</w:t>
      </w:r>
      <w:r>
        <w:br w:type="page"/>
      </w:r>
    </w:p>
    <w:p>
      <w:pPr>
        <w:pStyle w:val="Heading8"/>
        <w:bidi w:val="0"/>
        <w:ind w:start="0" w:hanging="0"/>
        <w:jc w:val="start"/>
        <w:rPr/>
      </w:pPr>
      <w:bookmarkStart w:id="17" w:name="__RefHeading___Toc169676032"/>
      <w:bookmarkEnd w:id="17"/>
      <w:r>
        <w:rPr/>
        <w:t>Annex A (Informative):</w:t>
        <w:br/>
        <w:t>Normal procedure</w:t>
      </w:r>
    </w:p>
    <w:p>
      <w:pPr>
        <w:pStyle w:val="Normal"/>
        <w:rPr/>
      </w:pPr>
      <w:r>
        <w:rPr/>
        <w:t>IST has been defined to work in co-ordination with existing GSM facilities.</w:t>
      </w:r>
    </w:p>
    <w:p>
      <w:pPr>
        <w:pStyle w:val="B1"/>
        <w:rPr/>
      </w:pPr>
      <w:r>
        <w:rPr/>
        <w:t>1)</w:t>
        <w:tab/>
        <w:t>The HPLMN changes the subscriber's entry in the HLR to prevent the resumption of activity in the HPLMN and VPLMN after IST has terminated all subscriber activity.</w:t>
      </w:r>
    </w:p>
    <w:p>
      <w:pPr>
        <w:pStyle w:val="B1"/>
        <w:rPr/>
      </w:pPr>
      <w:r>
        <w:rPr/>
        <w:t>2)</w:t>
        <w:tab/>
        <w:t>The HPLMN sends a MAP "Cancel Location" command to the VLR to prevent the resumption of activity by the subscriber within the VPLMN without reference to the HPLMN.</w:t>
      </w:r>
    </w:p>
    <w:p>
      <w:pPr>
        <w:pStyle w:val="B1"/>
        <w:rPr/>
      </w:pPr>
      <w:r>
        <w:rPr/>
        <w:t>3)</w:t>
        <w:tab/>
        <w:t>The HPLMN sends an IST command to the VPLMN, (possibly a specific MAP message).</w:t>
      </w:r>
    </w:p>
    <w:p>
      <w:pPr>
        <w:pStyle w:val="B1"/>
        <w:rPr/>
      </w:pPr>
      <w:r>
        <w:rPr/>
        <w:t>4)</w:t>
        <w:tab/>
        <w:t>The VPLMN confirms receipt and comprehension of the command.</w:t>
      </w:r>
    </w:p>
    <w:p>
      <w:pPr>
        <w:pStyle w:val="B1"/>
        <w:rPr/>
      </w:pPr>
      <w:r>
        <w:rPr/>
        <w:t>5)</w:t>
        <w:tab/>
        <w:t>The VPLMN terminates all activities of the subscriber indicated by the command.</w:t>
      </w:r>
    </w:p>
    <w:p>
      <w:pPr>
        <w:pStyle w:val="B1"/>
        <w:rPr/>
      </w:pPr>
      <w:r>
        <w:rPr/>
        <w:t>6)</w:t>
        <w:tab/>
        <w:t>The VPLMN confirms to the HPLMN that all subscriber activities have been terminated.</w:t>
      </w:r>
      <w:r>
        <w:br w:type="page"/>
      </w:r>
    </w:p>
    <w:p>
      <w:pPr>
        <w:pStyle w:val="Heading8"/>
        <w:bidi w:val="0"/>
        <w:ind w:start="0" w:hanging="0"/>
        <w:jc w:val="start"/>
        <w:rPr/>
      </w:pPr>
      <w:bookmarkStart w:id="18" w:name="__RefHeading___Toc169676033"/>
      <w:bookmarkEnd w:id="18"/>
      <w:r>
        <w:rPr/>
        <w:t>Annex B (Informative):</w:t>
        <w:br/>
        <w:t>Change History</w:t>
      </w:r>
    </w:p>
    <w:tbl>
      <w:tblPr>
        <w:tblW w:w="9799" w:type="dxa"/>
        <w:jc w:val="start"/>
        <w:tblInd w:w="40" w:type="dxa"/>
        <w:tblCellMar>
          <w:top w:w="0" w:type="dxa"/>
          <w:start w:w="40" w:type="dxa"/>
          <w:bottom w:w="0" w:type="dxa"/>
          <w:end w:w="40" w:type="dxa"/>
        </w:tblCellMar>
      </w:tblPr>
      <w:tblGrid>
        <w:gridCol w:w="799"/>
        <w:gridCol w:w="800"/>
        <w:gridCol w:w="810"/>
        <w:gridCol w:w="517"/>
        <w:gridCol w:w="428"/>
        <w:gridCol w:w="428"/>
        <w:gridCol w:w="4582"/>
        <w:gridCol w:w="708"/>
        <w:gridCol w:w="727"/>
      </w:tblGrid>
      <w:tr>
        <w:trPr>
          <w:tblHeader w:val="true"/>
          <w:cantSplit w:val="true"/>
        </w:trPr>
        <w:tc>
          <w:tcPr>
            <w:tcW w:w="9799"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pPr>
            <w:r>
              <w:rPr/>
              <w:t>Change history</w:t>
            </w:r>
          </w:p>
        </w:tc>
      </w:tr>
      <w:tr>
        <w:trPr>
          <w:tblHeader w:val="true"/>
        </w:trPr>
        <w:tc>
          <w:tcPr>
            <w:tcW w:w="79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8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58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7"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cantSplit w:val="true"/>
        </w:trPr>
        <w:tc>
          <w:tcPr>
            <w:tcW w:w="9799"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pPr>
            <w:r>
              <w:rPr/>
              <w:t>Status of GSM 02.32</w:t>
            </w:r>
          </w:p>
        </w:tc>
      </w:tr>
      <w:tr>
        <w:trPr/>
        <w:tc>
          <w:tcPr>
            <w:tcW w:w="799" w:type="dxa"/>
            <w:tcBorders>
              <w:top w:val="single" w:sz="6" w:space="0" w:color="000000"/>
              <w:start w:val="single" w:sz="6" w:space="0" w:color="000000"/>
            </w:tcBorders>
            <w:shd w:fill="FFFFFF" w:val="clear"/>
          </w:tcPr>
          <w:p>
            <w:pPr>
              <w:pStyle w:val="TAL"/>
              <w:snapToGrid w:val="false"/>
              <w:rPr>
                <w:rFonts w:ascii="MS Sans Serif;Arial" w:hAnsi="MS Sans Serif;Arial" w:cs="Arial"/>
                <w:sz w:val="16"/>
                <w:szCs w:val="16"/>
                <w:lang w:val="en-AU"/>
              </w:rPr>
            </w:pPr>
            <w:r>
              <w:rPr>
                <w:rFonts w:cs="Arial" w:ascii="MS Sans Serif;Arial" w:hAnsi="MS Sans Serif;Arial"/>
                <w:sz w:val="16"/>
                <w:szCs w:val="16"/>
                <w:lang w:val="en-AU"/>
              </w:rPr>
            </w:r>
          </w:p>
        </w:tc>
        <w:tc>
          <w:tcPr>
            <w:tcW w:w="800" w:type="dxa"/>
            <w:tcBorders>
              <w:top w:val="single" w:sz="6" w:space="0" w:color="000000"/>
              <w:start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6" w:space="0" w:color="000000"/>
              <w:star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start w:val="single" w:sz="6" w:space="0" w:color="000000"/>
            </w:tcBorders>
            <w:shd w:fill="FFFFFF" w:val="clear"/>
          </w:tcPr>
          <w:p>
            <w:pPr>
              <w:pStyle w:val="TAL"/>
              <w:rPr>
                <w:rFonts w:cs="Arial"/>
                <w:sz w:val="16"/>
                <w:szCs w:val="16"/>
              </w:rPr>
            </w:pPr>
            <w:r>
              <w:rPr>
                <w:rFonts w:cs="Arial"/>
                <w:sz w:val="16"/>
                <w:szCs w:val="16"/>
              </w:rPr>
              <w:t>No Phase 1 version</w:t>
            </w:r>
          </w:p>
        </w:tc>
        <w:tc>
          <w:tcPr>
            <w:tcW w:w="708" w:type="dxa"/>
            <w:tcBorders>
              <w:top w:val="single" w:sz="6" w:space="0" w:color="000000"/>
              <w:start w:val="single" w:sz="6" w:space="0" w:color="000000"/>
            </w:tcBorders>
            <w:shd w:fill="FFFFFF" w:val="clear"/>
          </w:tcPr>
          <w:p>
            <w:pPr>
              <w:pStyle w:val="TAL"/>
              <w:snapToGrid w:val="false"/>
              <w:rPr>
                <w:rFonts w:cs="Arial"/>
                <w:sz w:val="16"/>
                <w:szCs w:val="16"/>
              </w:rPr>
            </w:pPr>
            <w:r>
              <w:rPr>
                <w:rFonts w:cs="Arial"/>
                <w:sz w:val="16"/>
                <w:szCs w:val="16"/>
              </w:rPr>
            </w:r>
          </w:p>
        </w:tc>
        <w:tc>
          <w:tcPr>
            <w:tcW w:w="727" w:type="dxa"/>
            <w:tcBorders>
              <w:top w:val="single" w:sz="6" w:space="0" w:color="000000"/>
              <w:start w:val="single" w:sz="6" w:space="0" w:color="000000"/>
              <w:end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06-1997</w:t>
            </w:r>
          </w:p>
        </w:tc>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SMG#22</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to SMG#22 for information</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1.0.0</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03-1998</w:t>
            </w:r>
          </w:p>
        </w:tc>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SMG#25</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to SMG#25 for approval</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1.0.0</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2.0.0</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03-1998</w:t>
            </w:r>
          </w:p>
        </w:tc>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SMG#25</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TS approved by SMG#25. IST is part of Release 98</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7.0.0</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06-1998</w:t>
            </w:r>
          </w:p>
        </w:tc>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SMG#26</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A001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w:t>
            </w:r>
          </w:p>
        </w:tc>
        <w:tc>
          <w:tcPr>
            <w:tcW w:w="458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CR 02.32-A001 (cat C) approved by SMG#26</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7.0.0</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7.1.0</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08-1999</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R98 publication version</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7.1.0</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7.1.1</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04-2000</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R99 publication version</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7.1.1</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8.0.0</w:t>
            </w:r>
          </w:p>
        </w:tc>
      </w:tr>
      <w:tr>
        <w:trPr>
          <w:cantSplit w:val="true"/>
        </w:trPr>
        <w:tc>
          <w:tcPr>
            <w:tcW w:w="9799"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rFonts w:cs="Arial"/>
                <w:sz w:val="16"/>
                <w:szCs w:val="16"/>
              </w:rPr>
            </w:pPr>
            <w:r>
              <w:rPr>
                <w:rFonts w:cs="Arial"/>
                <w:sz w:val="16"/>
                <w:szCs w:val="16"/>
              </w:rPr>
              <w:t>Status of TS 42.032 (Created from TS 02.32 Release 1999)</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SP-11</w:t>
            </w:r>
          </w:p>
        </w:tc>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02.32</w:t>
            </w:r>
          </w:p>
        </w:tc>
        <w:tc>
          <w:tcPr>
            <w:tcW w:w="81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Upgrade to 42.032 Release 4 (3GPP numbering)</w:t>
            </w:r>
          </w:p>
        </w:tc>
        <w:tc>
          <w:tcPr>
            <w:tcW w:w="708" w:type="dxa"/>
            <w:tcBorders>
              <w:top w:val="single" w:sz="6" w:space="0" w:color="000000"/>
              <w:start w:val="single" w:sz="6" w:space="0" w:color="000000"/>
              <w:bottom w:val="single" w:sz="6" w:space="0" w:color="000000"/>
            </w:tcBorders>
            <w:shd w:fill="FFFFFF" w:val="clear"/>
          </w:tcPr>
          <w:p>
            <w:pPr>
              <w:pStyle w:val="TAL"/>
              <w:rPr/>
            </w:pPr>
            <w:r>
              <w:rPr>
                <w:rFonts w:cs="Arial"/>
                <w:color w:val="0000FF"/>
                <w:sz w:val="16"/>
                <w:szCs w:val="16"/>
              </w:rPr>
              <w:t>02.32</w:t>
            </w:r>
            <w:r>
              <w:rPr>
                <w:rFonts w:cs="Arial"/>
                <w:sz w:val="16"/>
                <w:szCs w:val="16"/>
              </w:rPr>
              <w:t xml:space="preserve"> 8.0.0</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rFonts w:cs="Arial"/>
                <w:color w:val="0000FF"/>
                <w:sz w:val="16"/>
                <w:szCs w:val="16"/>
              </w:rPr>
              <w:t>42.032</w:t>
            </w:r>
            <w:r>
              <w:rPr>
                <w:rFonts w:cs="Arial"/>
                <w:sz w:val="16"/>
                <w:szCs w:val="16"/>
              </w:rPr>
              <w:t xml:space="preserve"> 4.0.0</w:t>
            </w:r>
          </w:p>
        </w:tc>
      </w:tr>
      <w:tr>
        <w:trPr>
          <w:cantSplit w:val="true"/>
        </w:trPr>
        <w:tc>
          <w:tcPr>
            <w:tcW w:w="9799"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rFonts w:cs="Arial"/>
                <w:sz w:val="16"/>
                <w:szCs w:val="16"/>
              </w:rPr>
            </w:pPr>
            <w:r>
              <w:rPr>
                <w:rFonts w:cs="Arial"/>
                <w:sz w:val="16"/>
                <w:szCs w:val="16"/>
              </w:rPr>
              <w:t>Status of TS 22.032 (Created from TS 42.032 Release 4)</w:t>
            </w:r>
          </w:p>
        </w:tc>
      </w:tr>
      <w:tr>
        <w:trPr/>
        <w:tc>
          <w:tcPr>
            <w:tcW w:w="799"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06-2002</w:t>
            </w:r>
          </w:p>
        </w:tc>
        <w:tc>
          <w:tcPr>
            <w:tcW w:w="800"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SP-16</w:t>
            </w:r>
          </w:p>
        </w:tc>
        <w:tc>
          <w:tcPr>
            <w:tcW w:w="810"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Decision to transfer IST to 3GPP system specification set</w:t>
            </w:r>
          </w:p>
        </w:tc>
        <w:tc>
          <w:tcPr>
            <w:tcW w:w="708" w:type="dxa"/>
            <w:tcBorders>
              <w:top w:val="single" w:sz="6" w:space="0" w:color="000000"/>
              <w:start w:val="single" w:sz="6" w:space="0" w:color="000000"/>
              <w:bottom w:val="single" w:sz="12" w:space="0" w:color="000000"/>
            </w:tcBorders>
            <w:shd w:fill="FFFFFF" w:val="clear"/>
          </w:tcPr>
          <w:p>
            <w:pPr>
              <w:pStyle w:val="TAL"/>
              <w:rPr/>
            </w:pPr>
            <w:r>
              <w:rPr>
                <w:rFonts w:cs="Arial"/>
                <w:color w:val="0000FF"/>
                <w:sz w:val="16"/>
                <w:szCs w:val="16"/>
              </w:rPr>
              <w:t>42.032</w:t>
            </w:r>
            <w:r>
              <w:rPr>
                <w:rFonts w:cs="Arial"/>
                <w:sz w:val="16"/>
                <w:szCs w:val="16"/>
              </w:rPr>
              <w:t xml:space="preserve"> 4.0.0</w:t>
            </w:r>
          </w:p>
        </w:tc>
        <w:tc>
          <w:tcPr>
            <w:tcW w:w="727" w:type="dxa"/>
            <w:tcBorders>
              <w:top w:val="single" w:sz="6" w:space="0" w:color="000000"/>
              <w:start w:val="single" w:sz="6" w:space="0" w:color="000000"/>
              <w:bottom w:val="single" w:sz="12" w:space="0" w:color="000000"/>
              <w:end w:val="single" w:sz="6" w:space="0" w:color="000000"/>
            </w:tcBorders>
            <w:shd w:fill="FFFFFF" w:val="clear"/>
          </w:tcPr>
          <w:p>
            <w:pPr>
              <w:pStyle w:val="TAL"/>
              <w:rPr/>
            </w:pPr>
            <w:r>
              <w:rPr>
                <w:rFonts w:cs="Arial"/>
                <w:color w:val="0000FF"/>
                <w:sz w:val="16"/>
                <w:szCs w:val="16"/>
              </w:rPr>
              <w:t>22.032</w:t>
            </w:r>
            <w:r>
              <w:rPr>
                <w:rFonts w:cs="Arial"/>
                <w:sz w:val="16"/>
                <w:szCs w:val="16"/>
              </w:rPr>
              <w:t xml:space="preserve"> 4.0.0</w:t>
            </w:r>
          </w:p>
        </w:tc>
      </w:tr>
      <w:tr>
        <w:trPr/>
        <w:tc>
          <w:tcPr>
            <w:tcW w:w="799" w:type="dxa"/>
            <w:tcBorders>
              <w:top w:val="single" w:sz="12"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06-2002</w:t>
            </w:r>
          </w:p>
        </w:tc>
        <w:tc>
          <w:tcPr>
            <w:tcW w:w="800" w:type="dxa"/>
            <w:tcBorders>
              <w:top w:val="single" w:sz="12"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SP-16</w:t>
            </w:r>
          </w:p>
        </w:tc>
        <w:tc>
          <w:tcPr>
            <w:tcW w:w="810" w:type="dxa"/>
            <w:tcBorders>
              <w:top w:val="single" w:sz="12"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12"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start w:val="single" w:sz="6" w:space="0" w:color="000000"/>
              <w:bottom w:val="single" w:sz="12"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12" w:space="0" w:color="000000"/>
              <w:start w:val="single" w:sz="6" w:space="0" w:color="000000"/>
              <w:bottom w:val="single" w:sz="12" w:space="0" w:color="000000"/>
            </w:tcBorders>
            <w:shd w:fill="FFFFFF" w:val="clear"/>
          </w:tcPr>
          <w:p>
            <w:pPr>
              <w:pStyle w:val="TAL"/>
              <w:rPr>
                <w:rFonts w:cs="Arial"/>
                <w:color w:val="0000FF"/>
                <w:sz w:val="16"/>
                <w:szCs w:val="16"/>
              </w:rPr>
            </w:pPr>
            <w:r>
              <w:rPr>
                <w:rFonts w:cs="Arial"/>
                <w:color w:val="0000FF"/>
                <w:sz w:val="16"/>
                <w:szCs w:val="16"/>
              </w:rPr>
              <w:t>Upgrade to Rel</w:t>
              <w:noBreakHyphen/>
              <w:t>5</w:t>
            </w:r>
          </w:p>
        </w:tc>
        <w:tc>
          <w:tcPr>
            <w:tcW w:w="708" w:type="dxa"/>
            <w:tcBorders>
              <w:top w:val="single" w:sz="12"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4.0.0</w:t>
            </w:r>
          </w:p>
        </w:tc>
        <w:tc>
          <w:tcPr>
            <w:tcW w:w="727" w:type="dxa"/>
            <w:tcBorders>
              <w:top w:val="single" w:sz="12" w:space="0" w:color="000000"/>
              <w:start w:val="single" w:sz="6" w:space="0" w:color="000000"/>
              <w:bottom w:val="single" w:sz="12" w:space="0" w:color="000000"/>
              <w:end w:val="single" w:sz="6" w:space="0" w:color="000000"/>
            </w:tcBorders>
            <w:shd w:fill="FFFFFF" w:val="clear"/>
          </w:tcPr>
          <w:p>
            <w:pPr>
              <w:pStyle w:val="TAL"/>
              <w:rPr>
                <w:rFonts w:cs="Arial"/>
                <w:sz w:val="16"/>
                <w:szCs w:val="16"/>
              </w:rPr>
            </w:pPr>
            <w:r>
              <w:rPr>
                <w:rFonts w:cs="Arial"/>
                <w:sz w:val="16"/>
                <w:szCs w:val="16"/>
              </w:rPr>
              <w:t>5.0.0</w:t>
            </w:r>
          </w:p>
        </w:tc>
      </w:tr>
      <w:tr>
        <w:trPr/>
        <w:tc>
          <w:tcPr>
            <w:tcW w:w="799"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12-2004</w:t>
            </w:r>
          </w:p>
        </w:tc>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SP-26</w:t>
            </w:r>
          </w:p>
        </w:tc>
        <w:tc>
          <w:tcPr>
            <w:tcW w:w="810" w:type="dxa"/>
            <w:tcBorders>
              <w:top w:val="single" w:sz="12"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12"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12" w:space="0" w:color="000000"/>
              <w:start w:val="single" w:sz="6" w:space="0" w:color="000000"/>
              <w:bottom w:val="single" w:sz="6" w:space="0" w:color="000000"/>
            </w:tcBorders>
            <w:shd w:fill="FFFFFF" w:val="clear"/>
          </w:tcPr>
          <w:p>
            <w:pPr>
              <w:pStyle w:val="TAL"/>
              <w:rPr>
                <w:rFonts w:cs="Arial"/>
                <w:color w:val="0000FF"/>
                <w:sz w:val="16"/>
                <w:szCs w:val="16"/>
              </w:rPr>
            </w:pPr>
            <w:r>
              <w:rPr>
                <w:rFonts w:cs="Arial"/>
                <w:color w:val="0000FF"/>
                <w:sz w:val="16"/>
                <w:szCs w:val="16"/>
              </w:rPr>
              <w:t>Upgrade to Rel</w:t>
              <w:noBreakHyphen/>
              <w:t>6</w:t>
            </w:r>
          </w:p>
        </w:tc>
        <w:tc>
          <w:tcPr>
            <w:tcW w:w="708" w:type="dxa"/>
            <w:tcBorders>
              <w:top w:val="single" w:sz="12" w:space="0" w:color="000000"/>
              <w:start w:val="single" w:sz="6" w:space="0" w:color="000000"/>
              <w:bottom w:val="single" w:sz="6" w:space="0" w:color="000000"/>
            </w:tcBorders>
            <w:shd w:fill="FFFFFF" w:val="clear"/>
          </w:tcPr>
          <w:p>
            <w:pPr>
              <w:pStyle w:val="TAL"/>
              <w:rPr/>
            </w:pPr>
            <w:r>
              <w:rPr>
                <w:rFonts w:cs="Arial"/>
                <w:sz w:val="16"/>
                <w:szCs w:val="16"/>
              </w:rPr>
              <w:t>5.0.0</w:t>
            </w:r>
          </w:p>
        </w:tc>
        <w:tc>
          <w:tcPr>
            <w:tcW w:w="727"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rFonts w:cs="Arial"/>
                <w:sz w:val="16"/>
                <w:szCs w:val="16"/>
              </w:rPr>
              <w:t>6.0.0</w:t>
            </w:r>
          </w:p>
        </w:tc>
      </w:tr>
      <w:tr>
        <w:trPr/>
        <w:tc>
          <w:tcPr>
            <w:tcW w:w="799"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06-2007</w:t>
            </w:r>
          </w:p>
        </w:tc>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SP-36</w:t>
            </w:r>
          </w:p>
        </w:tc>
        <w:tc>
          <w:tcPr>
            <w:tcW w:w="810" w:type="dxa"/>
            <w:tcBorders>
              <w:top w:val="single" w:sz="12"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12"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12" w:space="0" w:color="000000"/>
              <w:start w:val="single" w:sz="6" w:space="0" w:color="000000"/>
              <w:bottom w:val="single" w:sz="6" w:space="0" w:color="000000"/>
            </w:tcBorders>
            <w:shd w:fill="FFFFFF" w:val="clear"/>
          </w:tcPr>
          <w:p>
            <w:pPr>
              <w:pStyle w:val="TAL"/>
              <w:rPr>
                <w:rFonts w:cs="Arial"/>
                <w:color w:val="0000FF"/>
                <w:sz w:val="16"/>
                <w:szCs w:val="16"/>
              </w:rPr>
            </w:pPr>
            <w:r>
              <w:rPr>
                <w:rFonts w:cs="Arial"/>
                <w:color w:val="0000FF"/>
                <w:sz w:val="16"/>
                <w:szCs w:val="16"/>
              </w:rPr>
              <w:t>Upgrade to Rel</w:t>
              <w:noBreakHyphen/>
              <w:t>7</w:t>
            </w:r>
          </w:p>
        </w:tc>
        <w:tc>
          <w:tcPr>
            <w:tcW w:w="708" w:type="dxa"/>
            <w:tcBorders>
              <w:top w:val="single" w:sz="12" w:space="0" w:color="000000"/>
              <w:start w:val="single" w:sz="6" w:space="0" w:color="000000"/>
              <w:bottom w:val="single" w:sz="6" w:space="0" w:color="000000"/>
            </w:tcBorders>
            <w:shd w:fill="FFFFFF" w:val="clear"/>
          </w:tcPr>
          <w:p>
            <w:pPr>
              <w:pStyle w:val="TAL"/>
              <w:rPr/>
            </w:pPr>
            <w:r>
              <w:rPr>
                <w:rFonts w:cs="Arial"/>
                <w:sz w:val="16"/>
                <w:szCs w:val="16"/>
              </w:rPr>
              <w:t>6.0.0</w:t>
            </w:r>
          </w:p>
        </w:tc>
        <w:tc>
          <w:tcPr>
            <w:tcW w:w="727"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rFonts w:cs="Arial"/>
                <w:sz w:val="16"/>
                <w:szCs w:val="16"/>
              </w:rPr>
              <w:t>7.0.0</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12-2008</w:t>
            </w:r>
          </w:p>
        </w:tc>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SP-42</w:t>
            </w:r>
          </w:p>
        </w:tc>
        <w:tc>
          <w:tcPr>
            <w:tcW w:w="81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color w:val="0000FF"/>
                <w:sz w:val="16"/>
                <w:szCs w:val="16"/>
              </w:rPr>
              <w:t>Upgrade to Rel</w:t>
              <w:noBreakHyphen/>
              <w:t>8</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7.0.0</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8.0.0</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12-2009</w:t>
            </w:r>
          </w:p>
        </w:tc>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SP-46</w:t>
            </w:r>
          </w:p>
        </w:tc>
        <w:tc>
          <w:tcPr>
            <w:tcW w:w="81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6" w:space="0" w:color="000000"/>
              <w:start w:val="single" w:sz="6" w:space="0" w:color="000000"/>
              <w:bottom w:val="single" w:sz="6" w:space="0" w:color="000000"/>
            </w:tcBorders>
            <w:shd w:fill="FFFFFF" w:val="clear"/>
          </w:tcPr>
          <w:p>
            <w:pPr>
              <w:pStyle w:val="TAL"/>
              <w:rPr>
                <w:rFonts w:cs="Arial"/>
                <w:color w:val="0000FF"/>
                <w:sz w:val="16"/>
                <w:szCs w:val="16"/>
              </w:rPr>
            </w:pPr>
            <w:r>
              <w:rPr>
                <w:rFonts w:cs="Arial"/>
                <w:color w:val="0000FF"/>
                <w:sz w:val="16"/>
                <w:szCs w:val="16"/>
              </w:rPr>
              <w:t>Upgrade to Rel</w:t>
              <w:noBreakHyphen/>
              <w:t>9</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8.0.0</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9.0.0</w:t>
            </w:r>
          </w:p>
        </w:tc>
      </w:tr>
      <w:tr>
        <w:trPr/>
        <w:tc>
          <w:tcPr>
            <w:tcW w:w="79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2011-03</w:t>
            </w:r>
          </w:p>
        </w:tc>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6" w:space="0" w:color="000000"/>
              <w:start w:val="single" w:sz="6" w:space="0" w:color="000000"/>
              <w:bottom w:val="single" w:sz="6" w:space="0" w:color="000000"/>
            </w:tcBorders>
            <w:shd w:fill="FFFFFF" w:val="clear"/>
          </w:tcPr>
          <w:p>
            <w:pPr>
              <w:pStyle w:val="TAL"/>
              <w:rPr>
                <w:rFonts w:cs="Arial"/>
                <w:color w:val="0000FF"/>
                <w:sz w:val="16"/>
                <w:szCs w:val="16"/>
              </w:rPr>
            </w:pPr>
            <w:r>
              <w:rPr>
                <w:rFonts w:cs="Arial"/>
                <w:color w:val="0000FF"/>
                <w:sz w:val="16"/>
                <w:szCs w:val="16"/>
              </w:rPr>
              <w:t>Update to Rel-10 version (MCC)</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9.0.0</w:t>
            </w:r>
          </w:p>
        </w:tc>
        <w:tc>
          <w:tcPr>
            <w:tcW w:w="727"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10.0.0</w:t>
            </w:r>
          </w:p>
        </w:tc>
      </w:tr>
    </w:tbl>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MS Sans Serif">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22.032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22.032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2004-12-22T08:09:00Z</dcterms:created>
  <dc:creator>MCC Support</dc:creator>
  <dc:description/>
  <cp:keywords>GSM UMTS IST Security stage 1</cp:keywords>
  <dc:language>en-US</dc:language>
  <cp:lastModifiedBy>John M Meredith</cp:lastModifiedBy>
  <dcterms:modified xsi:type="dcterms:W3CDTF">2011-04-06T09:58:00Z</dcterms:modified>
  <cp:revision>10</cp:revision>
  <dc:subject>Immediate Service Termination (IST); Service description; Stage 1 (Release 10)</dc:subject>
  <dc:title>3GPP TS 22.032</dc:title>
</cp:coreProperties>
</file>