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27800" cy="452755"/>
                <wp:effectExtent l="0" t="0" r="0" b="0"/>
                <wp:wrapTopAndBottom/>
                <wp:docPr id="11" name="Frame7"/>
                <a:graphic xmlns:a="http://schemas.openxmlformats.org/drawingml/2006/main">
                  <a:graphicData uri="http://schemas.microsoft.com/office/word/2010/wordprocessingShape">
                    <wps:wsp>
                      <wps:cNvSpPr txBox="1"/>
                      <wps:spPr>
                        <a:xfrm>
                          <a:off x="0" y="0"/>
                          <a:ext cx="652780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AOC, supplementary service, stage 1</w:t>
                            </w:r>
                          </w:p>
                        </w:txbxContent>
                      </wps:txbx>
                      <wps:bodyPr anchor="t" lIns="0" tIns="0" rIns="0" bIns="12700">
                        <a:noAutofit/>
                      </wps:bodyPr>
                    </wps:wsp>
                  </a:graphicData>
                </a:graphic>
              </wp:anchor>
            </w:drawing>
          </mc:Choice>
          <mc:Fallback>
            <w:pict>
              <v:rect fillcolor="#FFFFFF" style="position:absolute;rotation:0;width:514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AOC,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005">
            <w:r>
              <w:rPr>
                <w:rStyle w:val="IndexLink"/>
              </w:rPr>
              <w:t>4</w:t>
            </w:r>
          </w:hyperlink>
        </w:p>
        <w:p>
          <w:pPr>
            <w:pStyle w:val="Contents1"/>
            <w:tabs>
              <w:tab w:val="clear" w:pos="9639"/>
              <w:tab w:val="right" w:pos="9638" w:leader="dot"/>
            </w:tabs>
            <w:rPr/>
          </w:pPr>
          <w:r>
            <w:rPr/>
            <w:t>0 Scope</w:t>
            <w:tab/>
          </w:r>
          <w:hyperlink w:anchor="__RefHeading___Toc217730006">
            <w:r>
              <w:rPr>
                <w:rStyle w:val="IndexLink"/>
              </w:rPr>
              <w:t>5</w:t>
            </w:r>
          </w:hyperlink>
        </w:p>
        <w:p>
          <w:pPr>
            <w:pStyle w:val="Contents2"/>
            <w:tabs>
              <w:tab w:val="clear" w:pos="9639"/>
              <w:tab w:val="right" w:pos="9638" w:leader="dot"/>
            </w:tabs>
            <w:rPr/>
          </w:pPr>
          <w:r>
            <w:rPr/>
            <w:t>0.1 References</w:t>
            <w:tab/>
          </w:r>
          <w:hyperlink w:anchor="__RefHeading___Toc217730007">
            <w:r>
              <w:rPr>
                <w:rStyle w:val="IndexLink"/>
              </w:rPr>
              <w:t>5</w:t>
            </w:r>
          </w:hyperlink>
        </w:p>
        <w:p>
          <w:pPr>
            <w:pStyle w:val="Contents2"/>
            <w:tabs>
              <w:tab w:val="clear" w:pos="9639"/>
              <w:tab w:val="right" w:pos="9638" w:leader="dot"/>
            </w:tabs>
            <w:rPr/>
          </w:pPr>
          <w:r>
            <w:rPr/>
            <w:t>0.2 Abbreviations</w:t>
            <w:tab/>
          </w:r>
          <w:hyperlink w:anchor="__RefHeading___Toc217730008">
            <w:r>
              <w:rPr>
                <w:rStyle w:val="IndexLink"/>
              </w:rPr>
              <w:t>5</w:t>
            </w:r>
          </w:hyperlink>
        </w:p>
        <w:p>
          <w:pPr>
            <w:pStyle w:val="Contents1"/>
            <w:tabs>
              <w:tab w:val="clear" w:pos="9639"/>
              <w:tab w:val="right" w:pos="9638" w:leader="dot"/>
            </w:tabs>
            <w:rPr/>
          </w:pPr>
          <w:r>
            <w:rPr/>
            <w:t>1 Advice Of Charge (Information) (AoCI)</w:t>
            <w:tab/>
          </w:r>
          <w:hyperlink w:anchor="__RefHeading___Toc217730009">
            <w:r>
              <w:rPr>
                <w:rStyle w:val="IndexLink"/>
              </w:rPr>
              <w:t>5</w:t>
            </w:r>
          </w:hyperlink>
        </w:p>
        <w:p>
          <w:pPr>
            <w:pStyle w:val="Contents2"/>
            <w:tabs>
              <w:tab w:val="clear" w:pos="9639"/>
              <w:tab w:val="right" w:pos="9638" w:leader="dot"/>
            </w:tabs>
            <w:rPr/>
          </w:pPr>
          <w:r>
            <w:rPr/>
            <w:t>1.1 Definition</w:t>
            <w:tab/>
          </w:r>
          <w:hyperlink w:anchor="__RefHeading___Toc217730010">
            <w:r>
              <w:rPr>
                <w:rStyle w:val="IndexLink"/>
              </w:rPr>
              <w:t>5</w:t>
            </w:r>
          </w:hyperlink>
        </w:p>
        <w:p>
          <w:pPr>
            <w:pStyle w:val="Contents2"/>
            <w:tabs>
              <w:tab w:val="clear" w:pos="9639"/>
              <w:tab w:val="right" w:pos="9638" w:leader="dot"/>
            </w:tabs>
            <w:rPr/>
          </w:pPr>
          <w:r>
            <w:rPr/>
            <w:t>1.2 Description</w:t>
            <w:tab/>
          </w:r>
          <w:hyperlink w:anchor="__RefHeading___Toc217730011">
            <w:r>
              <w:rPr>
                <w:rStyle w:val="IndexLink"/>
              </w:rPr>
              <w:t>6</w:t>
            </w:r>
          </w:hyperlink>
        </w:p>
        <w:p>
          <w:pPr>
            <w:pStyle w:val="Contents3"/>
            <w:tabs>
              <w:tab w:val="clear" w:pos="9639"/>
              <w:tab w:val="right" w:pos="9638" w:leader="dot"/>
            </w:tabs>
            <w:rPr/>
          </w:pPr>
          <w:r>
            <w:rPr/>
            <w:t>1.2.1 Description</w:t>
            <w:tab/>
          </w:r>
          <w:hyperlink w:anchor="__RefHeading___Toc217730012">
            <w:r>
              <w:rPr>
                <w:rStyle w:val="IndexLink"/>
              </w:rPr>
              <w:t>6</w:t>
            </w:r>
          </w:hyperlink>
        </w:p>
        <w:p>
          <w:pPr>
            <w:pStyle w:val="Contents3"/>
            <w:tabs>
              <w:tab w:val="clear" w:pos="9639"/>
              <w:tab w:val="right" w:pos="9638" w:leader="dot"/>
            </w:tabs>
            <w:rPr/>
          </w:pPr>
          <w:r>
            <w:rPr/>
            <w:t>1.2.2 Applicability to telecommunication services</w:t>
            <w:tab/>
          </w:r>
          <w:hyperlink w:anchor="__RefHeading___Toc217730013">
            <w:r>
              <w:rPr>
                <w:rStyle w:val="IndexLink"/>
              </w:rPr>
              <w:t>6</w:t>
            </w:r>
          </w:hyperlink>
        </w:p>
        <w:p>
          <w:pPr>
            <w:pStyle w:val="Contents2"/>
            <w:tabs>
              <w:tab w:val="clear" w:pos="9639"/>
              <w:tab w:val="right" w:pos="9638" w:leader="dot"/>
            </w:tabs>
            <w:rPr/>
          </w:pPr>
          <w:r>
            <w:rPr/>
            <w:t>1.3 Normal procedures with successful outcome</w:t>
            <w:tab/>
          </w:r>
          <w:hyperlink w:anchor="__RefHeading___Toc217730014">
            <w:r>
              <w:rPr>
                <w:rStyle w:val="IndexLink"/>
              </w:rPr>
              <w:t>6</w:t>
            </w:r>
          </w:hyperlink>
        </w:p>
        <w:p>
          <w:pPr>
            <w:pStyle w:val="Contents3"/>
            <w:tabs>
              <w:tab w:val="clear" w:pos="9639"/>
              <w:tab w:val="right" w:pos="9638" w:leader="dot"/>
            </w:tabs>
            <w:rPr/>
          </w:pPr>
          <w:r>
            <w:rPr/>
            <w:t>1.3.1 Provision</w:t>
            <w:tab/>
          </w:r>
          <w:hyperlink w:anchor="__RefHeading___Toc217730015">
            <w:r>
              <w:rPr>
                <w:rStyle w:val="IndexLink"/>
              </w:rPr>
              <w:t>6</w:t>
            </w:r>
          </w:hyperlink>
        </w:p>
        <w:p>
          <w:pPr>
            <w:pStyle w:val="Contents3"/>
            <w:tabs>
              <w:tab w:val="clear" w:pos="9639"/>
              <w:tab w:val="right" w:pos="9638" w:leader="dot"/>
            </w:tabs>
            <w:rPr/>
          </w:pPr>
          <w:r>
            <w:rPr/>
            <w:t>1.3.2 Withdrawal</w:t>
            <w:tab/>
          </w:r>
          <w:hyperlink w:anchor="__RefHeading___Toc217730016">
            <w:r>
              <w:rPr>
                <w:rStyle w:val="IndexLink"/>
              </w:rPr>
              <w:t>6</w:t>
            </w:r>
          </w:hyperlink>
        </w:p>
        <w:p>
          <w:pPr>
            <w:pStyle w:val="Contents3"/>
            <w:tabs>
              <w:tab w:val="clear" w:pos="9639"/>
              <w:tab w:val="right" w:pos="9638" w:leader="dot"/>
            </w:tabs>
            <w:rPr/>
          </w:pPr>
          <w:r>
            <w:rPr/>
            <w:t>1.3.5 Activation</w:t>
            <w:tab/>
          </w:r>
          <w:hyperlink w:anchor="__RefHeading___Toc217730017">
            <w:r>
              <w:rPr>
                <w:rStyle w:val="IndexLink"/>
              </w:rPr>
              <w:t>6</w:t>
            </w:r>
          </w:hyperlink>
        </w:p>
        <w:p>
          <w:pPr>
            <w:pStyle w:val="Contents3"/>
            <w:tabs>
              <w:tab w:val="clear" w:pos="9639"/>
              <w:tab w:val="right" w:pos="9638" w:leader="dot"/>
            </w:tabs>
            <w:rPr/>
          </w:pPr>
          <w:r>
            <w:rPr/>
            <w:t>1.3.6 Deactivation</w:t>
            <w:tab/>
          </w:r>
          <w:hyperlink w:anchor="__RefHeading___Toc217730018">
            <w:r>
              <w:rPr>
                <w:rStyle w:val="IndexLink"/>
              </w:rPr>
              <w:t>6</w:t>
            </w:r>
          </w:hyperlink>
        </w:p>
        <w:p>
          <w:pPr>
            <w:pStyle w:val="Contents3"/>
            <w:tabs>
              <w:tab w:val="clear" w:pos="9639"/>
              <w:tab w:val="right" w:pos="9638" w:leader="dot"/>
            </w:tabs>
            <w:rPr/>
          </w:pPr>
          <w:r>
            <w:rPr/>
            <w:t>1.3.7 Invocation</w:t>
            <w:tab/>
          </w:r>
          <w:hyperlink w:anchor="__RefHeading___Toc217730019">
            <w:r>
              <w:rPr>
                <w:rStyle w:val="IndexLink"/>
              </w:rPr>
              <w:t>6</w:t>
            </w:r>
          </w:hyperlink>
        </w:p>
        <w:p>
          <w:pPr>
            <w:pStyle w:val="Contents3"/>
            <w:tabs>
              <w:tab w:val="clear" w:pos="9639"/>
              <w:tab w:val="right" w:pos="9638" w:leader="dot"/>
            </w:tabs>
            <w:rPr/>
          </w:pPr>
          <w:r>
            <w:rPr/>
            <w:t>1.3.8 Normal operation with successful outcome</w:t>
            <w:tab/>
          </w:r>
          <w:hyperlink w:anchor="__RefHeading___Toc217730020">
            <w:r>
              <w:rPr>
                <w:rStyle w:val="IndexLink"/>
              </w:rPr>
              <w:t>6</w:t>
            </w:r>
          </w:hyperlink>
        </w:p>
        <w:p>
          <w:pPr>
            <w:pStyle w:val="Contents2"/>
            <w:tabs>
              <w:tab w:val="clear" w:pos="9639"/>
              <w:tab w:val="right" w:pos="9638" w:leader="dot"/>
            </w:tabs>
            <w:rPr/>
          </w:pPr>
          <w:r>
            <w:rPr/>
            <w:t>1.4 Exceptional procedures or unsuccessful outcome</w:t>
            <w:tab/>
          </w:r>
          <w:hyperlink w:anchor="__RefHeading___Toc217730021">
            <w:r>
              <w:rPr>
                <w:rStyle w:val="IndexLink"/>
              </w:rPr>
              <w:t>7</w:t>
            </w:r>
          </w:hyperlink>
        </w:p>
        <w:p>
          <w:pPr>
            <w:pStyle w:val="Contents3"/>
            <w:tabs>
              <w:tab w:val="clear" w:pos="9639"/>
              <w:tab w:val="right" w:pos="9638" w:leader="dot"/>
            </w:tabs>
            <w:rPr/>
          </w:pPr>
          <w:r>
            <w:rPr/>
            <w:t>1.4.1 Operation in a PLMN that is unable to support AoC</w:t>
            <w:tab/>
          </w:r>
          <w:hyperlink w:anchor="__RefHeading___Toc217730022">
            <w:r>
              <w:rPr>
                <w:rStyle w:val="IndexLink"/>
              </w:rPr>
              <w:t>7</w:t>
            </w:r>
          </w:hyperlink>
        </w:p>
        <w:p>
          <w:pPr>
            <w:pStyle w:val="Contents3"/>
            <w:tabs>
              <w:tab w:val="clear" w:pos="9639"/>
              <w:tab w:val="right" w:pos="9638" w:leader="dot"/>
            </w:tabs>
            <w:rPr/>
          </w:pPr>
          <w:r>
            <w:rPr/>
            <w:t>1.4.2 AoC when MS is switched off or out of coverage</w:t>
            <w:tab/>
          </w:r>
          <w:hyperlink w:anchor="__RefHeading___Toc217730023">
            <w:r>
              <w:rPr>
                <w:rStyle w:val="IndexLink"/>
              </w:rPr>
              <w:t>7</w:t>
            </w:r>
          </w:hyperlink>
        </w:p>
        <w:p>
          <w:pPr>
            <w:pStyle w:val="Contents3"/>
            <w:tabs>
              <w:tab w:val="clear" w:pos="9639"/>
              <w:tab w:val="right" w:pos="9638" w:leader="dot"/>
            </w:tabs>
            <w:rPr/>
          </w:pPr>
          <w:r>
            <w:rPr/>
            <w:t>1.4.3 Operation with a MS unable to support AoC</w:t>
            <w:tab/>
          </w:r>
          <w:hyperlink w:anchor="__RefHeading___Toc217730024">
            <w:r>
              <w:rPr>
                <w:rStyle w:val="IndexLink"/>
              </w:rPr>
              <w:t>7</w:t>
            </w:r>
          </w:hyperlink>
        </w:p>
        <w:p>
          <w:pPr>
            <w:pStyle w:val="Contents2"/>
            <w:tabs>
              <w:tab w:val="clear" w:pos="9639"/>
              <w:tab w:val="right" w:pos="9638" w:leader="dot"/>
            </w:tabs>
            <w:rPr/>
          </w:pPr>
          <w:r>
            <w:rPr/>
            <w:t>1.5 Alternate procedures</w:t>
            <w:tab/>
          </w:r>
          <w:hyperlink w:anchor="__RefHeading___Toc217730025">
            <w:r>
              <w:rPr>
                <w:rStyle w:val="IndexLink"/>
              </w:rPr>
              <w:t>7</w:t>
            </w:r>
          </w:hyperlink>
        </w:p>
        <w:p>
          <w:pPr>
            <w:pStyle w:val="Contents2"/>
            <w:tabs>
              <w:tab w:val="clear" w:pos="9639"/>
              <w:tab w:val="right" w:pos="9638" w:leader="dot"/>
            </w:tabs>
            <w:rPr/>
          </w:pPr>
          <w:r>
            <w:rPr/>
            <w:t>1.6 Interactions with other supplementary services</w:t>
            <w:tab/>
          </w:r>
          <w:hyperlink w:anchor="__RefHeading___Toc217730026">
            <w:r>
              <w:rPr>
                <w:rStyle w:val="IndexLink"/>
              </w:rPr>
              <w:t>7</w:t>
            </w:r>
          </w:hyperlink>
        </w:p>
        <w:p>
          <w:pPr>
            <w:pStyle w:val="Contents3"/>
            <w:tabs>
              <w:tab w:val="clear" w:pos="9639"/>
              <w:tab w:val="right" w:pos="9638" w:leader="dot"/>
            </w:tabs>
            <w:rPr/>
          </w:pPr>
          <w:r>
            <w:rPr/>
            <w:t>1.6.1 SCUDIF</w:t>
            <w:tab/>
          </w:r>
          <w:hyperlink w:anchor="__RefHeading___Toc217730027">
            <w:r>
              <w:rPr>
                <w:rStyle w:val="IndexLink"/>
              </w:rPr>
              <w:t>7</w:t>
            </w:r>
          </w:hyperlink>
        </w:p>
        <w:p>
          <w:pPr>
            <w:pStyle w:val="Contents3"/>
            <w:tabs>
              <w:tab w:val="clear" w:pos="9639"/>
              <w:tab w:val="right" w:pos="9638" w:leader="dot"/>
            </w:tabs>
            <w:rPr/>
          </w:pPr>
          <w:r>
            <w:rPr/>
            <w:t>1.6.2 Other supplementary services</w:t>
            <w:tab/>
          </w:r>
          <w:hyperlink w:anchor="__RefHeading___Toc217730028">
            <w:r>
              <w:rPr>
                <w:rStyle w:val="IndexLink"/>
              </w:rPr>
              <w:t>7</w:t>
            </w:r>
          </w:hyperlink>
        </w:p>
        <w:p>
          <w:pPr>
            <w:pStyle w:val="Contents2"/>
            <w:tabs>
              <w:tab w:val="clear" w:pos="9639"/>
              <w:tab w:val="right" w:pos="9638" w:leader="dot"/>
            </w:tabs>
            <w:rPr/>
          </w:pPr>
          <w:r>
            <w:rPr/>
            <w:t>8.2 Multicall</w:t>
            <w:tab/>
          </w:r>
          <w:hyperlink w:anchor="__RefHeading___Toc217730029">
            <w:r>
              <w:rPr>
                <w:rStyle w:val="IndexLink"/>
              </w:rPr>
              <w:t>7</w:t>
            </w:r>
          </w:hyperlink>
        </w:p>
        <w:p>
          <w:pPr>
            <w:pStyle w:val="Contents2"/>
            <w:tabs>
              <w:tab w:val="clear" w:pos="9639"/>
              <w:tab w:val="right" w:pos="9638" w:leader="dot"/>
            </w:tabs>
            <w:rPr/>
          </w:pPr>
          <w:r>
            <w:rPr/>
            <w:t>1.7 Interworking considerations</w:t>
            <w:tab/>
          </w:r>
          <w:hyperlink w:anchor="__RefHeading___Toc217730030">
            <w:r>
              <w:rPr>
                <w:rStyle w:val="IndexLink"/>
              </w:rPr>
              <w:t>7</w:t>
            </w:r>
          </w:hyperlink>
        </w:p>
        <w:p>
          <w:pPr>
            <w:pStyle w:val="Contents1"/>
            <w:tabs>
              <w:tab w:val="clear" w:pos="9639"/>
              <w:tab w:val="right" w:pos="9638" w:leader="dot"/>
            </w:tabs>
            <w:rPr/>
          </w:pPr>
          <w:r>
            <w:rPr/>
            <w:t>2 Advice Of Charge (Charging) (AoCC)</w:t>
            <w:tab/>
          </w:r>
          <w:hyperlink w:anchor="__RefHeading___Toc217730031">
            <w:r>
              <w:rPr>
                <w:rStyle w:val="IndexLink"/>
              </w:rPr>
              <w:t>8</w:t>
            </w:r>
          </w:hyperlink>
        </w:p>
        <w:p>
          <w:pPr>
            <w:pStyle w:val="Contents2"/>
            <w:tabs>
              <w:tab w:val="clear" w:pos="9639"/>
              <w:tab w:val="right" w:pos="9638" w:leader="dot"/>
            </w:tabs>
            <w:rPr/>
          </w:pPr>
          <w:r>
            <w:rPr/>
            <w:t>2.1 Definition</w:t>
            <w:tab/>
          </w:r>
          <w:hyperlink w:anchor="__RefHeading___Toc217730032">
            <w:r>
              <w:rPr>
                <w:rStyle w:val="IndexLink"/>
              </w:rPr>
              <w:t>8</w:t>
            </w:r>
          </w:hyperlink>
        </w:p>
        <w:p>
          <w:pPr>
            <w:pStyle w:val="Contents2"/>
            <w:tabs>
              <w:tab w:val="clear" w:pos="9639"/>
              <w:tab w:val="right" w:pos="9638" w:leader="dot"/>
            </w:tabs>
            <w:rPr/>
          </w:pPr>
          <w:r>
            <w:rPr/>
            <w:t>2.2 Description</w:t>
            <w:tab/>
          </w:r>
          <w:hyperlink w:anchor="__RefHeading___Toc217730033">
            <w:r>
              <w:rPr>
                <w:rStyle w:val="IndexLink"/>
              </w:rPr>
              <w:t>8</w:t>
            </w:r>
          </w:hyperlink>
        </w:p>
        <w:p>
          <w:pPr>
            <w:pStyle w:val="Contents3"/>
            <w:tabs>
              <w:tab w:val="clear" w:pos="9639"/>
              <w:tab w:val="right" w:pos="9638" w:leader="dot"/>
            </w:tabs>
            <w:rPr/>
          </w:pPr>
          <w:r>
            <w:rPr/>
            <w:t>2.2.1 Description</w:t>
            <w:tab/>
          </w:r>
          <w:hyperlink w:anchor="__RefHeading___Toc217730034">
            <w:r>
              <w:rPr>
                <w:rStyle w:val="IndexLink"/>
              </w:rPr>
              <w:t>8</w:t>
            </w:r>
          </w:hyperlink>
        </w:p>
        <w:p>
          <w:pPr>
            <w:pStyle w:val="Contents3"/>
            <w:tabs>
              <w:tab w:val="clear" w:pos="9639"/>
              <w:tab w:val="right" w:pos="9638" w:leader="dot"/>
            </w:tabs>
            <w:rPr/>
          </w:pPr>
          <w:r>
            <w:rPr/>
            <w:t>2.2.2 Applicability to telecommunication services</w:t>
            <w:tab/>
          </w:r>
          <w:hyperlink w:anchor="__RefHeading___Toc217730035">
            <w:r>
              <w:rPr>
                <w:rStyle w:val="IndexLink"/>
              </w:rPr>
              <w:t>8</w:t>
            </w:r>
          </w:hyperlink>
        </w:p>
        <w:p>
          <w:pPr>
            <w:pStyle w:val="Contents2"/>
            <w:tabs>
              <w:tab w:val="clear" w:pos="9639"/>
              <w:tab w:val="right" w:pos="9638" w:leader="dot"/>
            </w:tabs>
            <w:rPr/>
          </w:pPr>
          <w:r>
            <w:rPr/>
            <w:t>2.3 Normal procedures with successful outcome</w:t>
            <w:tab/>
          </w:r>
          <w:hyperlink w:anchor="__RefHeading___Toc217730036">
            <w:r>
              <w:rPr>
                <w:rStyle w:val="IndexLink"/>
              </w:rPr>
              <w:t>8</w:t>
            </w:r>
          </w:hyperlink>
        </w:p>
        <w:p>
          <w:pPr>
            <w:pStyle w:val="Contents3"/>
            <w:tabs>
              <w:tab w:val="clear" w:pos="9639"/>
              <w:tab w:val="right" w:pos="9638" w:leader="dot"/>
            </w:tabs>
            <w:rPr/>
          </w:pPr>
          <w:r>
            <w:rPr/>
            <w:t>2.3.1 Provision</w:t>
            <w:tab/>
          </w:r>
          <w:hyperlink w:anchor="__RefHeading___Toc217730037">
            <w:r>
              <w:rPr>
                <w:rStyle w:val="IndexLink"/>
              </w:rPr>
              <w:t>8</w:t>
            </w:r>
          </w:hyperlink>
        </w:p>
        <w:p>
          <w:pPr>
            <w:pStyle w:val="Contents3"/>
            <w:tabs>
              <w:tab w:val="clear" w:pos="9639"/>
              <w:tab w:val="right" w:pos="9638" w:leader="dot"/>
            </w:tabs>
            <w:rPr/>
          </w:pPr>
          <w:r>
            <w:rPr/>
            <w:t>2.3.2 Withdrawal</w:t>
            <w:tab/>
          </w:r>
          <w:hyperlink w:anchor="__RefHeading___Toc217730038">
            <w:r>
              <w:rPr>
                <w:rStyle w:val="IndexLink"/>
              </w:rPr>
              <w:t>8</w:t>
            </w:r>
          </w:hyperlink>
        </w:p>
        <w:p>
          <w:pPr>
            <w:pStyle w:val="Contents3"/>
            <w:tabs>
              <w:tab w:val="clear" w:pos="9639"/>
              <w:tab w:val="right" w:pos="9638" w:leader="dot"/>
            </w:tabs>
            <w:rPr/>
          </w:pPr>
          <w:r>
            <w:rPr/>
            <w:t>2.3.5 Activation</w:t>
            <w:tab/>
          </w:r>
          <w:hyperlink w:anchor="__RefHeading___Toc217730039">
            <w:r>
              <w:rPr>
                <w:rStyle w:val="IndexLink"/>
              </w:rPr>
              <w:t>8</w:t>
            </w:r>
          </w:hyperlink>
        </w:p>
        <w:p>
          <w:pPr>
            <w:pStyle w:val="Contents3"/>
            <w:tabs>
              <w:tab w:val="clear" w:pos="9639"/>
              <w:tab w:val="right" w:pos="9638" w:leader="dot"/>
            </w:tabs>
            <w:rPr/>
          </w:pPr>
          <w:r>
            <w:rPr/>
            <w:t>2.3.6 Deactivation</w:t>
            <w:tab/>
          </w:r>
          <w:hyperlink w:anchor="__RefHeading___Toc217730040">
            <w:r>
              <w:rPr>
                <w:rStyle w:val="IndexLink"/>
              </w:rPr>
              <w:t>9</w:t>
            </w:r>
          </w:hyperlink>
        </w:p>
        <w:p>
          <w:pPr>
            <w:pStyle w:val="Contents3"/>
            <w:tabs>
              <w:tab w:val="clear" w:pos="9639"/>
              <w:tab w:val="right" w:pos="9638" w:leader="dot"/>
            </w:tabs>
            <w:rPr/>
          </w:pPr>
          <w:r>
            <w:rPr/>
            <w:t>2.3.7 Invocation</w:t>
            <w:tab/>
          </w:r>
          <w:hyperlink w:anchor="__RefHeading___Toc217730041">
            <w:r>
              <w:rPr>
                <w:rStyle w:val="IndexLink"/>
              </w:rPr>
              <w:t>9</w:t>
            </w:r>
          </w:hyperlink>
        </w:p>
        <w:p>
          <w:pPr>
            <w:pStyle w:val="Contents3"/>
            <w:tabs>
              <w:tab w:val="clear" w:pos="9639"/>
              <w:tab w:val="right" w:pos="9638" w:leader="dot"/>
            </w:tabs>
            <w:rPr/>
          </w:pPr>
          <w:r>
            <w:rPr/>
            <w:t>2.3.8 Normal operation with successful outcome</w:t>
            <w:tab/>
          </w:r>
          <w:hyperlink w:anchor="__RefHeading___Toc217730042">
            <w:r>
              <w:rPr>
                <w:rStyle w:val="IndexLink"/>
              </w:rPr>
              <w:t>9</w:t>
            </w:r>
          </w:hyperlink>
        </w:p>
        <w:p>
          <w:pPr>
            <w:pStyle w:val="Contents2"/>
            <w:tabs>
              <w:tab w:val="clear" w:pos="9639"/>
              <w:tab w:val="right" w:pos="9638" w:leader="dot"/>
            </w:tabs>
            <w:rPr/>
          </w:pPr>
          <w:r>
            <w:rPr/>
            <w:t>2.4 Exceptional procedures or unsuccessful outcome</w:t>
            <w:tab/>
          </w:r>
          <w:hyperlink w:anchor="__RefHeading___Toc217730043">
            <w:r>
              <w:rPr>
                <w:rStyle w:val="IndexLink"/>
              </w:rPr>
              <w:t>9</w:t>
            </w:r>
          </w:hyperlink>
        </w:p>
        <w:p>
          <w:pPr>
            <w:pStyle w:val="Contents3"/>
            <w:tabs>
              <w:tab w:val="clear" w:pos="9639"/>
              <w:tab w:val="right" w:pos="9638" w:leader="dot"/>
            </w:tabs>
            <w:rPr/>
          </w:pPr>
          <w:r>
            <w:rPr/>
            <w:t>2.4.1 Operation in a PLMN that is unable to support the Charging Service</w:t>
            <w:tab/>
          </w:r>
          <w:hyperlink w:anchor="__RefHeading___Toc217730044">
            <w:r>
              <w:rPr>
                <w:rStyle w:val="IndexLink"/>
              </w:rPr>
              <w:t>9</w:t>
            </w:r>
          </w:hyperlink>
        </w:p>
        <w:p>
          <w:pPr>
            <w:pStyle w:val="Contents3"/>
            <w:tabs>
              <w:tab w:val="clear" w:pos="9639"/>
              <w:tab w:val="right" w:pos="9638" w:leader="dot"/>
            </w:tabs>
            <w:rPr/>
          </w:pPr>
          <w:r>
            <w:rPr/>
            <w:t>2.4.2 Charging when the MS is switched off or out of coverage</w:t>
            <w:tab/>
          </w:r>
          <w:hyperlink w:anchor="__RefHeading___Toc217730045">
            <w:r>
              <w:rPr>
                <w:rStyle w:val="IndexLink"/>
              </w:rPr>
              <w:t>9</w:t>
            </w:r>
          </w:hyperlink>
        </w:p>
        <w:p>
          <w:pPr>
            <w:pStyle w:val="Contents3"/>
            <w:tabs>
              <w:tab w:val="clear" w:pos="9639"/>
              <w:tab w:val="right" w:pos="9638" w:leader="dot"/>
            </w:tabs>
            <w:rPr/>
          </w:pPr>
          <w:r>
            <w:rPr/>
            <w:t>2.4.3 Operation with a MS unable to support AoC</w:t>
            <w:tab/>
          </w:r>
          <w:hyperlink w:anchor="__RefHeading___Toc217730046">
            <w:r>
              <w:rPr>
                <w:rStyle w:val="IndexLink"/>
              </w:rPr>
              <w:t>9</w:t>
            </w:r>
          </w:hyperlink>
        </w:p>
        <w:p>
          <w:pPr>
            <w:pStyle w:val="Contents2"/>
            <w:tabs>
              <w:tab w:val="clear" w:pos="9639"/>
              <w:tab w:val="right" w:pos="9638" w:leader="dot"/>
            </w:tabs>
            <w:rPr/>
          </w:pPr>
          <w:r>
            <w:rPr/>
            <w:t>2.5 Alternate procedures</w:t>
            <w:tab/>
          </w:r>
          <w:hyperlink w:anchor="__RefHeading___Toc217730047">
            <w:r>
              <w:rPr>
                <w:rStyle w:val="IndexLink"/>
              </w:rPr>
              <w:t>9</w:t>
            </w:r>
          </w:hyperlink>
        </w:p>
        <w:p>
          <w:pPr>
            <w:pStyle w:val="Contents2"/>
            <w:tabs>
              <w:tab w:val="clear" w:pos="9639"/>
              <w:tab w:val="right" w:pos="9638" w:leader="dot"/>
            </w:tabs>
            <w:rPr/>
          </w:pPr>
          <w:r>
            <w:rPr/>
            <w:t>2.6 Interactions with other supplementary services</w:t>
            <w:tab/>
          </w:r>
          <w:hyperlink w:anchor="__RefHeading___Toc217730048">
            <w:r>
              <w:rPr>
                <w:rStyle w:val="IndexLink"/>
              </w:rPr>
              <w:t>9</w:t>
            </w:r>
          </w:hyperlink>
        </w:p>
        <w:p>
          <w:pPr>
            <w:pStyle w:val="Contents3"/>
            <w:tabs>
              <w:tab w:val="clear" w:pos="9639"/>
              <w:tab w:val="right" w:pos="9638" w:leader="dot"/>
            </w:tabs>
            <w:rPr/>
          </w:pPr>
          <w:r>
            <w:rPr/>
            <w:t>2.6.1 SCUDIF</w:t>
            <w:tab/>
          </w:r>
          <w:hyperlink w:anchor="__RefHeading___Toc217730049">
            <w:r>
              <w:rPr>
                <w:rStyle w:val="IndexLink"/>
              </w:rPr>
              <w:t>9</w:t>
            </w:r>
          </w:hyperlink>
        </w:p>
        <w:p>
          <w:pPr>
            <w:pStyle w:val="Contents3"/>
            <w:tabs>
              <w:tab w:val="clear" w:pos="9639"/>
              <w:tab w:val="right" w:pos="9638" w:leader="dot"/>
            </w:tabs>
            <w:rPr/>
          </w:pPr>
          <w:r>
            <w:rPr/>
            <w:t>2.6.2 Other supplementary services</w:t>
            <w:tab/>
          </w:r>
          <w:hyperlink w:anchor="__RefHeading___Toc217730050">
            <w:r>
              <w:rPr>
                <w:rStyle w:val="IndexLink"/>
              </w:rPr>
              <w:t>9</w:t>
            </w:r>
          </w:hyperlink>
        </w:p>
        <w:p>
          <w:pPr>
            <w:pStyle w:val="Contents2"/>
            <w:tabs>
              <w:tab w:val="clear" w:pos="9639"/>
              <w:tab w:val="right" w:pos="9638" w:leader="dot"/>
            </w:tabs>
            <w:rPr/>
          </w:pPr>
          <w:r>
            <w:rPr/>
            <w:t>2.7 Interworking considerations</w:t>
            <w:tab/>
          </w:r>
          <w:hyperlink w:anchor="__RefHeading___Toc217730051">
            <w:r>
              <w:rPr>
                <w:rStyle w:val="IndexLink"/>
              </w:rPr>
              <w:t>10</w:t>
            </w:r>
          </w:hyperlink>
        </w:p>
        <w:p>
          <w:pPr>
            <w:pStyle w:val="Contents8"/>
            <w:tabs>
              <w:tab w:val="clear" w:pos="9639"/>
              <w:tab w:val="right" w:pos="9638" w:leader="dot"/>
            </w:tabs>
            <w:rPr/>
          </w:pPr>
          <w:r>
            <w:rPr/>
            <w:t>Annex A (informative): Change history</w:t>
            <w:tab/>
          </w:r>
          <w:hyperlink w:anchor="__RefHeading___Toc217730052">
            <w:r>
              <w:rPr>
                <w:rStyle w:val="IndexLink"/>
              </w:rPr>
              <w:t>11</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00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30006"/>
      <w:bookmarkEnd w:id="7"/>
      <w:r>
        <w:rPr/>
        <w:t>0</w:t>
        <w:tab/>
        <w:t>Scope</w:t>
      </w:r>
    </w:p>
    <w:p>
      <w:pPr>
        <w:pStyle w:val="Normal"/>
        <w:rPr/>
      </w:pPr>
      <w:r>
        <w:rPr/>
        <w:t>The present document describes the supplementary services belonging to the group Charging Supplementary Services.</w:t>
      </w:r>
    </w:p>
    <w:p>
      <w:pPr>
        <w:pStyle w:val="Normal"/>
        <w:rPr/>
      </w:pPr>
      <w:r>
        <w:rPr/>
        <w:t>The general aspects, including definitions and recommended provision, of the description of the supplementary services are given in TS 22.004 [2].</w:t>
      </w:r>
    </w:p>
    <w:p>
      <w:pPr>
        <w:pStyle w:val="Normal"/>
        <w:rPr/>
      </w:pPr>
      <w:r>
        <w:rPr/>
        <w:t>Charging services are the supplementary services associated with charging aspects. The group of supplementary services Charging Supplementary Services comprises two services:</w:t>
      </w:r>
    </w:p>
    <w:p>
      <w:pPr>
        <w:pStyle w:val="B2"/>
        <w:rPr/>
      </w:pPr>
      <w:r>
        <w:rPr/>
        <w:t>-</w:t>
        <w:tab/>
        <w:t>Advice of Charge (Information) - clause 1;</w:t>
      </w:r>
    </w:p>
    <w:p>
      <w:pPr>
        <w:pStyle w:val="B2"/>
        <w:rPr/>
      </w:pPr>
      <w:r>
        <w:rPr/>
        <w:t>-</w:t>
        <w:tab/>
        <w:t>Advice of Charge (Charging) - clause 2.</w:t>
      </w:r>
    </w:p>
    <w:p>
      <w:pPr>
        <w:pStyle w:val="Normal"/>
        <w:rPr/>
      </w:pPr>
      <w:r>
        <w:rPr/>
        <w:t>Advice of Charge (AoC) supplementary services will use the Charge Advice Information described in  22.024 [3].</w:t>
      </w:r>
    </w:p>
    <w:p>
      <w:pPr>
        <w:pStyle w:val="Normal"/>
        <w:rPr/>
      </w:pPr>
      <w:r>
        <w:rPr/>
        <w:t>In principle, the same type of Mobile Station (MS) can be used for both services of Advice of Charge (AoC), except where the application demands special features - e.g. the payment mechanism in a payphone.</w:t>
      </w:r>
    </w:p>
    <w:p>
      <w:pPr>
        <w:pStyle w:val="Normal"/>
        <w:rPr/>
      </w:pPr>
      <w:r>
        <w:rPr/>
        <w:t>Only one of these services may be subscribed to at any one time.</w:t>
      </w:r>
    </w:p>
    <w:p>
      <w:pPr>
        <w:pStyle w:val="Heading2"/>
        <w:rPr/>
      </w:pPr>
      <w:bookmarkStart w:id="8" w:name="__RefHeading___Toc217730007"/>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22.004: "General on supplementary services".</w:t>
      </w:r>
    </w:p>
    <w:p>
      <w:pPr>
        <w:pStyle w:val="EX"/>
        <w:rPr/>
      </w:pPr>
      <w:r>
        <w:rPr/>
        <w:t>[3]</w:t>
        <w:tab/>
        <w:t>3GPP TS 22.024: "Description of Charge Advice Information (CAI).</w:t>
      </w:r>
    </w:p>
    <w:p>
      <w:pPr>
        <w:pStyle w:val="EX"/>
        <w:rPr/>
      </w:pPr>
      <w:r>
        <w:rPr/>
        <w:t>[4]</w:t>
        <w:tab/>
        <w:t>3GPP TS 22.135: "Multicall stage 1".</w:t>
      </w:r>
    </w:p>
    <w:p>
      <w:pPr>
        <w:pStyle w:val="EX"/>
        <w:rPr>
          <w:lang w:val="en-US" w:eastAsia="en-US"/>
        </w:rPr>
      </w:pPr>
      <w:r>
        <w:rPr>
          <w:lang w:val="en-US" w:eastAsia="en-US"/>
        </w:rPr>
        <w:t>[5</w:t>
      </w:r>
      <w:r>
        <w:rPr>
          <w:lang w:val="en-US" w:eastAsia="en-US"/>
        </w:rPr>
        <w:t>]</w:t>
        <w:tab/>
      </w:r>
      <w:r>
        <w:rPr>
          <w:lang w:val="en-US" w:eastAsia="en-US"/>
        </w:rPr>
        <w:t xml:space="preserve">3GPP TS 23.172: </w:t>
      </w:r>
      <w:r>
        <w:rPr/>
        <w:t>"</w:t>
      </w:r>
      <w:r>
        <w:rPr>
          <w:lang w:val="en-US" w:eastAsia="en-US"/>
        </w:rPr>
        <w:t>Technical realization of Circuit Switched (CS) multimedia service; UDI/RDI fallback and service modification; Stage 2</w:t>
      </w:r>
      <w:r>
        <w:rPr/>
        <w:t>".</w:t>
      </w:r>
    </w:p>
    <w:p>
      <w:pPr>
        <w:pStyle w:val="Heading2"/>
        <w:rPr/>
      </w:pPr>
      <w:bookmarkStart w:id="9" w:name="__RefHeading___Toc217730008"/>
      <w:bookmarkEnd w:id="9"/>
      <w:r>
        <w:rPr/>
        <w:t>0.2</w:t>
        <w:tab/>
        <w:t>Abbreviations</w:t>
      </w:r>
    </w:p>
    <w:p>
      <w:pPr>
        <w:pStyle w:val="Normal"/>
        <w:rPr/>
      </w:pPr>
      <w:r>
        <w:rPr/>
        <w:t>Abbreviations used in the present document are listed in TS 21.905 [1].</w:t>
      </w:r>
    </w:p>
    <w:p>
      <w:pPr>
        <w:pStyle w:val="Heading1"/>
        <w:ind w:start="1134" w:hanging="1134"/>
        <w:rPr/>
      </w:pPr>
      <w:bookmarkStart w:id="10" w:name="__RefHeading___Toc217730009"/>
      <w:bookmarkEnd w:id="10"/>
      <w:r>
        <w:rPr/>
        <w:t>1</w:t>
        <w:tab/>
        <w:t>Advice Of Charge (Information) (AoCI)</w:t>
      </w:r>
    </w:p>
    <w:p>
      <w:pPr>
        <w:pStyle w:val="Heading2"/>
        <w:rPr/>
      </w:pPr>
      <w:bookmarkStart w:id="11" w:name="__RefHeading___Toc217730010"/>
      <w:bookmarkEnd w:id="11"/>
      <w:r>
        <w:rPr/>
        <w:t>1.1</w:t>
        <w:tab/>
        <w:t>Definition</w:t>
      </w:r>
    </w:p>
    <w:p>
      <w:pPr>
        <w:pStyle w:val="Normal"/>
        <w:rPr/>
      </w:pPr>
      <w:r>
        <w:rPr/>
        <w:t>This service permits MS to display an accurate estimate the size of the bill which will eventually be levied in the Home PLMN.</w:t>
      </w:r>
    </w:p>
    <w:p>
      <w:pPr>
        <w:pStyle w:val="Heading2"/>
        <w:rPr/>
      </w:pPr>
      <w:bookmarkStart w:id="12" w:name="__RefHeading___Toc217730011"/>
      <w:bookmarkEnd w:id="12"/>
      <w:r>
        <w:rPr/>
        <w:t>1.2</w:t>
        <w:tab/>
        <w:t>Description</w:t>
      </w:r>
    </w:p>
    <w:p>
      <w:pPr>
        <w:pStyle w:val="Heading3"/>
        <w:rPr/>
      </w:pPr>
      <w:bookmarkStart w:id="13" w:name="__RefHeading___Toc217730012"/>
      <w:bookmarkEnd w:id="13"/>
      <w:r>
        <w:rPr/>
        <w:t>1.2.1</w:t>
        <w:tab/>
        <w:t>Description</w:t>
      </w:r>
    </w:p>
    <w:p>
      <w:pPr>
        <w:pStyle w:val="Normal"/>
        <w:rPr/>
      </w:pPr>
      <w:r>
        <w:rPr/>
        <w:t>This supplementary service provides the MS with the information to produce an estimate of the cost of the service used. Charges are indicated for the call(s) in progress when mobile originated or for the roaming leg only when mobile terminated. Any charges for non-call related transactions, and for certain supplementary services, such as Call Forwarding are not indicated.</w:t>
      </w:r>
    </w:p>
    <w:p>
      <w:pPr>
        <w:pStyle w:val="Normal"/>
        <w:rPr/>
      </w:pPr>
      <w:r>
        <w:rPr/>
        <w:t>The MS will receive at the beginning of each call (and as necessary during the call) a message, the Charge Advice Information. This message contains the elements which together define the rate at which the call is to be charged, time dependence, data dependence and for unit increments - see TS 22.024 [3].</w:t>
      </w:r>
    </w:p>
    <w:p>
      <w:pPr>
        <w:pStyle w:val="Normal"/>
        <w:rPr/>
      </w:pPr>
      <w:r>
        <w:rPr/>
        <w:t>The MS shall still indicate appropriate charges even when roaming, based on Home PLMN units.</w:t>
      </w:r>
    </w:p>
    <w:p>
      <w:pPr>
        <w:pStyle w:val="Normal"/>
        <w:rPr/>
      </w:pPr>
      <w:r>
        <w:rPr/>
        <w:t>Where applicable, the volume charge for Packet data service, in addition to the normal time dependent and incremental charges, shall be indicated.</w:t>
      </w:r>
    </w:p>
    <w:p>
      <w:pPr>
        <w:pStyle w:val="Normal"/>
        <w:rPr/>
      </w:pPr>
      <w:r>
        <w:rPr/>
        <w:t>To indicate the charge per call the Mobile station shall display the units consumed so far during the present call(s) and maintain this value until the MS is switched off or a new call set-up is attempted.</w:t>
      </w:r>
    </w:p>
    <w:p>
      <w:pPr>
        <w:pStyle w:val="Normal"/>
        <w:rPr/>
      </w:pPr>
      <w:r>
        <w:rPr/>
        <w:t>Where required to indicate the total accumulated charge, the MS shall be able to display, and the SIM/USIM shall store in the ACM, the running cumulative unit charge. This value must be stored securely, and all reasonable steps shall be taken to ensure that the written value cannot be interrupted, reset or corrupted (except resetting under control of the unblocking key).</w:t>
      </w:r>
    </w:p>
    <w:p>
      <w:pPr>
        <w:pStyle w:val="Heading3"/>
        <w:rPr/>
      </w:pPr>
      <w:bookmarkStart w:id="14" w:name="__RefHeading___Toc217730013"/>
      <w:bookmarkEnd w:id="14"/>
      <w:r>
        <w:rPr/>
        <w:t>1.2.2</w:t>
        <w:tab/>
        <w:t>Applicability to telecommunication services</w:t>
      </w:r>
    </w:p>
    <w:p>
      <w:pPr>
        <w:pStyle w:val="Normal"/>
        <w:rPr/>
      </w:pPr>
      <w:r>
        <w:rPr/>
        <w:t>The applicability of this supplementary service is defined in TS 22.004 [2].</w:t>
      </w:r>
    </w:p>
    <w:p>
      <w:pPr>
        <w:pStyle w:val="Heading2"/>
        <w:rPr/>
      </w:pPr>
      <w:bookmarkStart w:id="15" w:name="__RefHeading___Toc217730014"/>
      <w:bookmarkEnd w:id="15"/>
      <w:r>
        <w:rPr/>
        <w:t>1.3</w:t>
        <w:tab/>
        <w:t>Normal procedures with successful outcome</w:t>
      </w:r>
    </w:p>
    <w:p>
      <w:pPr>
        <w:pStyle w:val="Heading3"/>
        <w:rPr/>
      </w:pPr>
      <w:bookmarkStart w:id="16" w:name="__RefHeading___Toc217730015"/>
      <w:bookmarkEnd w:id="16"/>
      <w:r>
        <w:rPr/>
        <w:t>1.3.1</w:t>
        <w:tab/>
        <w:t>Provision</w:t>
      </w:r>
    </w:p>
    <w:p>
      <w:pPr>
        <w:pStyle w:val="Normal"/>
        <w:rPr/>
      </w:pPr>
      <w:r>
        <w:rPr/>
        <w:t>This supplementary service will be provided after prearrangement with the service provider.</w:t>
      </w:r>
    </w:p>
    <w:p>
      <w:pPr>
        <w:pStyle w:val="Heading3"/>
        <w:rPr/>
      </w:pPr>
      <w:bookmarkStart w:id="17" w:name="__RefHeading___Toc217730016"/>
      <w:bookmarkEnd w:id="17"/>
      <w:r>
        <w:rPr/>
        <w:t>1.3.2</w:t>
        <w:tab/>
        <w:t>Withdrawal</w:t>
      </w:r>
    </w:p>
    <w:p>
      <w:pPr>
        <w:pStyle w:val="Normal"/>
        <w:rPr/>
      </w:pPr>
      <w:r>
        <w:rPr/>
        <w:t>This service will be withdrawn at the subscriber's request or for administrative reasons.</w:t>
      </w:r>
    </w:p>
    <w:p>
      <w:pPr>
        <w:pStyle w:val="Heading3"/>
        <w:rPr/>
      </w:pPr>
      <w:bookmarkStart w:id="18" w:name="__RefHeading___Toc217730017"/>
      <w:bookmarkEnd w:id="18"/>
      <w:r>
        <w:rPr/>
        <w:t>1.3.5</w:t>
        <w:tab/>
        <w:t>Activation</w:t>
      </w:r>
    </w:p>
    <w:p>
      <w:pPr>
        <w:pStyle w:val="Normal"/>
        <w:rPr/>
      </w:pPr>
      <w:r>
        <w:rPr/>
        <w:t>This supplementary service will be activated by the service provider as a result of provision.</w:t>
      </w:r>
    </w:p>
    <w:p>
      <w:pPr>
        <w:pStyle w:val="Heading3"/>
        <w:rPr/>
      </w:pPr>
      <w:bookmarkStart w:id="19" w:name="__RefHeading___Toc217730018"/>
      <w:bookmarkEnd w:id="19"/>
      <w:r>
        <w:rPr/>
        <w:t>1.3.6</w:t>
        <w:tab/>
        <w:t>Deactivation</w:t>
      </w:r>
    </w:p>
    <w:p>
      <w:pPr>
        <w:pStyle w:val="Normal"/>
        <w:rPr/>
      </w:pPr>
      <w:r>
        <w:rPr/>
        <w:t>This supplementary service will be deactivated by the service provider as a result of withdrawal.</w:t>
      </w:r>
    </w:p>
    <w:p>
      <w:pPr>
        <w:pStyle w:val="Heading3"/>
        <w:rPr/>
      </w:pPr>
      <w:bookmarkStart w:id="20" w:name="__RefHeading___Toc217730019"/>
      <w:bookmarkEnd w:id="20"/>
      <w:r>
        <w:rPr/>
        <w:t>1.3.7</w:t>
        <w:tab/>
        <w:t>Invocation</w:t>
      </w:r>
    </w:p>
    <w:p>
      <w:pPr>
        <w:pStyle w:val="Normal"/>
        <w:rPr/>
      </w:pPr>
      <w:r>
        <w:rPr/>
        <w:t>This supplementary service will be automatically invoked by the network for the use of all applicable telecommunications services.</w:t>
      </w:r>
    </w:p>
    <w:p>
      <w:pPr>
        <w:pStyle w:val="Heading3"/>
        <w:rPr/>
      </w:pPr>
      <w:bookmarkStart w:id="21" w:name="__RefHeading___Toc217730020"/>
      <w:bookmarkEnd w:id="21"/>
      <w:r>
        <w:rPr/>
        <w:t>1.3.8</w:t>
        <w:tab/>
        <w:t>Normal operation with successful outcome</w:t>
      </w:r>
    </w:p>
    <w:p>
      <w:pPr>
        <w:pStyle w:val="Normal"/>
        <w:rPr/>
      </w:pPr>
      <w:r>
        <w:rPr/>
        <w:t>For every applicable usage of telecommunications services, the served MS will be provided with charging information.</w:t>
      </w:r>
    </w:p>
    <w:p>
      <w:pPr>
        <w:pStyle w:val="Normal"/>
        <w:rPr/>
      </w:pPr>
      <w:r>
        <w:rPr/>
        <w:t>The MS shall send to the network a confirmation of receipt of this information.</w:t>
      </w:r>
    </w:p>
    <w:p>
      <w:pPr>
        <w:pStyle w:val="Heading2"/>
        <w:rPr/>
      </w:pPr>
      <w:bookmarkStart w:id="22" w:name="__RefHeading___Toc217730021"/>
      <w:bookmarkEnd w:id="22"/>
      <w:r>
        <w:rPr/>
        <w:t>1.4</w:t>
        <w:tab/>
        <w:t>Exceptional procedures or unsuccessful outcome</w:t>
      </w:r>
    </w:p>
    <w:p>
      <w:pPr>
        <w:pStyle w:val="Heading3"/>
        <w:rPr/>
      </w:pPr>
      <w:bookmarkStart w:id="23" w:name="__RefHeading___Toc217730022"/>
      <w:bookmarkEnd w:id="23"/>
      <w:r>
        <w:rPr/>
        <w:t>1.4.1</w:t>
        <w:tab/>
        <w:t>Operation in a PLMN that is unable to support AoC</w:t>
      </w:r>
    </w:p>
    <w:p>
      <w:pPr>
        <w:pStyle w:val="Normal"/>
        <w:rPr/>
      </w:pPr>
      <w:r>
        <w:rPr/>
        <w:t>Since AoC (Information) is used only to provide an indication to the user, even if the network is unable to support AoC, calls may still be set up as normal, only the AoC indication will not be given. For this reason charges incurred on a network that is unable to support AoC will not be shown on the AoC indicator.</w:t>
      </w:r>
    </w:p>
    <w:p>
      <w:pPr>
        <w:pStyle w:val="Heading3"/>
        <w:rPr/>
      </w:pPr>
      <w:bookmarkStart w:id="24" w:name="__RefHeading___Toc217730023"/>
      <w:bookmarkEnd w:id="24"/>
      <w:r>
        <w:rPr/>
        <w:t>1.4.2</w:t>
        <w:tab/>
        <w:t>AoC when MS is switched off or out of coverage</w:t>
      </w:r>
    </w:p>
    <w:p>
      <w:pPr>
        <w:pStyle w:val="Normal"/>
        <w:rPr/>
      </w:pPr>
      <w:r>
        <w:rPr/>
        <w:t>No AoC information is given by the network.</w:t>
      </w:r>
    </w:p>
    <w:p>
      <w:pPr>
        <w:pStyle w:val="Heading3"/>
        <w:rPr/>
      </w:pPr>
      <w:bookmarkStart w:id="25" w:name="__RefHeading___Toc217730024"/>
      <w:bookmarkEnd w:id="25"/>
      <w:r>
        <w:rPr/>
        <w:t>1.4.3</w:t>
        <w:tab/>
        <w:t>Operation with a MS unable to support AoC</w:t>
      </w:r>
    </w:p>
    <w:p>
      <w:pPr>
        <w:pStyle w:val="Normal"/>
        <w:rPr/>
      </w:pPr>
      <w:r>
        <w:rPr/>
        <w:t>Since AoC (Information) is used only to provide an indication to the user, even if the ME is unable to support AoC, calls may still be set up as normal, only no AoC information will be provided to the user.</w:t>
      </w:r>
    </w:p>
    <w:p>
      <w:pPr>
        <w:pStyle w:val="Heading2"/>
        <w:rPr/>
      </w:pPr>
      <w:bookmarkStart w:id="26" w:name="__RefHeading___Toc217730025"/>
      <w:bookmarkEnd w:id="26"/>
      <w:r>
        <w:rPr/>
        <w:t>1.5</w:t>
        <w:tab/>
        <w:t>Alternate procedures</w:t>
      </w:r>
    </w:p>
    <w:p>
      <w:pPr>
        <w:pStyle w:val="Normal"/>
        <w:rPr/>
      </w:pPr>
      <w:r>
        <w:rPr/>
        <w:t>None identified.</w:t>
      </w:r>
    </w:p>
    <w:p>
      <w:pPr>
        <w:pStyle w:val="Heading2"/>
        <w:rPr/>
      </w:pPr>
      <w:bookmarkStart w:id="27" w:name="__RefHeading___Toc217730026"/>
      <w:bookmarkEnd w:id="27"/>
      <w:r>
        <w:rPr/>
        <w:t>1.6</w:t>
        <w:tab/>
        <w:t>Interactions with other supplementary services</w:t>
      </w:r>
    </w:p>
    <w:p>
      <w:pPr>
        <w:pStyle w:val="Heading3"/>
        <w:rPr/>
      </w:pPr>
      <w:bookmarkStart w:id="28" w:name="__RefHeading___Toc217730027"/>
      <w:bookmarkEnd w:id="28"/>
      <w:r>
        <w:rPr>
          <w:lang w:eastAsia="ja-JP"/>
        </w:rPr>
        <w:t>1.6.1</w:t>
        <w:tab/>
      </w:r>
      <w:r>
        <w:rPr>
          <w:lang w:eastAsia="ja-JP"/>
        </w:rPr>
        <w:t>SCUDIF</w:t>
      </w:r>
    </w:p>
    <w:p>
      <w:pPr>
        <w:pStyle w:val="Normal"/>
        <w:rPr>
          <w:lang w:eastAsia="ja-JP"/>
        </w:rPr>
      </w:pPr>
      <w:r>
        <w:rPr>
          <w:lang w:eastAsia="ja-JP"/>
        </w:rPr>
        <w:t xml:space="preserve">When the MS requires a bearer change, e.g. from Audio to Video or vice versa, the SCUDIF Mode modify procedure is performed </w:t>
      </w:r>
      <w:r>
        <w:rPr>
          <w:lang w:eastAsia="ja-JP"/>
        </w:rPr>
        <w:t xml:space="preserve">as </w:t>
      </w:r>
      <w:r>
        <w:rPr>
          <w:lang w:eastAsia="ja-JP"/>
        </w:rPr>
        <w:t>described in TS 23.172 [</w:t>
      </w:r>
      <w:r>
        <w:rPr>
          <w:lang w:eastAsia="ja-JP"/>
        </w:rPr>
        <w:t>5</w:t>
      </w:r>
      <w:r>
        <w:rPr>
          <w:lang w:eastAsia="ja-JP"/>
        </w:rPr>
        <w:t xml:space="preserve">]. </w:t>
      </w:r>
      <w:r>
        <w:rPr>
          <w:lang w:eastAsia="ja-JP"/>
        </w:rPr>
        <w:t>Depending on the operator’s policy, t</w:t>
      </w:r>
      <w:r>
        <w:rPr>
          <w:lang w:eastAsia="ja-JP"/>
        </w:rPr>
        <w:t xml:space="preserve">he success of the </w:t>
      </w:r>
      <w:r>
        <w:rPr>
          <w:lang w:eastAsia="ja-JP"/>
        </w:rPr>
        <w:t>procedure</w:t>
      </w:r>
      <w:r>
        <w:rPr>
          <w:lang w:eastAsia="ja-JP"/>
        </w:rPr>
        <w:t xml:space="preserve"> may </w:t>
      </w:r>
      <w:r>
        <w:rPr>
          <w:lang w:eastAsia="ja-JP"/>
        </w:rPr>
        <w:t>trigger</w:t>
      </w:r>
      <w:r>
        <w:rPr>
          <w:lang w:eastAsia="ja-JP"/>
        </w:rPr>
        <w:t xml:space="preserve"> a Facility message to convey new values for the CAI parameters. </w:t>
      </w:r>
      <w:r>
        <w:rPr>
          <w:lang w:val="en-US" w:eastAsia="en-US"/>
        </w:rPr>
        <w:t>On receipt of new CAI values</w:t>
      </w:r>
      <w:r>
        <w:rPr>
          <w:lang w:val="en-US" w:eastAsia="en-US"/>
        </w:rPr>
        <w:t xml:space="preserve"> triggered by a service change based on the  </w:t>
      </w:r>
      <w:r>
        <w:rPr>
          <w:lang w:val="en-US" w:eastAsia="en-US"/>
        </w:rPr>
        <w:t>SCUDIF</w:t>
      </w:r>
      <w:r>
        <w:rPr>
          <w:lang w:val="en-US" w:eastAsia="en-US"/>
        </w:rPr>
        <w:t xml:space="preserve"> supplementary service</w:t>
      </w:r>
      <w:r>
        <w:rPr>
          <w:lang w:val="en-US" w:eastAsia="en-US"/>
        </w:rPr>
        <w:t xml:space="preserve">, the MS shall reset CDUR and continue incrementing the CCM </w:t>
      </w:r>
      <w:r>
        <w:rPr>
          <w:lang w:val="en-US" w:eastAsia="en-US"/>
        </w:rPr>
        <w:t>using the new CAI parameters</w:t>
      </w:r>
      <w:r>
        <w:rPr>
          <w:lang w:val="en-US" w:eastAsia="en-US"/>
        </w:rPr>
        <w:t>. The MS shall add initial units to the CCM and measure units on a time basis using the new values.</w:t>
      </w:r>
    </w:p>
    <w:p>
      <w:pPr>
        <w:pStyle w:val="Heading3"/>
        <w:rPr>
          <w:lang w:eastAsia="ja-JP"/>
        </w:rPr>
      </w:pPr>
      <w:bookmarkStart w:id="29" w:name="__RefHeading___Toc217730028"/>
      <w:bookmarkEnd w:id="29"/>
      <w:r>
        <w:rPr>
          <w:lang w:eastAsia="ja-JP"/>
        </w:rPr>
        <w:t>1.6.2        Other</w:t>
      </w:r>
      <w:r>
        <w:rPr>
          <w:lang w:eastAsia="ja-JP"/>
        </w:rPr>
        <w:t xml:space="preserve"> supplementary services</w:t>
      </w:r>
    </w:p>
    <w:p>
      <w:pPr>
        <w:pStyle w:val="Normal"/>
        <w:rPr/>
      </w:pPr>
      <w:r>
        <w:rPr/>
        <w:t>No interaction.</w:t>
      </w:r>
    </w:p>
    <w:p>
      <w:pPr>
        <w:pStyle w:val="Normal"/>
        <w:rPr/>
      </w:pPr>
      <w:r>
        <w:rPr/>
        <w:t>Invocation of this supplementary service does not prevent use of any other Supplementary Service.</w:t>
      </w:r>
    </w:p>
    <w:p>
      <w:pPr>
        <w:pStyle w:val="Heading2"/>
        <w:numPr>
          <w:ilvl w:val="1"/>
          <w:numId w:val="2"/>
        </w:numPr>
        <w:rPr/>
      </w:pPr>
      <w:bookmarkStart w:id="30" w:name="__RefHeading___Toc217730029"/>
      <w:bookmarkEnd w:id="30"/>
      <w:r>
        <w:rPr/>
        <w:t>Multicall</w:t>
      </w:r>
    </w:p>
    <w:p>
      <w:pPr>
        <w:pStyle w:val="Normal"/>
        <w:rPr/>
      </w:pPr>
      <w:r>
        <w:rPr/>
        <w:t>See TS 22.135 [4].</w:t>
      </w:r>
    </w:p>
    <w:p>
      <w:pPr>
        <w:pStyle w:val="Normal"/>
        <w:rPr/>
      </w:pPr>
      <w:r>
        <w:rPr/>
      </w:r>
    </w:p>
    <w:p>
      <w:pPr>
        <w:pStyle w:val="Heading2"/>
        <w:rPr/>
      </w:pPr>
      <w:bookmarkStart w:id="31" w:name="__RefHeading___Toc217730030"/>
      <w:bookmarkEnd w:id="31"/>
      <w:r>
        <w:rPr/>
        <w:t>1.7</w:t>
        <w:tab/>
        <w:t>Interworking considerations</w:t>
      </w:r>
    </w:p>
    <w:p>
      <w:pPr>
        <w:pStyle w:val="Normal"/>
        <w:rPr/>
      </w:pPr>
      <w:r>
        <w:rPr/>
        <w:t>When interworking with PSPDN, a volume related charge may be incurred, as described in TS 22.024 [3].</w:t>
      </w:r>
    </w:p>
    <w:p>
      <w:pPr>
        <w:pStyle w:val="Heading1"/>
        <w:ind w:start="1134" w:hanging="1134"/>
        <w:rPr/>
      </w:pPr>
      <w:bookmarkStart w:id="32" w:name="__RefHeading___Toc217730031"/>
      <w:bookmarkEnd w:id="32"/>
      <w:r>
        <w:rPr/>
        <w:t>2</w:t>
        <w:tab/>
        <w:t>Advice Of Charge (Charging) (AoCC)</w:t>
      </w:r>
    </w:p>
    <w:p>
      <w:pPr>
        <w:pStyle w:val="Heading2"/>
        <w:rPr/>
      </w:pPr>
      <w:bookmarkStart w:id="33" w:name="__RefHeading___Toc217730032"/>
      <w:bookmarkEnd w:id="33"/>
      <w:r>
        <w:rPr/>
        <w:t>2.1</w:t>
        <w:tab/>
        <w:t>Definition</w:t>
      </w:r>
    </w:p>
    <w:p>
      <w:pPr>
        <w:pStyle w:val="Normal"/>
        <w:rPr/>
      </w:pPr>
      <w:r>
        <w:rPr/>
        <w:t>This service provides the means by which the MS may indicate the charge that will be made for the use of telecommunication services. It is intended for applications where the user is generally not the subscriber but is known to the subscriber, and where the user pays the subscriber, rather than the Service Provider.</w:t>
      </w:r>
    </w:p>
    <w:p>
      <w:pPr>
        <w:pStyle w:val="Normal"/>
        <w:rPr/>
      </w:pPr>
      <w:r>
        <w:rPr/>
        <w:t>The charge information is based as closely as possible on the charge that will be levied on the subscriber's bill in the Home PLMN. Where this charge cannot be stored in the MS, use of the telecommunications service shall be prevented as described below.</w:t>
      </w:r>
    </w:p>
    <w:p>
      <w:pPr>
        <w:pStyle w:val="Heading2"/>
        <w:rPr/>
      </w:pPr>
      <w:bookmarkStart w:id="34" w:name="__RefHeading___Toc217730033"/>
      <w:bookmarkEnd w:id="34"/>
      <w:r>
        <w:rPr/>
        <w:t>2.2</w:t>
        <w:tab/>
        <w:t>Description</w:t>
      </w:r>
    </w:p>
    <w:p>
      <w:pPr>
        <w:pStyle w:val="Heading3"/>
        <w:rPr/>
      </w:pPr>
      <w:bookmarkStart w:id="35" w:name="__RefHeading___Toc217730034"/>
      <w:bookmarkEnd w:id="35"/>
      <w:r>
        <w:rPr/>
        <w:t>2.2.1</w:t>
        <w:tab/>
        <w:t>Description</w:t>
      </w:r>
    </w:p>
    <w:p>
      <w:pPr>
        <w:pStyle w:val="Normal"/>
        <w:keepNext w:val="true"/>
        <w:keepLines/>
        <w:rPr/>
      </w:pPr>
      <w:r>
        <w:rPr/>
        <w:t>This supplementary service provides the MS with the information to produce an estimate of the cost of the service used. Charges are indicated for the call(s) in progress when mobile originated or for the roaming leg only when mobile terminated. Any charges for non-call related transactions, and for certain supplementary services, such as Call Forwarding are not indicated.</w:t>
      </w:r>
    </w:p>
    <w:p>
      <w:pPr>
        <w:pStyle w:val="Normal"/>
        <w:rPr/>
      </w:pPr>
      <w:r>
        <w:rPr/>
        <w:t>The MS will receive at the beginning of each call (and as necessary during the call) a message, the Charge Advice Information. This message contains the elements which together define the rate at which the call is to be charged, time dependence, data dependence and for unit increments - see TS 22.024 [3].</w:t>
      </w:r>
    </w:p>
    <w:p>
      <w:pPr>
        <w:pStyle w:val="Normal"/>
        <w:rPr/>
      </w:pPr>
      <w:r>
        <w:rPr/>
        <w:t>The MS shall still indicate appropriate charges even when roaming, based on Home PLMN units.</w:t>
      </w:r>
    </w:p>
    <w:p>
      <w:pPr>
        <w:pStyle w:val="Normal"/>
        <w:rPr/>
      </w:pPr>
      <w:r>
        <w:rPr/>
        <w:t>Where applicable, the volume charge for Packet data service, in addition to the normal time dependent and incremental charges, shall be indicated.</w:t>
      </w:r>
    </w:p>
    <w:p>
      <w:pPr>
        <w:pStyle w:val="Normal"/>
        <w:rPr/>
      </w:pPr>
      <w:r>
        <w:rPr/>
        <w:t>To indicate the charge per call the Mobile station shall display the units consumed so far during the present call(s) and maintain this value until the MS is switched off or a new call set-up is attempted.</w:t>
      </w:r>
    </w:p>
    <w:p>
      <w:pPr>
        <w:pStyle w:val="Normal"/>
        <w:rPr/>
      </w:pPr>
      <w:r>
        <w:rPr/>
        <w:t>Where required to indicate the total accumulated charge, the MS shall be able to display, and the SIM/USIM shall store in the ACM, the running cumulative unit charge. This value must be stored securely, and all reasonable steps shall be taken to ensure that the written value cannot be interrupted, reset or corrupted (except resetting under control of the unblocking key).</w:t>
      </w:r>
    </w:p>
    <w:p>
      <w:pPr>
        <w:pStyle w:val="Heading3"/>
        <w:rPr/>
      </w:pPr>
      <w:bookmarkStart w:id="36" w:name="__RefHeading___Toc217730035"/>
      <w:bookmarkEnd w:id="36"/>
      <w:r>
        <w:rPr/>
        <w:t>2.2.2</w:t>
        <w:tab/>
        <w:t>Applicability to telecommunication services</w:t>
      </w:r>
    </w:p>
    <w:p>
      <w:pPr>
        <w:pStyle w:val="Normal"/>
        <w:rPr/>
      </w:pPr>
      <w:r>
        <w:rPr/>
        <w:t>The applicability of this supplementary service is defined in TS 22.004 [2].</w:t>
      </w:r>
    </w:p>
    <w:p>
      <w:pPr>
        <w:pStyle w:val="Heading2"/>
        <w:rPr/>
      </w:pPr>
      <w:bookmarkStart w:id="37" w:name="__RefHeading___Toc217730036"/>
      <w:bookmarkEnd w:id="37"/>
      <w:r>
        <w:rPr/>
        <w:t>2.3</w:t>
        <w:tab/>
        <w:t>Normal procedures with successful outcome</w:t>
      </w:r>
    </w:p>
    <w:p>
      <w:pPr>
        <w:pStyle w:val="Heading3"/>
        <w:rPr/>
      </w:pPr>
      <w:bookmarkStart w:id="38" w:name="__RefHeading___Toc217730037"/>
      <w:bookmarkEnd w:id="38"/>
      <w:r>
        <w:rPr/>
        <w:t>2.3.1</w:t>
        <w:tab/>
        <w:t>Provision</w:t>
      </w:r>
    </w:p>
    <w:p>
      <w:pPr>
        <w:pStyle w:val="Normal"/>
        <w:rPr/>
      </w:pPr>
      <w:r>
        <w:rPr/>
        <w:t>This supplementary service will be provided after pre-arrangement with the service provider.</w:t>
      </w:r>
    </w:p>
    <w:p>
      <w:pPr>
        <w:pStyle w:val="Heading3"/>
        <w:rPr/>
      </w:pPr>
      <w:bookmarkStart w:id="39" w:name="__RefHeading___Toc217730038"/>
      <w:bookmarkEnd w:id="39"/>
      <w:r>
        <w:rPr/>
        <w:t>2.3.2</w:t>
        <w:tab/>
        <w:t>Withdrawal</w:t>
      </w:r>
    </w:p>
    <w:p>
      <w:pPr>
        <w:pStyle w:val="Normal"/>
        <w:rPr/>
      </w:pPr>
      <w:r>
        <w:rPr/>
        <w:t>This service will be withdrawn at the subscriber's request or for administrative reasons.</w:t>
      </w:r>
    </w:p>
    <w:p>
      <w:pPr>
        <w:pStyle w:val="Heading3"/>
        <w:rPr/>
      </w:pPr>
      <w:bookmarkStart w:id="40" w:name="__RefHeading___Toc217730039"/>
      <w:bookmarkEnd w:id="40"/>
      <w:r>
        <w:rPr/>
        <w:t>2.3.5</w:t>
        <w:tab/>
        <w:t>Activation</w:t>
      </w:r>
    </w:p>
    <w:p>
      <w:pPr>
        <w:pStyle w:val="Normal"/>
        <w:rPr/>
      </w:pPr>
      <w:r>
        <w:rPr/>
        <w:t>This supplementary service will be activated by the service provider as a result of provision.</w:t>
      </w:r>
    </w:p>
    <w:p>
      <w:pPr>
        <w:pStyle w:val="Heading3"/>
        <w:rPr/>
      </w:pPr>
      <w:bookmarkStart w:id="41" w:name="__RefHeading___Toc217730040"/>
      <w:bookmarkEnd w:id="41"/>
      <w:r>
        <w:rPr/>
        <w:t>2.3.6</w:t>
        <w:tab/>
        <w:t>Deactivation</w:t>
      </w:r>
    </w:p>
    <w:p>
      <w:pPr>
        <w:pStyle w:val="Normal"/>
        <w:rPr/>
      </w:pPr>
      <w:r>
        <w:rPr/>
        <w:t>This supplementary service will be deactivated by the service provider as a result of withdrawal.</w:t>
      </w:r>
    </w:p>
    <w:p>
      <w:pPr>
        <w:pStyle w:val="Heading3"/>
        <w:rPr/>
      </w:pPr>
      <w:bookmarkStart w:id="42" w:name="__RefHeading___Toc217730041"/>
      <w:bookmarkEnd w:id="42"/>
      <w:r>
        <w:rPr/>
        <w:t>2.3.7</w:t>
        <w:tab/>
        <w:t>Invocation</w:t>
      </w:r>
    </w:p>
    <w:p>
      <w:pPr>
        <w:pStyle w:val="Normal"/>
        <w:rPr/>
      </w:pPr>
      <w:r>
        <w:rPr/>
        <w:t>This supplementary service will be automatically invoked by the network for the use of all applicable telecommunications services.</w:t>
      </w:r>
    </w:p>
    <w:p>
      <w:pPr>
        <w:pStyle w:val="Heading3"/>
        <w:rPr/>
      </w:pPr>
      <w:bookmarkStart w:id="43" w:name="__RefHeading___Toc217730042"/>
      <w:bookmarkEnd w:id="43"/>
      <w:r>
        <w:rPr/>
        <w:t>2.3.8</w:t>
        <w:tab/>
        <w:t>Normal operation with successful outcome</w:t>
      </w:r>
    </w:p>
    <w:p>
      <w:pPr>
        <w:pStyle w:val="Normal"/>
        <w:keepNext w:val="true"/>
        <w:keepLines/>
        <w:rPr/>
      </w:pPr>
      <w:r>
        <w:rPr/>
        <w:t>For every applicable usage of telecommunication services, the served MS will be provided with charging information.</w:t>
      </w:r>
    </w:p>
    <w:p>
      <w:pPr>
        <w:pStyle w:val="Normal"/>
        <w:keepNext w:val="true"/>
        <w:keepLines/>
        <w:rPr/>
      </w:pPr>
      <w:r>
        <w:rPr/>
        <w:t>The MS shall send to the network a confirmation of receipt of this information.</w:t>
      </w:r>
    </w:p>
    <w:p>
      <w:pPr>
        <w:pStyle w:val="Heading2"/>
        <w:rPr/>
      </w:pPr>
      <w:bookmarkStart w:id="44" w:name="__RefHeading___Toc217730043"/>
      <w:bookmarkEnd w:id="44"/>
      <w:r>
        <w:rPr/>
        <w:t>2.4</w:t>
        <w:tab/>
        <w:t>Exceptional procedures or unsuccessful outcome</w:t>
      </w:r>
    </w:p>
    <w:p>
      <w:pPr>
        <w:pStyle w:val="Heading3"/>
        <w:rPr/>
      </w:pPr>
      <w:bookmarkStart w:id="45" w:name="__RefHeading___Toc217730044"/>
      <w:bookmarkEnd w:id="45"/>
      <w:r>
        <w:rPr/>
        <w:t>2.4.1</w:t>
        <w:tab/>
        <w:t>Operation in a PLMN that is unable to support the Charging Service</w:t>
      </w:r>
    </w:p>
    <w:p>
      <w:pPr>
        <w:pStyle w:val="Normal"/>
        <w:rPr/>
      </w:pPr>
      <w:r>
        <w:rPr/>
        <w:t>If the local PLMN is unable to support this service, all chargeable calls shall be prevented. This is determined either by the use of an HLR list of VPLMNs which support the service, or by the HLR interrogating the VPLMN. Prevention is achieved by refusing a Location Update Request to the VPLMN that does not support the service.</w:t>
      </w:r>
    </w:p>
    <w:p>
      <w:pPr>
        <w:pStyle w:val="Heading3"/>
        <w:rPr/>
      </w:pPr>
      <w:bookmarkStart w:id="46" w:name="__RefHeading___Toc217730045"/>
      <w:bookmarkEnd w:id="46"/>
      <w:r>
        <w:rPr/>
        <w:t>2.4.2</w:t>
        <w:tab/>
        <w:t>Charging when the MS is switched off or out of coverage</w:t>
      </w:r>
    </w:p>
    <w:p>
      <w:pPr>
        <w:pStyle w:val="Normal"/>
        <w:rPr/>
      </w:pPr>
      <w:r>
        <w:rPr/>
        <w:t>No AoC information is given by the network.</w:t>
      </w:r>
    </w:p>
    <w:p>
      <w:pPr>
        <w:pStyle w:val="Heading3"/>
        <w:rPr/>
      </w:pPr>
      <w:bookmarkStart w:id="47" w:name="__RefHeading___Toc217730046"/>
      <w:bookmarkEnd w:id="47"/>
      <w:r>
        <w:rPr/>
        <w:t>2.4.3</w:t>
        <w:tab/>
        <w:t>Operation with a MS unable to support AoC</w:t>
      </w:r>
    </w:p>
    <w:p>
      <w:pPr>
        <w:pStyle w:val="Normal"/>
        <w:rPr/>
      </w:pPr>
      <w:r>
        <w:rPr/>
        <w:t>If the MS does not support AoC, no advice of charge information will be provided to the user. Any calls attempted to be set up will be quickly terminated, once the network has failed to receive a positive acknowledgement of receipt of the Charge Advice Information, within a suitable time.</w:t>
      </w:r>
    </w:p>
    <w:p>
      <w:pPr>
        <w:pStyle w:val="Heading2"/>
        <w:rPr/>
      </w:pPr>
      <w:bookmarkStart w:id="48" w:name="__RefHeading___Toc217730047"/>
      <w:bookmarkEnd w:id="48"/>
      <w:r>
        <w:rPr/>
        <w:t>2.5</w:t>
        <w:tab/>
        <w:t>Alternate procedures</w:t>
      </w:r>
    </w:p>
    <w:p>
      <w:pPr>
        <w:pStyle w:val="Normal"/>
        <w:rPr/>
      </w:pPr>
      <w:r>
        <w:rPr/>
        <w:t>None identified.</w:t>
      </w:r>
    </w:p>
    <w:p>
      <w:pPr>
        <w:pStyle w:val="Heading2"/>
        <w:rPr/>
      </w:pPr>
      <w:bookmarkStart w:id="49" w:name="__RefHeading___Toc217730048"/>
      <w:bookmarkEnd w:id="49"/>
      <w:r>
        <w:rPr/>
        <w:t>2.6</w:t>
        <w:tab/>
        <w:t>Interactions with other supplementary services</w:t>
      </w:r>
    </w:p>
    <w:p>
      <w:pPr>
        <w:pStyle w:val="Heading3"/>
        <w:rPr/>
      </w:pPr>
      <w:bookmarkStart w:id="50" w:name="__RefHeading___Toc217730049"/>
      <w:bookmarkEnd w:id="50"/>
      <w:r>
        <w:rPr>
          <w:lang w:eastAsia="ja-JP"/>
        </w:rPr>
        <w:t>2.6.1</w:t>
        <w:tab/>
      </w:r>
      <w:r>
        <w:rPr>
          <w:lang w:eastAsia="ja-JP"/>
        </w:rPr>
        <w:t>SCUDIF</w:t>
      </w:r>
    </w:p>
    <w:p>
      <w:pPr>
        <w:pStyle w:val="Normal"/>
        <w:rPr>
          <w:lang w:eastAsia="ja-JP"/>
        </w:rPr>
      </w:pPr>
      <w:r>
        <w:rPr>
          <w:lang w:eastAsia="ja-JP"/>
        </w:rPr>
        <w:t xml:space="preserve">When the </w:t>
      </w:r>
      <w:r>
        <w:rPr>
          <w:lang w:eastAsia="ja-JP"/>
        </w:rPr>
        <w:t>MS</w:t>
      </w:r>
      <w:r>
        <w:rPr>
          <w:lang w:eastAsia="ja-JP"/>
        </w:rPr>
        <w:t xml:space="preserve"> requires a bearer change, e.g. from Audio to Video or vice versa, the SCUDIF Mode modify procedure is performed </w:t>
      </w:r>
      <w:r>
        <w:rPr>
          <w:lang w:eastAsia="ja-JP"/>
        </w:rPr>
        <w:t xml:space="preserve">as </w:t>
      </w:r>
      <w:r>
        <w:rPr>
          <w:lang w:eastAsia="ja-JP"/>
        </w:rPr>
        <w:t>described in TS 23.172 [</w:t>
      </w:r>
      <w:r>
        <w:rPr>
          <w:lang w:eastAsia="ja-JP"/>
        </w:rPr>
        <w:t>5</w:t>
      </w:r>
      <w:r>
        <w:rPr>
          <w:lang w:eastAsia="ja-JP"/>
        </w:rPr>
        <w:t xml:space="preserve">]. </w:t>
      </w:r>
      <w:r>
        <w:rPr>
          <w:lang w:eastAsia="ja-JP"/>
        </w:rPr>
        <w:t>Depending on the operator’s policy, t</w:t>
      </w:r>
      <w:r>
        <w:rPr>
          <w:lang w:eastAsia="ja-JP"/>
        </w:rPr>
        <w:t xml:space="preserve">he success of the </w:t>
      </w:r>
      <w:r>
        <w:rPr>
          <w:lang w:eastAsia="ja-JP"/>
        </w:rPr>
        <w:t>procedure</w:t>
      </w:r>
      <w:r>
        <w:rPr>
          <w:lang w:eastAsia="ja-JP"/>
        </w:rPr>
        <w:t xml:space="preserve"> may </w:t>
      </w:r>
      <w:r>
        <w:rPr>
          <w:lang w:eastAsia="ja-JP"/>
        </w:rPr>
        <w:t>trigger</w:t>
      </w:r>
      <w:r>
        <w:rPr>
          <w:lang w:eastAsia="ja-JP"/>
        </w:rPr>
        <w:t xml:space="preserve"> a Facility message to convey new values for the CAI parameters. </w:t>
      </w:r>
      <w:r>
        <w:rPr>
          <w:lang w:val="en-US" w:eastAsia="en-US"/>
        </w:rPr>
        <w:t>On receipt of new CAI values</w:t>
      </w:r>
      <w:r>
        <w:rPr>
          <w:lang w:val="en-US" w:eastAsia="en-US"/>
        </w:rPr>
        <w:t xml:space="preserve"> triggered by a service change based on the  </w:t>
      </w:r>
      <w:r>
        <w:rPr>
          <w:lang w:val="en-US" w:eastAsia="en-US"/>
        </w:rPr>
        <w:t>SCUDIF</w:t>
      </w:r>
      <w:r>
        <w:rPr>
          <w:lang w:val="en-US" w:eastAsia="en-US"/>
        </w:rPr>
        <w:t xml:space="preserve"> supplementary service</w:t>
      </w:r>
      <w:r>
        <w:rPr>
          <w:lang w:val="en-US" w:eastAsia="en-US"/>
        </w:rPr>
        <w:t xml:space="preserve">, the </w:t>
      </w:r>
      <w:r>
        <w:rPr>
          <w:lang w:eastAsia="ja-JP"/>
        </w:rPr>
        <w:t>MS</w:t>
      </w:r>
      <w:r>
        <w:rPr>
          <w:lang w:val="en-US" w:eastAsia="en-US"/>
        </w:rPr>
        <w:t xml:space="preserve"> shall reset CDUR and continue incrementing the CCM </w:t>
      </w:r>
      <w:r>
        <w:rPr>
          <w:lang w:val="en-US" w:eastAsia="en-US"/>
        </w:rPr>
        <w:t>using the new CAI parameters</w:t>
      </w:r>
      <w:r>
        <w:rPr>
          <w:lang w:val="en-US" w:eastAsia="en-US"/>
        </w:rPr>
        <w:t xml:space="preserve">. The </w:t>
      </w:r>
      <w:r>
        <w:rPr>
          <w:lang w:eastAsia="ja-JP"/>
        </w:rPr>
        <w:t>MS</w:t>
      </w:r>
      <w:r>
        <w:rPr>
          <w:lang w:val="en-US" w:eastAsia="en-US"/>
        </w:rPr>
        <w:t xml:space="preserve"> shall add initial units to the CCM and measure units on a time basis using the new values.</w:t>
      </w:r>
    </w:p>
    <w:p>
      <w:pPr>
        <w:pStyle w:val="Heading3"/>
        <w:rPr>
          <w:lang w:eastAsia="ja-JP"/>
        </w:rPr>
      </w:pPr>
      <w:bookmarkStart w:id="51" w:name="__RefHeading___Toc217730050"/>
      <w:bookmarkEnd w:id="51"/>
      <w:r>
        <w:rPr>
          <w:lang w:eastAsia="ja-JP"/>
        </w:rPr>
        <w:t>2.6.2        Other</w:t>
      </w:r>
      <w:r>
        <w:rPr>
          <w:lang w:eastAsia="ja-JP"/>
        </w:rPr>
        <w:t xml:space="preserve"> supplementary services</w:t>
      </w:r>
    </w:p>
    <w:p>
      <w:pPr>
        <w:pStyle w:val="Normal"/>
        <w:rPr/>
      </w:pPr>
      <w:r>
        <w:rPr/>
        <w:t>No interaction.</w:t>
      </w:r>
    </w:p>
    <w:p>
      <w:pPr>
        <w:pStyle w:val="Normal"/>
        <w:rPr/>
      </w:pPr>
      <w:r>
        <w:rPr/>
        <w:t>Invocation of this supplementary service does not prevent use of any other Supplementary Service, but in certain cases no charging information will be indicated. In this case, the subscriber should not subscribe to those Supplementary Services which need to be charged for, thereby inhibiting their use by another user.</w:t>
      </w:r>
    </w:p>
    <w:p>
      <w:pPr>
        <w:pStyle w:val="Heading2"/>
        <w:rPr/>
      </w:pPr>
      <w:bookmarkStart w:id="52" w:name="__RefHeading___Toc217730051"/>
      <w:bookmarkEnd w:id="52"/>
      <w:r>
        <w:rPr/>
        <w:t>2.7</w:t>
        <w:tab/>
        <w:t>Interworking considerations</w:t>
      </w:r>
    </w:p>
    <w:p>
      <w:pPr>
        <w:pStyle w:val="Normal"/>
        <w:rPr/>
      </w:pPr>
      <w:r>
        <w:rPr/>
        <w:t>When interworking with PSPDN, a volume related charge may be incurred, as described in TS 22.024 [3].</w:t>
      </w:r>
      <w:r>
        <w:br w:type="page"/>
      </w:r>
    </w:p>
    <w:p>
      <w:pPr>
        <w:pStyle w:val="Heading8"/>
        <w:ind w:start="0" w:hanging="0"/>
        <w:rPr/>
      </w:pPr>
      <w:bookmarkStart w:id="53" w:name="__RefHeading___Toc217730052"/>
      <w:bookmarkEnd w:id="53"/>
      <w:r>
        <w:rPr/>
        <w:t>Annex A (informative):</w:t>
        <w:br/>
        <w:t>Change history</w:t>
      </w:r>
    </w:p>
    <w:p>
      <w:pPr>
        <w:pStyle w:val="Normal"/>
        <w:rPr/>
      </w:pPr>
      <w:r>
        <w:rPr/>
      </w:r>
    </w:p>
    <w:tbl>
      <w:tblPr>
        <w:tblW w:w="9651" w:type="dxa"/>
        <w:jc w:val="start"/>
        <w:tblInd w:w="40" w:type="dxa"/>
        <w:tblCellMar>
          <w:top w:w="0" w:type="dxa"/>
          <w:start w:w="40" w:type="dxa"/>
          <w:bottom w:w="0" w:type="dxa"/>
          <w:end w:w="40" w:type="dxa"/>
        </w:tblCellMar>
      </w:tblPr>
      <w:tblGrid>
        <w:gridCol w:w="797"/>
        <w:gridCol w:w="899"/>
        <w:gridCol w:w="990"/>
        <w:gridCol w:w="708"/>
        <w:gridCol w:w="425"/>
        <w:gridCol w:w="427"/>
        <w:gridCol w:w="595"/>
        <w:gridCol w:w="394"/>
        <w:gridCol w:w="2408"/>
        <w:gridCol w:w="568"/>
        <w:gridCol w:w="568"/>
        <w:gridCol w:w="860"/>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8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2"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sz w:val="16"/>
              </w:rPr>
            </w:pPr>
            <w:r>
              <w:rPr>
                <w:sz w:val="16"/>
              </w:rPr>
              <w:t>02.86</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S1-99633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22.086</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8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SP-050212</w:t>
            </w:r>
          </w:p>
        </w:tc>
        <w:tc>
          <w:tcPr>
            <w:tcW w:w="99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S1-050399</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22.086</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004</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AoC for SCUDIF</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6.0.0</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SP-36</w:t>
            </w:r>
          </w:p>
        </w:tc>
        <w:tc>
          <w:tcPr>
            <w:tcW w:w="89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0"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22.086</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8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8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8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bl>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22.086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22.086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Advice of Charge (AoC) supplementary services;</w:t>
                            <w:br/>
                            <w:t>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Advice of Charge (AoC) supplementary services;</w:t>
                      <w:br/>
                      <w:t>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22.086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22.086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8"/>
      <w:numFmt w:val="decimal"/>
      <w:lvlText w:val="%1"/>
      <w:lvlJc w:val="start"/>
      <w:pPr>
        <w:tabs>
          <w:tab w:val="num" w:pos="1140"/>
        </w:tabs>
        <w:ind w:start="1140" w:hanging="1140"/>
      </w:pPr>
      <w:rPr/>
    </w:lvl>
    <w:lvl w:ilvl="1">
      <w:start w:val="2"/>
      <w:numFmt w:val="decimal"/>
      <w:lvlText w:val="%1.%2"/>
      <w:lvlJc w:val="start"/>
      <w:pPr>
        <w:tabs>
          <w:tab w:val="num" w:pos="1140"/>
        </w:tabs>
        <w:ind w:start="1140" w:hanging="1140"/>
      </w:pPr>
      <w:rPr/>
    </w:lvl>
    <w:lvl w:ilvl="2">
      <w:start w:val="1"/>
      <w:numFmt w:val="decimal"/>
      <w:lvlText w:val="%1.%2.%3"/>
      <w:lvlJc w:val="start"/>
      <w:pPr>
        <w:tabs>
          <w:tab w:val="num" w:pos="1140"/>
        </w:tabs>
        <w:ind w:start="1140" w:hanging="1140"/>
      </w:pPr>
      <w:rPr/>
    </w:lvl>
    <w:lvl w:ilvl="3">
      <w:start w:val="1"/>
      <w:numFmt w:val="decimal"/>
      <w:lvlText w:val="%1.%2.%3.%4"/>
      <w:lvlJc w:val="start"/>
      <w:pPr>
        <w:tabs>
          <w:tab w:val="num" w:pos="1140"/>
        </w:tabs>
        <w:ind w:start="1140" w:hanging="1140"/>
      </w:pPr>
      <w:rPr/>
    </w:lvl>
    <w:lvl w:ilvl="4">
      <w:start w:val="1"/>
      <w:numFmt w:val="decimal"/>
      <w:lvlText w:val="%1.%2.%3.%4.%5"/>
      <w:lvlJc w:val="start"/>
      <w:pPr>
        <w:tabs>
          <w:tab w:val="num" w:pos="1140"/>
        </w:tabs>
        <w:ind w:start="1140" w:hanging="1140"/>
      </w:pPr>
      <w:rPr/>
    </w:lvl>
    <w:lvl w:ilvl="5">
      <w:start w:val="1"/>
      <w:numFmt w:val="decimal"/>
      <w:lvlText w:val="%1.%2.%3.%4.%5.%6"/>
      <w:lvlJc w:val="start"/>
      <w:pPr>
        <w:tabs>
          <w:tab w:val="num" w:pos="1140"/>
        </w:tabs>
        <w:ind w:start="1140" w:hanging="1140"/>
      </w:pPr>
      <w:rPr/>
    </w:lvl>
    <w:lvl w:ilvl="6">
      <w:start w:val="1"/>
      <w:numFmt w:val="decimal"/>
      <w:lvlText w:val="%1.%2.%3.%4.%5.%6.%7"/>
      <w:lvlJc w:val="start"/>
      <w:pPr>
        <w:tabs>
          <w:tab w:val="num" w:pos="1140"/>
        </w:tabs>
        <w:ind w:start="1140" w:hanging="11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440"/>
        </w:tabs>
        <w:ind w:start="1440" w:hanging="1440"/>
      </w:pPr>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2009-12-19T22:17:00Z</dcterms:created>
  <dc:creator>MCC Support</dc:creator>
  <dc:description/>
  <cp:keywords>LTE-Advanced LTE GSM UMTS AOC supplementary service stage 1</cp:keywords>
  <dc:language>en-US</dc:language>
  <cp:lastModifiedBy>Alain Sultan</cp:lastModifiedBy>
  <cp:lastPrinted>1999-05-20T09:50:00Z</cp:lastPrinted>
  <dcterms:modified xsi:type="dcterms:W3CDTF">2011-04-08T09:14:00Z</dcterms:modified>
  <cp:revision>4</cp:revision>
  <dc:subject>Advice of Charge (AoC) supplementary services;Stage 1 (Release 10)</dc:subject>
  <dc:title>3GPP TS 22.086</dc:title>
</cp:coreProperties>
</file>