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38420" cy="452755"/>
                <wp:effectExtent l="0" t="0" r="0" b="0"/>
                <wp:wrapTopAndBottom/>
                <wp:docPr id="11" name="Frame7"/>
                <a:graphic xmlns:a="http://schemas.openxmlformats.org/drawingml/2006/main">
                  <a:graphicData uri="http://schemas.microsoft.com/office/word/2010/wordprocessingShape">
                    <wps:wsp>
                      <wps:cNvSpPr txBox="1"/>
                      <wps:spPr>
                        <a:xfrm>
                          <a:off x="0" y="0"/>
                          <a:ext cx="5138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LTE, multimedia</w:t>
                            </w:r>
                          </w:p>
                        </w:txbxContent>
                      </wps:txbx>
                      <wps:bodyPr anchor="t" lIns="0" tIns="0" rIns="0" bIns="12700">
                        <a:noAutofit/>
                      </wps:bodyPr>
                    </wps:wsp>
                  </a:graphicData>
                </a:graphic>
              </wp:anchor>
            </w:drawing>
          </mc:Choice>
          <mc:Fallback>
            <w:pict>
              <v:rect fillcolor="#FFFFFF" style="position:absolute;rotation:0;width:40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LTE, multimedia</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718356">
            <w:r>
              <w:rPr>
                <w:rStyle w:val="IndexLink"/>
              </w:rPr>
              <w:t>4</w:t>
            </w:r>
          </w:hyperlink>
        </w:p>
        <w:p>
          <w:pPr>
            <w:pStyle w:val="Contents1"/>
            <w:tabs>
              <w:tab w:val="clear" w:pos="9639"/>
              <w:tab w:val="right" w:pos="9640" w:leader="dot"/>
            </w:tabs>
            <w:bidi w:val="0"/>
            <w:jc w:val="start"/>
            <w:rPr/>
          </w:pPr>
          <w:r>
            <w:rPr/>
            <w:t>Introduction</w:t>
            <w:tab/>
          </w:r>
          <w:hyperlink w:anchor="__RefHeading___Toc273718357">
            <w:r>
              <w:rPr>
                <w:rStyle w:val="IndexLink"/>
              </w:rPr>
              <w:t>4</w:t>
            </w:r>
          </w:hyperlink>
        </w:p>
        <w:p>
          <w:pPr>
            <w:pStyle w:val="Contents1"/>
            <w:tabs>
              <w:tab w:val="clear" w:pos="9639"/>
              <w:tab w:val="right" w:pos="9640" w:leader="dot"/>
            </w:tabs>
            <w:bidi w:val="0"/>
            <w:jc w:val="start"/>
            <w:rPr/>
          </w:pPr>
          <w:r>
            <w:rPr/>
            <w:t>1 Scope</w:t>
            <w:tab/>
          </w:r>
          <w:hyperlink w:anchor="__RefHeading___Toc273718358">
            <w:r>
              <w:rPr>
                <w:rStyle w:val="IndexLink"/>
              </w:rPr>
              <w:t>5</w:t>
            </w:r>
          </w:hyperlink>
        </w:p>
        <w:p>
          <w:pPr>
            <w:pStyle w:val="Contents1"/>
            <w:tabs>
              <w:tab w:val="clear" w:pos="9639"/>
              <w:tab w:val="right" w:pos="9640" w:leader="dot"/>
            </w:tabs>
            <w:bidi w:val="0"/>
            <w:jc w:val="start"/>
            <w:rPr/>
          </w:pPr>
          <w:r>
            <w:rPr/>
            <w:t>2 References</w:t>
            <w:tab/>
          </w:r>
          <w:hyperlink w:anchor="__RefHeading___Toc273718359">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73718360">
            <w:r>
              <w:rPr>
                <w:rStyle w:val="IndexLink"/>
              </w:rPr>
              <w:t>5</w:t>
            </w:r>
          </w:hyperlink>
        </w:p>
        <w:p>
          <w:pPr>
            <w:pStyle w:val="Contents2"/>
            <w:tabs>
              <w:tab w:val="clear" w:pos="9639"/>
              <w:tab w:val="right" w:pos="9640" w:leader="dot"/>
            </w:tabs>
            <w:bidi w:val="0"/>
            <w:jc w:val="start"/>
            <w:rPr/>
          </w:pPr>
          <w:r>
            <w:rPr/>
            <w:t>3.1 Definitions</w:t>
            <w:tab/>
          </w:r>
          <w:hyperlink w:anchor="__RefHeading___Toc273718361">
            <w:r>
              <w:rPr>
                <w:rStyle w:val="IndexLink"/>
              </w:rPr>
              <w:t>5</w:t>
            </w:r>
          </w:hyperlink>
        </w:p>
        <w:p>
          <w:pPr>
            <w:pStyle w:val="Contents2"/>
            <w:tabs>
              <w:tab w:val="clear" w:pos="9639"/>
              <w:tab w:val="right" w:pos="9640" w:leader="dot"/>
            </w:tabs>
            <w:bidi w:val="0"/>
            <w:jc w:val="start"/>
            <w:rPr/>
          </w:pPr>
          <w:r>
            <w:rPr/>
            <w:t>3.2 Abbreviations</w:t>
            <w:tab/>
          </w:r>
          <w:hyperlink w:anchor="__RefHeading___Toc273718362">
            <w:r>
              <w:rPr>
                <w:rStyle w:val="IndexLink"/>
              </w:rPr>
              <w:t>5</w:t>
            </w:r>
          </w:hyperlink>
        </w:p>
        <w:p>
          <w:pPr>
            <w:pStyle w:val="Contents1"/>
            <w:tabs>
              <w:tab w:val="clear" w:pos="9639"/>
              <w:tab w:val="right" w:pos="9640" w:leader="dot"/>
            </w:tabs>
            <w:bidi w:val="0"/>
            <w:jc w:val="start"/>
            <w:rPr/>
          </w:pPr>
          <w:r>
            <w:rPr/>
            <w:t>4 General description</w:t>
            <w:tab/>
          </w:r>
          <w:hyperlink w:anchor="__RefHeading___Toc273718363">
            <w:r>
              <w:rPr>
                <w:rStyle w:val="IndexLink"/>
              </w:rPr>
              <w:t>6</w:t>
            </w:r>
          </w:hyperlink>
        </w:p>
        <w:p>
          <w:pPr>
            <w:pStyle w:val="Contents1"/>
            <w:tabs>
              <w:tab w:val="clear" w:pos="9639"/>
              <w:tab w:val="right" w:pos="9640" w:leader="dot"/>
            </w:tabs>
            <w:bidi w:val="0"/>
            <w:jc w:val="start"/>
            <w:rPr/>
          </w:pPr>
          <w:r>
            <w:rPr/>
            <w:t>5 High level requirements</w:t>
            <w:tab/>
          </w:r>
          <w:hyperlink w:anchor="__RefHeading___Toc273718364">
            <w:r>
              <w:rPr>
                <w:rStyle w:val="IndexLink"/>
              </w:rPr>
              <w:t>6</w:t>
            </w:r>
          </w:hyperlink>
        </w:p>
        <w:p>
          <w:pPr>
            <w:pStyle w:val="Contents2"/>
            <w:tabs>
              <w:tab w:val="clear" w:pos="9639"/>
              <w:tab w:val="right" w:pos="9640" w:leader="dot"/>
            </w:tabs>
            <w:bidi w:val="0"/>
            <w:jc w:val="start"/>
            <w:rPr/>
          </w:pPr>
          <w:r>
            <w:rPr/>
            <w:t>5.1 General</w:t>
            <w:tab/>
          </w:r>
          <w:hyperlink w:anchor="__RefHeading___Toc273718365">
            <w:r>
              <w:rPr>
                <w:rStyle w:val="IndexLink"/>
              </w:rPr>
              <w:t>6</w:t>
            </w:r>
          </w:hyperlink>
        </w:p>
        <w:p>
          <w:pPr>
            <w:pStyle w:val="Contents2"/>
            <w:tabs>
              <w:tab w:val="clear" w:pos="9639"/>
              <w:tab w:val="right" w:pos="9640" w:leader="dot"/>
            </w:tabs>
            <w:bidi w:val="0"/>
            <w:jc w:val="start"/>
            <w:rPr/>
          </w:pPr>
          <w:r>
            <w:rPr/>
            <w:t>5.2 Priority session treatment in originating network</w:t>
            <w:tab/>
          </w:r>
          <w:hyperlink w:anchor="__RefHeading___Toc273718366">
            <w:r>
              <w:rPr>
                <w:rStyle w:val="IndexLink"/>
              </w:rPr>
              <w:t>6</w:t>
            </w:r>
          </w:hyperlink>
        </w:p>
        <w:p>
          <w:pPr>
            <w:pStyle w:val="Contents2"/>
            <w:tabs>
              <w:tab w:val="clear" w:pos="9639"/>
              <w:tab w:val="right" w:pos="9640" w:leader="dot"/>
            </w:tabs>
            <w:bidi w:val="0"/>
            <w:jc w:val="start"/>
            <w:rPr/>
          </w:pPr>
          <w:r>
            <w:rPr/>
            <w:t>5.3 Priority session progression</w:t>
            <w:tab/>
          </w:r>
          <w:hyperlink w:anchor="__RefHeading___Toc273718367">
            <w:r>
              <w:rPr>
                <w:rStyle w:val="IndexLink"/>
              </w:rPr>
              <w:t>6</w:t>
            </w:r>
          </w:hyperlink>
        </w:p>
        <w:p>
          <w:pPr>
            <w:pStyle w:val="Contents2"/>
            <w:tabs>
              <w:tab w:val="clear" w:pos="9639"/>
              <w:tab w:val="right" w:pos="9640" w:leader="dot"/>
            </w:tabs>
            <w:bidi w:val="0"/>
            <w:jc w:val="start"/>
            <w:rPr/>
          </w:pPr>
          <w:r>
            <w:rPr/>
            <w:t>5.4 Priority session treatment in terminating network</w:t>
            <w:tab/>
          </w:r>
          <w:hyperlink w:anchor="__RefHeading___Toc273718368">
            <w:r>
              <w:rPr>
                <w:rStyle w:val="IndexLink"/>
              </w:rPr>
              <w:t>6</w:t>
            </w:r>
          </w:hyperlink>
        </w:p>
        <w:p>
          <w:pPr>
            <w:pStyle w:val="Contents2"/>
            <w:tabs>
              <w:tab w:val="clear" w:pos="9639"/>
              <w:tab w:val="right" w:pos="9640" w:leader="dot"/>
            </w:tabs>
            <w:bidi w:val="0"/>
            <w:jc w:val="start"/>
            <w:rPr/>
          </w:pPr>
          <w:r>
            <w:rPr/>
            <w:t>5.4a Priority Data Bearer Service</w:t>
            <w:tab/>
          </w:r>
          <w:hyperlink w:anchor="__RefHeading___Toc273718369">
            <w:r>
              <w:rPr>
                <w:rStyle w:val="IndexLink"/>
              </w:rPr>
              <w:t>7</w:t>
            </w:r>
          </w:hyperlink>
        </w:p>
        <w:p>
          <w:pPr>
            <w:pStyle w:val="Contents2"/>
            <w:tabs>
              <w:tab w:val="clear" w:pos="9639"/>
              <w:tab w:val="right" w:pos="9640" w:leader="dot"/>
            </w:tabs>
            <w:bidi w:val="0"/>
            <w:jc w:val="start"/>
            <w:rPr/>
          </w:pPr>
          <w:r>
            <w:rPr/>
            <w:t>5.5 Priority levels</w:t>
            <w:tab/>
          </w:r>
          <w:hyperlink w:anchor="__RefHeading___Toc273718370">
            <w:r>
              <w:rPr>
                <w:rStyle w:val="IndexLink"/>
              </w:rPr>
              <w:t>7</w:t>
            </w:r>
          </w:hyperlink>
        </w:p>
        <w:p>
          <w:pPr>
            <w:pStyle w:val="Contents2"/>
            <w:tabs>
              <w:tab w:val="clear" w:pos="9639"/>
              <w:tab w:val="right" w:pos="9640" w:leader="dot"/>
            </w:tabs>
            <w:bidi w:val="0"/>
            <w:jc w:val="start"/>
            <w:rPr/>
          </w:pPr>
          <w:r>
            <w:rPr/>
            <w:t>5.6 Invocation on demand</w:t>
            <w:tab/>
          </w:r>
          <w:hyperlink w:anchor="__RefHeading___Toc273718371">
            <w:r>
              <w:rPr>
                <w:rStyle w:val="IndexLink"/>
              </w:rPr>
              <w:t>7</w:t>
            </w:r>
          </w:hyperlink>
        </w:p>
        <w:p>
          <w:pPr>
            <w:pStyle w:val="Contents2"/>
            <w:tabs>
              <w:tab w:val="clear" w:pos="9639"/>
              <w:tab w:val="right" w:pos="9640" w:leader="dot"/>
            </w:tabs>
            <w:bidi w:val="0"/>
            <w:jc w:val="start"/>
            <w:rPr/>
          </w:pPr>
          <w:r>
            <w:rPr/>
            <w:t>5.7 Multimedia priority service code/identifier</w:t>
            <w:tab/>
          </w:r>
          <w:hyperlink w:anchor="__RefHeading___Toc273718372">
            <w:r>
              <w:rPr>
                <w:rStyle w:val="IndexLink"/>
              </w:rPr>
              <w:t>7</w:t>
            </w:r>
          </w:hyperlink>
        </w:p>
        <w:p>
          <w:pPr>
            <w:pStyle w:val="Contents2"/>
            <w:tabs>
              <w:tab w:val="clear" w:pos="9639"/>
              <w:tab w:val="right" w:pos="9640" w:leader="dot"/>
            </w:tabs>
            <w:bidi w:val="0"/>
            <w:jc w:val="start"/>
            <w:rPr/>
          </w:pPr>
          <w:r>
            <w:rPr/>
            <w:t>5.8 Roaming</w:t>
            <w:tab/>
          </w:r>
          <w:hyperlink w:anchor="__RefHeading___Toc273718373">
            <w:r>
              <w:rPr>
                <w:rStyle w:val="IndexLink"/>
              </w:rPr>
              <w:t>7</w:t>
            </w:r>
          </w:hyperlink>
        </w:p>
        <w:p>
          <w:pPr>
            <w:pStyle w:val="Contents2"/>
            <w:tabs>
              <w:tab w:val="clear" w:pos="9639"/>
              <w:tab w:val="right" w:pos="9640" w:leader="dot"/>
            </w:tabs>
            <w:bidi w:val="0"/>
            <w:jc w:val="start"/>
            <w:rPr/>
          </w:pPr>
          <w:r>
            <w:rPr/>
            <w:t>5.9 Handover</w:t>
            <w:tab/>
          </w:r>
          <w:hyperlink w:anchor="__RefHeading___Toc273718374">
            <w:r>
              <w:rPr>
                <w:rStyle w:val="IndexLink"/>
              </w:rPr>
              <w:t>8</w:t>
            </w:r>
          </w:hyperlink>
        </w:p>
        <w:p>
          <w:pPr>
            <w:pStyle w:val="Contents2"/>
            <w:tabs>
              <w:tab w:val="clear" w:pos="9639"/>
              <w:tab w:val="right" w:pos="9640" w:leader="dot"/>
            </w:tabs>
            <w:bidi w:val="0"/>
            <w:jc w:val="start"/>
            <w:rPr/>
          </w:pPr>
          <w:r>
            <w:rPr/>
            <w:t>5.10 Interworking with CS domain</w:t>
            <w:tab/>
          </w:r>
          <w:hyperlink w:anchor="__RefHeading___Toc273718375">
            <w:r>
              <w:rPr>
                <w:rStyle w:val="IndexLink"/>
              </w:rPr>
              <w:t>8</w:t>
            </w:r>
          </w:hyperlink>
        </w:p>
        <w:p>
          <w:pPr>
            <w:pStyle w:val="Contents3"/>
            <w:tabs>
              <w:tab w:val="clear" w:pos="9639"/>
              <w:tab w:val="right" w:pos="9640" w:leader="dot"/>
            </w:tabs>
            <w:bidi w:val="0"/>
            <w:jc w:val="start"/>
            <w:rPr/>
          </w:pPr>
          <w:r>
            <w:rPr/>
            <w:t>5.10.1 Mobile origination in the CS domain -&gt; MPS mobile termination</w:t>
            <w:tab/>
          </w:r>
          <w:hyperlink w:anchor="__RefHeading___Toc273718376">
            <w:r>
              <w:rPr>
                <w:rStyle w:val="IndexLink"/>
              </w:rPr>
              <w:t>8</w:t>
            </w:r>
          </w:hyperlink>
        </w:p>
        <w:p>
          <w:pPr>
            <w:pStyle w:val="Contents3"/>
            <w:tabs>
              <w:tab w:val="clear" w:pos="9639"/>
              <w:tab w:val="right" w:pos="9640" w:leader="dot"/>
            </w:tabs>
            <w:bidi w:val="0"/>
            <w:jc w:val="start"/>
            <w:rPr/>
          </w:pPr>
          <w:r>
            <w:rPr/>
            <w:t>5.10.2 MPS mobile origination -&gt; mobile termination to the CS domain</w:t>
            <w:tab/>
          </w:r>
          <w:hyperlink w:anchor="__RefHeading___Toc273718377">
            <w:r>
              <w:rPr>
                <w:rStyle w:val="IndexLink"/>
              </w:rPr>
              <w:t>8</w:t>
            </w:r>
          </w:hyperlink>
        </w:p>
        <w:p>
          <w:pPr>
            <w:pStyle w:val="Contents1"/>
            <w:tabs>
              <w:tab w:val="clear" w:pos="9639"/>
              <w:tab w:val="right" w:pos="9640" w:leader="dot"/>
            </w:tabs>
            <w:bidi w:val="0"/>
            <w:jc w:val="start"/>
            <w:rPr/>
          </w:pPr>
          <w:r>
            <w:rPr/>
            <w:t>6 MMI aspects</w:t>
            <w:tab/>
          </w:r>
          <w:hyperlink w:anchor="__RefHeading___Toc273718378">
            <w:r>
              <w:rPr>
                <w:rStyle w:val="IndexLink"/>
              </w:rPr>
              <w:t>8</w:t>
            </w:r>
          </w:hyperlink>
        </w:p>
        <w:p>
          <w:pPr>
            <w:pStyle w:val="Contents1"/>
            <w:tabs>
              <w:tab w:val="clear" w:pos="9639"/>
              <w:tab w:val="right" w:pos="9640" w:leader="dot"/>
            </w:tabs>
            <w:bidi w:val="0"/>
            <w:jc w:val="start"/>
            <w:rPr/>
          </w:pPr>
          <w:r>
            <w:rPr/>
            <w:t>7 Security and privacy</w:t>
            <w:tab/>
          </w:r>
          <w:hyperlink w:anchor="__RefHeading___Toc273718379">
            <w:r>
              <w:rPr>
                <w:rStyle w:val="IndexLink"/>
              </w:rPr>
              <w:t>8</w:t>
            </w:r>
          </w:hyperlink>
        </w:p>
        <w:p>
          <w:pPr>
            <w:pStyle w:val="Contents1"/>
            <w:tabs>
              <w:tab w:val="clear" w:pos="9639"/>
              <w:tab w:val="right" w:pos="9640" w:leader="dot"/>
            </w:tabs>
            <w:bidi w:val="0"/>
            <w:jc w:val="start"/>
            <w:rPr/>
          </w:pPr>
          <w:r>
            <w:rPr/>
            <w:t>8 Charging aspects</w:t>
            <w:tab/>
          </w:r>
          <w:hyperlink w:anchor="__RefHeading___Toc273718380">
            <w:r>
              <w:rPr>
                <w:rStyle w:val="IndexLink"/>
              </w:rPr>
              <w:t>8</w:t>
            </w:r>
          </w:hyperlink>
        </w:p>
        <w:p>
          <w:pPr>
            <w:pStyle w:val="Contents8"/>
            <w:tabs>
              <w:tab w:val="clear" w:pos="9639"/>
              <w:tab w:val="right" w:pos="9640" w:leader="dot"/>
            </w:tabs>
            <w:bidi w:val="0"/>
            <w:jc w:val="start"/>
            <w:rPr/>
          </w:pPr>
          <w:r>
            <w:rPr/>
            <w:t>Annex A (informative): Change history</w:t>
            <w:tab/>
          </w:r>
          <w:hyperlink w:anchor="__RefHeading___Toc273718381">
            <w:r>
              <w:rPr>
                <w:rStyle w:val="IndexLink"/>
              </w:rPr>
              <w:t>9</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7371835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73718357"/>
      <w:bookmarkEnd w:id="8"/>
      <w:r>
        <w:rPr/>
        <w:t>Introduction</w:t>
      </w:r>
    </w:p>
    <w:p>
      <w:pPr>
        <w:pStyle w:val="Normal"/>
        <w:rPr/>
      </w:pPr>
      <w:r>
        <w:rPr/>
        <w:t>The response to emergency situations (e.g.,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pPr>
        <w:pStyle w:val="Normal"/>
        <w:rPr/>
      </w:pPr>
      <w:r>
        <w:rPr/>
        <w:t>Multimedia Priority Service, supported by the 3GPP system set of services and features, is one element creating the ability to deliver calls or complete sessions of a high priority nature from mobile to mobile networks, mobile to fixed networks, and fixed to mobile networks.</w:t>
      </w:r>
      <w:r>
        <w:br w:type="page"/>
      </w:r>
    </w:p>
    <w:p>
      <w:pPr>
        <w:pStyle w:val="Heading1"/>
        <w:bidi w:val="0"/>
        <w:ind w:start="1134" w:hanging="1134"/>
        <w:jc w:val="start"/>
        <w:rPr/>
      </w:pPr>
      <w:bookmarkStart w:id="9" w:name="__RefHeading___Toc273718358"/>
      <w:bookmarkEnd w:id="9"/>
      <w:r>
        <w:rPr/>
        <w:t>1</w:t>
        <w:tab/>
        <w:t>Scope</w:t>
      </w:r>
    </w:p>
    <w:p>
      <w:pPr>
        <w:pStyle w:val="Normal"/>
        <w:rPr/>
      </w:pPr>
      <w:r>
        <w:rPr/>
        <w:t>The present document specifies the service requirements for Multimedia Priority Service (MPS).</w:t>
      </w:r>
    </w:p>
    <w:p>
      <w:pPr>
        <w:pStyle w:val="Normal"/>
        <w:rPr/>
      </w:pPr>
      <w:r>
        <w:rPr/>
        <w:t>The scope of this document is to specify those requirements of MPS necessary to provide an end-to-end service and to interwork with external networks where needed. Service interactions with external networks are considered within the scope of this document although these interactions may be specified in other standards.</w:t>
      </w:r>
    </w:p>
    <w:p>
      <w:pPr>
        <w:pStyle w:val="Heading1"/>
        <w:bidi w:val="0"/>
        <w:ind w:start="1134" w:hanging="1134"/>
        <w:jc w:val="start"/>
        <w:rPr/>
      </w:pPr>
      <w:bookmarkStart w:id="10" w:name="__RefHeading___Toc27371835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21.905: "Vocabulary for 3GPP Specifications".</w:t>
      </w:r>
    </w:p>
    <w:p>
      <w:pPr>
        <w:pStyle w:val="EX"/>
        <w:keepNext w:val="true"/>
        <w:rPr/>
      </w:pPr>
      <w:r>
        <w:rPr/>
        <w:t>[2]</w:t>
        <w:tab/>
        <w:t>3GPP TR 22.952: "Priority Service Guide".</w:t>
      </w:r>
    </w:p>
    <w:p>
      <w:pPr>
        <w:pStyle w:val="EX"/>
        <w:keepNext w:val="true"/>
        <w:rPr/>
      </w:pPr>
      <w:r>
        <w:rPr/>
        <w:t>[3]</w:t>
        <w:tab/>
        <w:t>3GPP TS 22.067: "enhanced Multi-Level Precedence and Pre-emption service (eMLPP); Stage 1".</w:t>
      </w:r>
    </w:p>
    <w:p>
      <w:pPr>
        <w:pStyle w:val="EX"/>
        <w:keepNext w:val="true"/>
        <w:rPr/>
      </w:pPr>
      <w:r>
        <w:rPr/>
        <w:t>[4]</w:t>
        <w:tab/>
        <w:t>3GPP TS 23.067: "enhanced Multi-Level Precedence and Pre-emption service (eMLPP); Stage 2".</w:t>
      </w:r>
    </w:p>
    <w:p>
      <w:pPr>
        <w:pStyle w:val="EX"/>
        <w:keepNext w:val="true"/>
        <w:rPr/>
      </w:pPr>
      <w:r>
        <w:rPr/>
        <w:t>[5]</w:t>
        <w:tab/>
        <w:t>3GPP TS 24.067: "enhanced Multi-Level Precedence and Pre-emption service (eMLPP); Stage 3".</w:t>
      </w:r>
    </w:p>
    <w:p>
      <w:pPr>
        <w:pStyle w:val="Heading1"/>
        <w:bidi w:val="0"/>
        <w:ind w:start="1134" w:hanging="1134"/>
        <w:jc w:val="start"/>
        <w:rPr/>
      </w:pPr>
      <w:bookmarkStart w:id="11" w:name="__RefHeading___Toc273718360"/>
      <w:bookmarkEnd w:id="11"/>
      <w:r>
        <w:rPr/>
        <w:t>3</w:t>
        <w:tab/>
        <w:t>Definitions and abbreviations</w:t>
      </w:r>
    </w:p>
    <w:p>
      <w:pPr>
        <w:pStyle w:val="Heading2"/>
        <w:bidi w:val="0"/>
        <w:jc w:val="start"/>
        <w:rPr/>
      </w:pPr>
      <w:bookmarkStart w:id="12" w:name="__RefHeading___Toc27371836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Service User:</w:t>
      </w:r>
      <w:r>
        <w:rPr/>
        <w:tab/>
        <w:t>An individual who has received a priority level assignment from a regional/national authority (i.e., an agency authorised to issue priority assignments) and has a subscription to a mobile network operator that supports the MPS feature.</w:t>
      </w:r>
    </w:p>
    <w:p>
      <w:pPr>
        <w:pStyle w:val="Heading2"/>
        <w:bidi w:val="0"/>
        <w:jc w:val="start"/>
        <w:rPr/>
      </w:pPr>
      <w:bookmarkStart w:id="13" w:name="__RefHeading___Toc27371836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b/>
          <w:bCs/>
          <w:lang w:val="en-US"/>
        </w:rPr>
        <w:t>MPS</w:t>
      </w:r>
      <w:r>
        <w:rPr>
          <w:lang w:val="en-US"/>
        </w:rPr>
        <w:t xml:space="preserve"> </w:t>
        <w:tab/>
        <w:t>Multimedia Priority Service</w:t>
        <w:br/>
      </w:r>
    </w:p>
    <w:p>
      <w:pPr>
        <w:pStyle w:val="Heading1"/>
        <w:bidi w:val="0"/>
        <w:ind w:start="1134" w:hanging="1134"/>
        <w:jc w:val="start"/>
        <w:rPr/>
      </w:pPr>
      <w:bookmarkStart w:id="14" w:name="__RefHeading___Toc273718363"/>
      <w:bookmarkEnd w:id="14"/>
      <w:r>
        <w:rPr/>
        <w:t>4</w:t>
        <w:tab/>
        <w:t>General description</w:t>
      </w:r>
    </w:p>
    <w:p>
      <w:pPr>
        <w:pStyle w:val="Normal"/>
        <w:rPr/>
      </w:pPr>
      <w:r>
        <w:rPr/>
        <w:t>MPS allows qualified and authorized users to obtain priority access to the next available radio channel on a priority basis before other PLMN users, during situations when PLMN congestion is blocking session establishment attempts. In addition, MPS supports priority sessions on an "end-to-end" priority basis.</w:t>
      </w:r>
    </w:p>
    <w:p>
      <w:pPr>
        <w:pStyle w:val="Normal"/>
        <w:rPr/>
      </w:pPr>
      <w:r>
        <w:rPr/>
        <w:t>MPS is intended to be utilised for Voice, Video, and Data bearer services in the Packet-switched (PS) domain and the IP Multimedia Subsystem (IMS).</w:t>
      </w:r>
    </w:p>
    <w:p>
      <w:pPr>
        <w:pStyle w:val="Heading1"/>
        <w:bidi w:val="0"/>
        <w:ind w:start="1134" w:hanging="1134"/>
        <w:jc w:val="start"/>
        <w:rPr/>
      </w:pPr>
      <w:bookmarkStart w:id="15" w:name="__RefHeading___Toc273718364"/>
      <w:bookmarkEnd w:id="15"/>
      <w:r>
        <w:rPr/>
        <w:t>5</w:t>
        <w:tab/>
        <w:t>High level requirements</w:t>
      </w:r>
    </w:p>
    <w:p>
      <w:pPr>
        <w:pStyle w:val="Heading2"/>
        <w:bidi w:val="0"/>
        <w:jc w:val="start"/>
        <w:rPr/>
      </w:pPr>
      <w:bookmarkStart w:id="16" w:name="__RefHeading___Toc273718365"/>
      <w:bookmarkEnd w:id="16"/>
      <w:r>
        <w:rPr/>
        <w:t>5.1</w:t>
        <w:tab/>
        <w:t>General</w:t>
      </w:r>
    </w:p>
    <w:p>
      <w:pPr>
        <w:pStyle w:val="Normal"/>
        <w:rPr/>
      </w:pPr>
      <w:r>
        <w:rPr/>
        <w:t>Upon invocation of MPS, the system shall provide preferential treatment for access and core network resources associated with the session (i.e., signalling and media bearer related resources). A Service User is assigned a priority level by a regional/national authority i.e., agency authorised to issue priority levels. Upon MPS invocation the calling Service User’s priority level is used to identify the priority to be used for the session being established.</w:t>
      </w:r>
    </w:p>
    <w:p>
      <w:pPr>
        <w:pStyle w:val="Normal"/>
        <w:rPr/>
      </w:pPr>
      <w:r>
        <w:rPr/>
        <w:t>Pre-emption of active sessions shall be subject to regional/national regulatory requirements.</w:t>
      </w:r>
    </w:p>
    <w:p>
      <w:pPr>
        <w:pStyle w:val="Normal"/>
        <w:rPr/>
      </w:pPr>
      <w:r>
        <w:rPr/>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pPr>
        <w:pStyle w:val="Heading2"/>
        <w:bidi w:val="0"/>
        <w:jc w:val="start"/>
        <w:rPr/>
      </w:pPr>
      <w:bookmarkStart w:id="17" w:name="__RefHeading___Toc273718366"/>
      <w:bookmarkEnd w:id="17"/>
      <w:r>
        <w:rPr/>
        <w:t>5.2</w:t>
        <w:tab/>
        <w:t>Priority session treatment in originating network</w:t>
      </w:r>
    </w:p>
    <w:p>
      <w:pPr>
        <w:pStyle w:val="Normal"/>
        <w:rPr/>
      </w:pPr>
      <w:r>
        <w:rPr/>
        <w:t>When an MPS session is originated by a Service User, the session shall receive priority treatment (priority access to voice or traffic channels) in the originating PLMN based on the originating Service User priority level.</w:t>
      </w:r>
    </w:p>
    <w:p>
      <w:pPr>
        <w:pStyle w:val="Normal"/>
        <w:rPr/>
      </w:pPr>
      <w:r>
        <w:rPr/>
        <w:t>When an MPS session is requested by a Service User and the originating network supporting session establishment cannot assign the necessary resources to the MPS session, the MPS session request shall be:</w:t>
      </w:r>
    </w:p>
    <w:p>
      <w:pPr>
        <w:pStyle w:val="ListBullet"/>
        <w:numPr>
          <w:ilvl w:val="0"/>
          <w:numId w:val="2"/>
        </w:numPr>
        <w:ind w:start="568" w:hanging="284"/>
        <w:rPr/>
      </w:pPr>
      <w:r>
        <w:rPr/>
        <w:t>Queued,</w:t>
      </w:r>
    </w:p>
    <w:p>
      <w:pPr>
        <w:pStyle w:val="ListBullet"/>
        <w:numPr>
          <w:ilvl w:val="0"/>
          <w:numId w:val="2"/>
        </w:numPr>
        <w:ind w:start="568" w:hanging="284"/>
        <w:rPr/>
      </w:pPr>
      <w:r>
        <w:rPr/>
        <w:t>Processed for the next available resource in accordance with the calling Service Users priority level and session initiation time.</w:t>
      </w:r>
    </w:p>
    <w:p>
      <w:pPr>
        <w:pStyle w:val="Normal"/>
        <w:rPr/>
      </w:pPr>
      <w:r>
        <w:rPr/>
        <w:t>The network shall support the capability to inform the calling Service User about the status of the MPS session (e.g., tones or signalling messages can be used to indicate that the session request has been queued).</w:t>
      </w:r>
    </w:p>
    <w:p>
      <w:pPr>
        <w:pStyle w:val="Normal"/>
        <w:rPr/>
      </w:pPr>
      <w:r>
        <w:rPr>
          <w:rFonts w:eastAsia="SimSun;宋体"/>
          <w:lang w:eastAsia="zh-CN"/>
        </w:rPr>
        <w:t>If the queued MPS session times out</w:t>
      </w:r>
      <w:r>
        <w:rPr>
          <w:rFonts w:eastAsia="SimSun;宋体"/>
          <w:lang w:eastAsia="zh-CN"/>
        </w:rPr>
        <w:t>, then normal session processing applies.</w:t>
      </w:r>
    </w:p>
    <w:p>
      <w:pPr>
        <w:pStyle w:val="Heading2"/>
        <w:bidi w:val="0"/>
        <w:jc w:val="start"/>
        <w:rPr/>
      </w:pPr>
      <w:bookmarkStart w:id="18" w:name="__RefHeading___Toc273718367"/>
      <w:bookmarkEnd w:id="18"/>
      <w:r>
        <w:rPr/>
        <w:t>5.3</w:t>
        <w:tab/>
        <w:t>Priority session progression</w:t>
      </w:r>
    </w:p>
    <w:p>
      <w:pPr>
        <w:pStyle w:val="Normal"/>
        <w:rPr/>
      </w:pPr>
      <w:r>
        <w:rPr/>
        <w:t>For an MPS session, a Service User shall receive priority session treatment/progression through the PLMN (s). In case the MPS session traverses or terminates in other networks (e.g., the PSTN), the network providing priority session treatment/progression shall support the capability to indicate to the other network that this is an MPS session.</w:t>
      </w:r>
    </w:p>
    <w:p>
      <w:pPr>
        <w:pStyle w:val="NO"/>
        <w:rPr/>
      </w:pPr>
      <w:r>
        <w:rPr/>
        <w:t>Note:  If there is no agreement on priority handling between networks, the priority does not carry across network boundaries.</w:t>
      </w:r>
    </w:p>
    <w:p>
      <w:pPr>
        <w:pStyle w:val="Heading2"/>
        <w:bidi w:val="0"/>
        <w:jc w:val="start"/>
        <w:rPr/>
      </w:pPr>
      <w:bookmarkStart w:id="19" w:name="__RefHeading___Toc273718368"/>
      <w:bookmarkEnd w:id="19"/>
      <w:r>
        <w:rPr/>
        <w:t>5.4</w:t>
        <w:tab/>
        <w:t>Priority session treatment in terminating network</w:t>
      </w:r>
    </w:p>
    <w:p>
      <w:pPr>
        <w:pStyle w:val="Normal"/>
        <w:rPr/>
      </w:pPr>
      <w:r>
        <w:rPr/>
        <w:t>When a terminating network receives an MPS session establishment attempt, the MPS session shall receive priority treatment (priority access to voice or traffic channels) in the terminating PLMN, based on the originating Service User priority level. The priority level of the terminating party is irrelevant.</w:t>
      </w:r>
    </w:p>
    <w:p>
      <w:pPr>
        <w:pStyle w:val="Normal"/>
        <w:rPr/>
      </w:pPr>
      <w:r>
        <w:rPr/>
        <w:t>When the terminating network supporting session establishment cannot assign the necessary resources to the MPS session, the MPS session request shall be:</w:t>
      </w:r>
    </w:p>
    <w:p>
      <w:pPr>
        <w:pStyle w:val="ListBullet"/>
        <w:numPr>
          <w:ilvl w:val="0"/>
          <w:numId w:val="2"/>
        </w:numPr>
        <w:ind w:start="568" w:hanging="284"/>
        <w:rPr/>
      </w:pPr>
      <w:r>
        <w:rPr/>
        <w:t>Queued,</w:t>
      </w:r>
    </w:p>
    <w:p>
      <w:pPr>
        <w:pStyle w:val="ListBullet"/>
        <w:numPr>
          <w:ilvl w:val="0"/>
          <w:numId w:val="2"/>
        </w:numPr>
        <w:ind w:start="568" w:hanging="284"/>
        <w:rPr/>
      </w:pPr>
      <w:r>
        <w:rPr/>
        <w:t>Processed for the next available resource in accordance with the calling Service Users priority level and session arrival time.</w:t>
      </w:r>
    </w:p>
    <w:p>
      <w:pPr>
        <w:pStyle w:val="Normal"/>
        <w:rPr/>
      </w:pPr>
      <w:r>
        <w:rPr/>
        <w:t>The network shall support the capability to inform the calling Service User about the status of the MPS session (e.g., tones or signalling messages can be used to indicate that the session request has been queued).</w:t>
      </w:r>
    </w:p>
    <w:p>
      <w:pPr>
        <w:pStyle w:val="Normal"/>
        <w:rPr/>
      </w:pPr>
      <w:r>
        <w:rPr>
          <w:rFonts w:eastAsia="SimSun;宋体"/>
          <w:lang w:eastAsia="zh-CN"/>
        </w:rPr>
        <w:t>If the queued MPS session times out</w:t>
      </w:r>
      <w:r>
        <w:rPr>
          <w:rFonts w:eastAsia="SimSun;宋体"/>
          <w:lang w:eastAsia="zh-CN"/>
        </w:rPr>
        <w:t>, then normal session processing applies.</w:t>
      </w:r>
    </w:p>
    <w:p>
      <w:pPr>
        <w:pStyle w:val="Heading2"/>
        <w:bidi w:val="0"/>
        <w:jc w:val="start"/>
        <w:rPr/>
      </w:pPr>
      <w:bookmarkStart w:id="20" w:name="__RefHeading___Toc273718369"/>
      <w:bookmarkEnd w:id="20"/>
      <w:r>
        <w:rPr/>
        <w:t>5.4a</w:t>
        <w:tab/>
        <w:t>Priority Data Bearer Service</w:t>
      </w:r>
    </w:p>
    <w:p>
      <w:pPr>
        <w:pStyle w:val="Normal"/>
        <w:rPr/>
      </w:pPr>
      <w:r>
        <w:rPr/>
        <w:t>When a Service User invokes Priority Data Bearer Service for transport of any data packets to and from a Service User, the network should give priority in  admission of the Priority Data Bearer and in packet data scheduling in the event of congestion(for new sessions and upgrade to existing sessions), subject to regional/national regulatory policy.  Specifically:</w:t>
      </w:r>
    </w:p>
    <w:p>
      <w:pPr>
        <w:pStyle w:val="B1"/>
        <w:rPr/>
      </w:pPr>
      <w:r>
        <w:rPr/>
        <w:t>-</w:t>
        <w:tab/>
        <w:t>A Priority Data Bearer service session should be given priority for admission over non-Priority Data Bearer sessions during times of congestion;</w:t>
      </w:r>
    </w:p>
    <w:p>
      <w:pPr>
        <w:pStyle w:val="B1"/>
        <w:rPr/>
      </w:pPr>
      <w:r>
        <w:rPr/>
        <w:t>-</w:t>
        <w:tab/>
        <w:t>Data packets belonging to a Priority Data Bearer service should not be dropped before data packets belonging to a non-Priority Data Bearer service session, when the network is experiencing congestion, subject to the limitation imposed by public access.  Priority Data Bearer session QoS, as required for the type of service invoked (e.g., packet delay), should be maintained throughout the activity of the data session.</w:t>
      </w:r>
    </w:p>
    <w:p>
      <w:pPr>
        <w:pStyle w:val="Heading2"/>
        <w:bidi w:val="0"/>
        <w:jc w:val="start"/>
        <w:rPr/>
      </w:pPr>
      <w:bookmarkStart w:id="21" w:name="__RefHeading___Toc273718370"/>
      <w:bookmarkEnd w:id="21"/>
      <w:r>
        <w:rPr/>
        <w:t>5.5</w:t>
        <w:tab/>
        <w:t>Priority levels</w:t>
      </w:r>
    </w:p>
    <w:p>
      <w:pPr>
        <w:pStyle w:val="Normal"/>
        <w:rPr>
          <w:lang w:eastAsia="zh-CN"/>
        </w:rPr>
      </w:pPr>
      <w:r>
        <w:rPr/>
        <w:t xml:space="preserve">The Service User shall be assigned one of "n" user priority levels. The priority levels are defined with 1 being the highest priority level and "n" being the lowest priority level. </w:t>
      </w:r>
    </w:p>
    <w:p>
      <w:pPr>
        <w:pStyle w:val="Normal"/>
        <w:rPr>
          <w:lang w:eastAsia="zh-CN"/>
        </w:rPr>
      </w:pPr>
      <w:r>
        <w:rPr>
          <w:rStyle w:val="Msoins"/>
        </w:rPr>
        <w:t>Priority levels are a matter of regional/national and operator policies</w:t>
      </w:r>
      <w:r>
        <w:rPr/>
        <w:t>.</w:t>
      </w:r>
    </w:p>
    <w:p>
      <w:pPr>
        <w:pStyle w:val="Normal"/>
        <w:rPr/>
      </w:pPr>
      <w:r>
        <w:rPr/>
        <w:t xml:space="preserve">In case of interconnecting networks that </w:t>
      </w:r>
      <w:r>
        <w:rPr>
          <w:lang w:eastAsia="zh-CN"/>
        </w:rPr>
        <w:t>have</w:t>
      </w:r>
      <w:r>
        <w:rPr/>
        <w:t xml:space="preserve"> different priority levels, mappings between priority levels should be established.</w:t>
      </w:r>
    </w:p>
    <w:p>
      <w:pPr>
        <w:pStyle w:val="Heading2"/>
        <w:bidi w:val="0"/>
        <w:jc w:val="start"/>
        <w:rPr/>
      </w:pPr>
      <w:bookmarkStart w:id="22" w:name="__RefHeading___Toc273718371"/>
      <w:bookmarkEnd w:id="22"/>
      <w:r>
        <w:rPr/>
        <w:t>5.6</w:t>
        <w:tab/>
        <w:t>Invocation on demand</w:t>
      </w:r>
    </w:p>
    <w:p>
      <w:pPr>
        <w:pStyle w:val="Normal"/>
        <w:rPr/>
      </w:pPr>
      <w:r>
        <w:rPr/>
        <w:t>MPS priority shall be invoked only when requested by the Service User.</w:t>
      </w:r>
    </w:p>
    <w:p>
      <w:pPr>
        <w:pStyle w:val="Normal"/>
        <w:rPr/>
      </w:pPr>
      <w:r>
        <w:rPr/>
        <w:t>MPS is applied when idle resources required for an origination session request are not available.</w:t>
      </w:r>
    </w:p>
    <w:p>
      <w:pPr>
        <w:pStyle w:val="Normal"/>
        <w:rPr/>
      </w:pPr>
      <w:r>
        <w:rPr/>
        <w:t>If idle resources are available when MPS is requested, the request shall be allowed to proceed as normal</w:t>
      </w:r>
      <w:r>
        <w:rPr>
          <w:lang w:eastAsia="zh-CN"/>
        </w:rPr>
        <w:t>, but ma</w:t>
      </w:r>
      <w:r>
        <w:rPr>
          <w:lang w:eastAsia="zh-CN"/>
        </w:rPr>
        <w:t>r</w:t>
      </w:r>
      <w:r>
        <w:rPr>
          <w:lang w:eastAsia="zh-CN"/>
        </w:rPr>
        <w:t>ked as an MPS request.</w:t>
      </w:r>
      <w:r>
        <w:rPr/>
        <w:t>.</w:t>
      </w:r>
    </w:p>
    <w:p>
      <w:pPr>
        <w:pStyle w:val="Normal"/>
        <w:rPr/>
      </w:pPr>
      <w:r>
        <w:rPr/>
        <w:t>An indication of an MPS session should be propagated towards the terminating network regardless of the availability of resources in the originating network.</w:t>
      </w:r>
    </w:p>
    <w:p>
      <w:pPr>
        <w:pStyle w:val="Heading2"/>
        <w:bidi w:val="0"/>
        <w:jc w:val="start"/>
        <w:rPr/>
      </w:pPr>
      <w:bookmarkStart w:id="23" w:name="__RefHeading___Toc273718372"/>
      <w:bookmarkEnd w:id="23"/>
      <w:r>
        <w:rPr/>
        <w:t>5.7</w:t>
        <w:tab/>
        <w:t>Multimedia priority service code/identifier</w:t>
      </w:r>
    </w:p>
    <w:p>
      <w:pPr>
        <w:pStyle w:val="Normal"/>
        <w:rPr/>
      </w:pPr>
      <w:r>
        <w:rPr/>
        <w:t>MPS shall be requested by including an MPS code/identifier in the session origination request, or optionally, by using an MPS input string (e.g., an MPS public user identity).</w:t>
      </w:r>
    </w:p>
    <w:p>
      <w:pPr>
        <w:pStyle w:val="Heading2"/>
        <w:bidi w:val="0"/>
        <w:jc w:val="start"/>
        <w:rPr/>
      </w:pPr>
      <w:bookmarkStart w:id="24" w:name="__RefHeading___Toc273718373"/>
      <w:bookmarkEnd w:id="24"/>
      <w:r>
        <w:rPr/>
        <w:t>5.8</w:t>
        <w:tab/>
        <w:t>Roaming</w:t>
      </w:r>
    </w:p>
    <w:p>
      <w:pPr>
        <w:pStyle w:val="Normal"/>
        <w:rPr/>
      </w:pPr>
      <w:r>
        <w:rPr/>
        <w:t>MPS shall be supported when the Service User is roaming and the serving (originating and terminating) network(s) supports MPS.</w:t>
      </w:r>
    </w:p>
    <w:p>
      <w:pPr>
        <w:pStyle w:val="Heading2"/>
        <w:bidi w:val="0"/>
        <w:jc w:val="start"/>
        <w:rPr/>
      </w:pPr>
      <w:bookmarkStart w:id="25" w:name="__RefHeading___Toc273718374"/>
      <w:bookmarkEnd w:id="25"/>
      <w:r>
        <w:rPr/>
        <w:t>5.9</w:t>
        <w:tab/>
        <w:t>Handover</w:t>
      </w:r>
    </w:p>
    <w:p>
      <w:pPr>
        <w:pStyle w:val="Normal"/>
        <w:rPr/>
      </w:pPr>
      <w:r>
        <w:rPr/>
        <w:t>MPS shall be supported during and after the handover (i.e., sessions shall continue to get priority treatment in the network during and after the handover).</w:t>
      </w:r>
    </w:p>
    <w:p>
      <w:pPr>
        <w:pStyle w:val="Heading2"/>
        <w:bidi w:val="0"/>
        <w:jc w:val="start"/>
        <w:rPr/>
      </w:pPr>
      <w:bookmarkStart w:id="26" w:name="__RefHeading___Toc273718375"/>
      <w:bookmarkEnd w:id="26"/>
      <w:r>
        <w:rPr/>
        <w:t>5.10</w:t>
        <w:tab/>
        <w:t>Interworking with CS domain</w:t>
      </w:r>
    </w:p>
    <w:p>
      <w:pPr>
        <w:pStyle w:val="Heading3"/>
        <w:bidi w:val="0"/>
        <w:jc w:val="start"/>
        <w:rPr/>
      </w:pPr>
      <w:bookmarkStart w:id="27" w:name="__RefHeading___Toc273718376"/>
      <w:bookmarkEnd w:id="27"/>
      <w:r>
        <w:rPr/>
        <w:t>5.10.1</w:t>
        <w:tab/>
        <w:t>Mobile origination in the CS domain -&gt; MPS mobile termination</w:t>
      </w:r>
    </w:p>
    <w:p>
      <w:pPr>
        <w:pStyle w:val="Normal"/>
        <w:rPr/>
      </w:pPr>
      <w:r>
        <w:rPr/>
        <w:t>For a Priority Service voice call, as described in [2] and as specified in [3, 4, 5], originated by a Service User in the CS Domain, MPS shall support Mobile Termination of the session in the IMS. The priority level received from the CS domain shall be used in the IMS.</w:t>
      </w:r>
    </w:p>
    <w:p>
      <w:pPr>
        <w:pStyle w:val="Heading3"/>
        <w:bidi w:val="0"/>
        <w:jc w:val="start"/>
        <w:rPr/>
      </w:pPr>
      <w:bookmarkStart w:id="28" w:name="__RefHeading___Toc273718377"/>
      <w:bookmarkEnd w:id="28"/>
      <w:r>
        <w:rPr/>
        <w:t>5.10.2</w:t>
        <w:tab/>
        <w:t>MPS mobile origination -&gt; mobile termination to the CS domain</w:t>
      </w:r>
    </w:p>
    <w:p>
      <w:pPr>
        <w:pStyle w:val="Normal"/>
        <w:rPr/>
      </w:pPr>
      <w:r>
        <w:rPr/>
        <w:t>For an MPS voice session originated by a Service User in the IMS, MPS shall support delivery of the voice session to the serving CS Domain. The calling Service User priority level shall be sent to the CS Domain.</w:t>
      </w:r>
    </w:p>
    <w:p>
      <w:pPr>
        <w:pStyle w:val="Heading1"/>
        <w:bidi w:val="0"/>
        <w:ind w:start="1134" w:hanging="1134"/>
        <w:jc w:val="start"/>
        <w:rPr/>
      </w:pPr>
      <w:bookmarkStart w:id="29" w:name="__RefHeading___Toc273718378"/>
      <w:bookmarkEnd w:id="29"/>
      <w:r>
        <w:rPr/>
        <w:t>6</w:t>
        <w:tab/>
        <w:t>MMI aspects</w:t>
      </w:r>
    </w:p>
    <w:p>
      <w:pPr>
        <w:pStyle w:val="Normal"/>
        <w:rPr/>
      </w:pPr>
      <w:r>
        <w:rPr/>
        <w:t>No MMI aspects have been identified specifically for MPS.</w:t>
      </w:r>
    </w:p>
    <w:p>
      <w:pPr>
        <w:pStyle w:val="Heading1"/>
        <w:bidi w:val="0"/>
        <w:ind w:start="1134" w:hanging="1134"/>
        <w:jc w:val="start"/>
        <w:rPr/>
      </w:pPr>
      <w:bookmarkStart w:id="30" w:name="__RefHeading___Toc273718379"/>
      <w:bookmarkEnd w:id="30"/>
      <w:r>
        <w:rPr/>
        <w:t>7</w:t>
        <w:tab/>
        <w:t>Security and privacy</w:t>
      </w:r>
    </w:p>
    <w:p>
      <w:pPr>
        <w:pStyle w:val="Normal"/>
        <w:rPr/>
      </w:pPr>
      <w:r>
        <w:rPr/>
        <w:t>Access to MPS shall be determined based on the subscriber's profile. A level of authorisation in addition to authorisation to use the IMS is required.</w:t>
      </w:r>
    </w:p>
    <w:p>
      <w:pPr>
        <w:pStyle w:val="Normal"/>
        <w:rPr/>
      </w:pPr>
      <w:r>
        <w:rPr>
          <w:rFonts w:cs="BookmanOldStyle" w:ascii="BookmanOldStyle" w:hAnsi="BookmanOldStyle"/>
          <w:lang w:val="en-US"/>
        </w:rPr>
        <w:t>Unauthorized access to MPS shall be prevented</w:t>
      </w:r>
      <w:r>
        <w:rPr/>
        <w:t>.</w:t>
      </w:r>
    </w:p>
    <w:p>
      <w:pPr>
        <w:pStyle w:val="Heading1"/>
        <w:bidi w:val="0"/>
        <w:ind w:start="1134" w:hanging="1134"/>
        <w:jc w:val="start"/>
        <w:rPr/>
      </w:pPr>
      <w:bookmarkStart w:id="31" w:name="__RefHeading___Toc273718380"/>
      <w:bookmarkEnd w:id="31"/>
      <w:r>
        <w:rPr/>
        <w:t>8</w:t>
        <w:tab/>
        <w:tab/>
        <w:t>Charging aspects</w:t>
      </w:r>
      <w:bookmarkStart w:id="32" w:name="historyclause"/>
    </w:p>
    <w:p>
      <w:pPr>
        <w:pStyle w:val="Normal"/>
        <w:rPr/>
      </w:pPr>
      <w:r>
        <w:rPr/>
        <w:t>A network supporting MPS shall be capable of recording the following charging information, in addition to non-MPS information:</w:t>
      </w:r>
    </w:p>
    <w:p>
      <w:pPr>
        <w:pStyle w:val="B1"/>
        <w:rPr/>
      </w:pPr>
      <w:r>
        <w:rPr/>
        <w:t>-</w:t>
        <w:tab/>
        <w:t>MPS invocation attempt and successful session set-up,</w:t>
      </w:r>
    </w:p>
    <w:p>
      <w:pPr>
        <w:pStyle w:val="B1"/>
        <w:rPr/>
      </w:pPr>
      <w:r>
        <w:rPr/>
        <w:t>-</w:t>
        <w:tab/>
        <w:t>Session bearers (originations and/or terminations) on which MPS was used to gain access to resources,</w:t>
      </w:r>
    </w:p>
    <w:p>
      <w:pPr>
        <w:pStyle w:val="B1"/>
        <w:rPr/>
      </w:pPr>
      <w:r>
        <w:rPr/>
        <w:t>-</w:t>
        <w:tab/>
        <w:t>Recording of MPS information, e.g., priority level.</w:t>
      </w:r>
      <w:r>
        <w:br w:type="page"/>
      </w:r>
    </w:p>
    <w:p>
      <w:pPr>
        <w:pStyle w:val="Heading8"/>
        <w:bidi w:val="0"/>
        <w:ind w:start="0" w:hanging="0"/>
        <w:jc w:val="start"/>
        <w:rPr/>
      </w:pPr>
      <w:bookmarkStart w:id="33" w:name="__RefHeading___Toc273718381"/>
      <w:bookmarkEnd w:id="33"/>
      <w:r>
        <w:rPr/>
        <w:t>Annex A (informative):</w:t>
        <w:br/>
        <w:t>Change history</w:t>
      </w:r>
    </w:p>
    <w:p>
      <w:pPr>
        <w:pStyle w:val="Normal"/>
        <w:rPr/>
      </w:pPr>
      <w:r>
        <w:rPr/>
      </w:r>
      <w:bookmarkEnd w:id="32"/>
    </w:p>
    <w:tbl>
      <w:tblPr>
        <w:tblW w:w="9796"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gridCol w:w="8"/>
      </w:tblGrid>
      <w:tr>
        <w:trPr>
          <w:trHeight w:val="272" w:hRule="atLeast"/>
          <w:cantSplit w:val="true"/>
        </w:trPr>
        <w:tc>
          <w:tcPr>
            <w:tcW w:w="9796" w:type="dxa"/>
            <w:gridSpan w:val="12"/>
            <w:tcBorders>
              <w:top w:val="single" w:sz="6" w:space="0" w:color="000000"/>
              <w:start w:val="single" w:sz="6" w:space="0" w:color="000000"/>
              <w:end w:val="single" w:sz="6" w:space="0" w:color="000000"/>
            </w:tcBorders>
            <w:shd w:fill="FFFFFF" w:val="clear"/>
          </w:tcPr>
          <w:p>
            <w:pPr>
              <w:pStyle w:val="TAL"/>
              <w:jc w:val="center"/>
              <w:rPr>
                <w:b/>
                <w:b/>
              </w:rPr>
            </w:pPr>
            <w:r>
              <w:rPr>
                <w:b/>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SP-070576</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22.146</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Rel-8</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Raised to v.2.0.0 by MCC for approval as v.8.0.0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PRIOR</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SP-37</w:t>
            </w:r>
          </w:p>
        </w:tc>
        <w:tc>
          <w:tcPr>
            <w:tcW w:w="901"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708"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22.146</w:t>
            </w:r>
          </w:p>
        </w:tc>
        <w:tc>
          <w:tcPr>
            <w:tcW w:w="569"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425"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595"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Rel-8</w:t>
            </w:r>
          </w:p>
        </w:tc>
        <w:tc>
          <w:tcPr>
            <w:tcW w:w="391"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2409"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v.8.0.0 by MCC following SA#37 approval</w:t>
            </w:r>
          </w:p>
        </w:tc>
        <w:tc>
          <w:tcPr>
            <w:tcW w:w="567"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SP-080305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S1-080438</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22.153 on applicability of MPS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SP-080310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S1-080727</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22.153 on an optional service invocation method for MPS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SP-080494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0006</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Trusted domain support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SP-080778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S1-084394</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priority levels and networks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SP-080778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S1-084365</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0008</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Indication of MPS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EPRIOR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SP-100188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S1-100101</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MPS Service Aspects - Video and Data Bearer service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SP-100188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S1-100458</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Priority for data bearer services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r>
        <w:trPr>
          <w:trHeight w:val="272"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SP-100580</w:t>
            </w:r>
          </w:p>
        </w:tc>
        <w:tc>
          <w:tcPr>
            <w:tcW w:w="992"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S1-102180</w:t>
            </w:r>
          </w:p>
        </w:tc>
        <w:tc>
          <w:tcPr>
            <w:tcW w:w="708"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0013</w:t>
            </w:r>
          </w:p>
        </w:tc>
        <w:tc>
          <w:tcPr>
            <w:tcW w:w="42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Priority for data bearer services</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bl>
    <w:p>
      <w:pPr>
        <w:pStyle w:val="TH"/>
        <w:spacing w:before="60" w:after="180"/>
        <w:jc w:val="start"/>
        <w:rPr/>
      </w:pPr>
      <w:r>
        <w:rPr/>
      </w:r>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Geneva">
    <w:altName w:val="Arial"/>
    <w:charset w:val="00" w:characterSet="windows-1252"/>
    <w:family w:val="swiss"/>
    <w:pitch w:val="variable"/>
  </w:font>
  <w:font w:name="BookmanOldStyle">
    <w:charset w:val="00" w:characterSet="windows-1252"/>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22.153 </w:t>
                          </w:r>
                          <w:r>
                            <w:rPr/>
                            <w:t xml:space="preserve">V10.1.0 </w:t>
                          </w:r>
                          <w:r>
                            <w:rPr>
                              <w:sz w:val="32"/>
                            </w:rPr>
                            <w:t>(2010-09)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22.153 </w:t>
                    </w:r>
                    <w:r>
                      <w:rPr/>
                      <w:t xml:space="preserve">V10.1.0 </w:t>
                    </w:r>
                    <w:r>
                      <w:rPr>
                        <w:sz w:val="32"/>
                      </w:rPr>
                      <w:t>(2010-09)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993140"/>
              <wp:effectExtent l="0" t="0" r="0" b="0"/>
              <wp:wrapTopAndBottom/>
              <wp:docPr id="3" name="Frame3"/>
              <a:graphic xmlns:a="http://schemas.openxmlformats.org/drawingml/2006/main">
                <a:graphicData uri="http://schemas.microsoft.com/office/word/2010/wordprocessingShape">
                  <wps:wsp>
                    <wps:cNvSpPr txBox="1"/>
                    <wps:spPr>
                      <a:xfrm>
                        <a:off x="0" y="0"/>
                        <a:ext cx="6301105" cy="993140"/>
                      </a:xfrm>
                      <a:prstGeom prst="rect"/>
                      <a:solidFill>
                        <a:srgbClr val="FFFFFF">
                          <a:alpha val="0"/>
                        </a:srgbClr>
                      </a:solidFill>
                    </wps:spPr>
                    <wps:txbx>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eastAsia="Arial"/>
                            </w:rPr>
                            <w:t xml:space="preserve"> </w:t>
                          </w:r>
                          <w:r>
                            <w:rPr/>
                            <w:t xml:space="preserve">Multimedia priority service </w:t>
                          </w:r>
                        </w:p>
                        <w:p>
                          <w:pPr>
                            <w:pStyle w:val="ZT"/>
                            <w:widowControl w:val="false"/>
                            <w:bidi w:val="0"/>
                            <w:spacing w:lineRule="atLeast" w:line="240"/>
                            <w:jc w:val="end"/>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eastAsia="Arial"/>
                      </w:rPr>
                      <w:t xml:space="preserve"> </w:t>
                    </w:r>
                    <w:r>
                      <w:rPr/>
                      <w:t xml:space="preserve">Multimedia priority service </w:t>
                    </w:r>
                  </w:p>
                  <w:p>
                    <w:pPr>
                      <w:pStyle w:val="ZT"/>
                      <w:widowControl w:val="false"/>
                      <w:bidi w:val="0"/>
                      <w:spacing w:lineRule="atLeast" w:line="240"/>
                      <w:jc w:val="end"/>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62405"/>
              <wp:effectExtent l="0" t="0" r="0" b="0"/>
              <wp:wrapTopAndBottom/>
              <wp:docPr id="4" name="Frame4"/>
              <a:graphic xmlns:a="http://schemas.openxmlformats.org/drawingml/2006/main">
                <a:graphicData uri="http://schemas.microsoft.com/office/word/2010/wordprocessingShape">
                  <wps:wsp>
                    <wps:cNvSpPr txBox="1"/>
                    <wps:spPr>
                      <a:xfrm>
                        <a:off x="0" y="0"/>
                        <a:ext cx="6480810" cy="1462405"/>
                      </a:xfrm>
                      <a:prstGeom prst="rect"/>
                      <a:solidFill>
                        <a:srgbClr val="FFFFFF">
                          <a:alpha val="0"/>
                        </a:srgbClr>
                      </a:solidFill>
                    </wps:spPr>
                    <wps:txbx>
                      <w:txbxContent>
                        <w:p>
                          <w:pPr>
                            <w:pStyle w:val="ZU"/>
                            <w:tabs>
                              <w:tab w:val="clear" w:pos="284"/>
                              <w:tab w:val="right" w:pos="10206" w:leader="none"/>
                            </w:tabs>
                            <w:bidi w:val="0"/>
                            <w:jc w:val="start"/>
                            <w:rPr/>
                          </w:pPr>
                          <w:r>
                            <w:rPr>
                              <w:rFonts w:cs="Geneva;Arial" w:ascii="Geneva;Arial" w:hAnsi="Geneva;Arial"/>
                              <w:color w:val="555555"/>
                              <w:sz w:val="18"/>
                              <w:szCs w:val="18"/>
                              <w:lang w:val="en" w:eastAsia="en-US"/>
                            </w:rPr>
                            <w:drawing>
                              <wp:inline distT="0" distB="0" distL="0" distR="0">
                                <wp:extent cx="1524635" cy="139890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4" t="-26" r="-24" b="-26"/>
                                        <a:stretch>
                                          <a:fillRect/>
                                        </a:stretch>
                                      </pic:blipFill>
                                      <pic:spPr bwMode="auto">
                                        <a:xfrm>
                                          <a:off x="0" y="0"/>
                                          <a:ext cx="1524635" cy="139890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5.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Geneva;Arial" w:ascii="Geneva;Arial" w:hAnsi="Geneva;Arial"/>
                        <w:color w:val="555555"/>
                        <w:sz w:val="18"/>
                        <w:szCs w:val="18"/>
                        <w:lang w:val="en" w:eastAsia="en-US"/>
                      </w:rPr>
                      <w:drawing>
                        <wp:inline distT="0" distB="0" distL="0" distR="0">
                          <wp:extent cx="1524635" cy="139890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4" t="-26" r="-24" b="-26"/>
                                  <a:stretch>
                                    <a:fillRect/>
                                  </a:stretch>
                                </pic:blipFill>
                                <pic:spPr bwMode="auto">
                                  <a:xfrm>
                                    <a:off x="0" y="0"/>
                                    <a:ext cx="1524635" cy="139890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22.153 V10.1.0 (2010-09)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22.153 V10.1.0 (2010-09)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NOChar">
    <w:name w:val="NO Char"/>
    <w:basedOn w:val="DefaultParagraphFont"/>
    <w:qFormat/>
    <w:rPr>
      <w:lang w:val="en-GB" w:bidi="ar-SA"/>
    </w:rPr>
  </w:style>
  <w:style w:type="character" w:styleId="EditorsNoteChar">
    <w:name w:val="Editor's Note Char"/>
    <w:basedOn w:val="NOChar"/>
    <w:qFormat/>
    <w:rPr>
      <w:color w:val="FF0000"/>
    </w:rPr>
  </w:style>
  <w:style w:type="character" w:styleId="Msoins">
    <w:name w:val="msoi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2010-03-29T10:35:00Z</dcterms:created>
  <dc:creator>MCC Support</dc:creator>
  <dc:description/>
  <cp:keywords>UMTS GSM LTE multimedia</cp:keywords>
  <dc:language>en-US</dc:language>
  <cp:lastModifiedBy>Alain Sultan</cp:lastModifiedBy>
  <cp:lastPrinted>2006-06-13T11:04:00Z</cp:lastPrinted>
  <dcterms:modified xsi:type="dcterms:W3CDTF">2010-10-01T18:06:00Z</dcterms:modified>
  <cp:revision>7</cp:revision>
  <dc:subject>Multimedia priority service  (Release 9)</dc:subject>
  <dc:title>3GPP TS 22.153</dc:title>
</cp:coreProperties>
</file>