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22</w:t>
                            </w:r>
                            <w:r>
                              <w:rPr>
                                <w:sz w:val="64"/>
                              </w:rPr>
                              <w:t>.</w:t>
                            </w:r>
                            <w:r>
                              <w:rPr>
                                <w:sz w:val="64"/>
                                <w:lang w:val="en-US" w:eastAsia="en-US"/>
                              </w:rPr>
                              <w:t>986</w:t>
                            </w:r>
                            <w:r>
                              <w:rPr>
                                <w:sz w:val="64"/>
                              </w:rPr>
                              <w:t xml:space="preserve">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22</w:t>
                      </w:r>
                      <w:r>
                        <w:rPr>
                          <w:sz w:val="64"/>
                        </w:rPr>
                        <w:t>.</w:t>
                      </w:r>
                      <w:r>
                        <w:rPr>
                          <w:sz w:val="64"/>
                          <w:lang w:val="en-US" w:eastAsia="en-US"/>
                        </w:rPr>
                        <w:t>986</w:t>
                      </w:r>
                      <w:r>
                        <w:rPr>
                          <w:sz w:val="64"/>
                        </w:rPr>
                        <w:t xml:space="preserve">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993140"/>
                <wp:effectExtent l="0" t="0" r="0" b="0"/>
                <wp:wrapTopAndBottom/>
                <wp:docPr id="3" name="Frame3"/>
                <a:graphic xmlns:a="http://schemas.openxmlformats.org/drawingml/2006/main">
                  <a:graphicData uri="http://schemas.microsoft.com/office/word/2010/wordprocessingShape">
                    <wps:wsp>
                      <wps:cNvSpPr txBox="1"/>
                      <wps:spPr>
                        <a:xfrm>
                          <a:off x="0" y="0"/>
                          <a:ext cx="6301105" cy="99314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lang w:eastAsia="ja-JP"/>
                              </w:rPr>
                            </w:pPr>
                            <w:r>
                              <w:rPr>
                                <w:lang w:eastAsia="ja-JP"/>
                              </w:rPr>
                              <w:t>Study on Service Specific</w:t>
                            </w:r>
                            <w:r>
                              <w:rPr>
                                <w:lang w:eastAsia="ja-JP"/>
                              </w:rPr>
                              <w:t xml:space="preserve"> Access Control</w:t>
                            </w:r>
                          </w:p>
                          <w:p>
                            <w:pPr>
                              <w:pStyle w:val="ZT"/>
                              <w:widowControl w:val="false"/>
                              <w:bidi w:val="0"/>
                              <w:spacing w:lineRule="atLeast" w:line="240"/>
                              <w:jc w:val="end"/>
                              <w:rPr>
                                <w:i/>
                                <w:i/>
                                <w:sz w:val="28"/>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lang w:eastAsia="ja-JP"/>
                        </w:rPr>
                      </w:pPr>
                      <w:r>
                        <w:rPr>
                          <w:lang w:eastAsia="ja-JP"/>
                        </w:rPr>
                        <w:t>Study on Service Specific</w:t>
                      </w:r>
                      <w:r>
                        <w:rPr>
                          <w:lang w:eastAsia="ja-JP"/>
                        </w:rPr>
                        <w:t xml:space="preserve"> Access Control</w:t>
                      </w:r>
                    </w:p>
                    <w:p>
                      <w:pPr>
                        <w:pStyle w:val="ZT"/>
                        <w:widowControl w:val="false"/>
                        <w:bidi w:val="0"/>
                        <w:spacing w:lineRule="atLeast" w:line="240"/>
                        <w:jc w:val="end"/>
                        <w:rPr>
                          <w:i/>
                          <w:i/>
                          <w:sz w:val="28"/>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5024120" cy="452755"/>
                <wp:effectExtent l="0" t="0" r="0" b="0"/>
                <wp:wrapTopAndBottom/>
                <wp:docPr id="9" name="Frame7"/>
                <a:graphic xmlns:a="http://schemas.openxmlformats.org/drawingml/2006/main">
                  <a:graphicData uri="http://schemas.microsoft.com/office/word/2010/wordprocessingShape">
                    <wps:wsp>
                      <wps:cNvSpPr txBox="1"/>
                      <wps:spPr>
                        <a:xfrm>
                          <a:off x="0" y="0"/>
                          <a:ext cx="50241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Emergency, service, access</w:t>
                            </w:r>
                          </w:p>
                        </w:txbxContent>
                      </wps:txbx>
                      <wps:bodyPr anchor="t" lIns="0" tIns="0" rIns="0" bIns="12700">
                        <a:noAutofit/>
                      </wps:bodyPr>
                    </wps:wsp>
                  </a:graphicData>
                </a:graphic>
              </wp:anchor>
            </w:drawing>
          </mc:Choice>
          <mc:Fallback>
            <w:pict>
              <v:rect fillcolor="#FFFFFF" style="position:absolute;rotation:0;width:395.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Emergency, service, access</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482948">
            <w:r>
              <w:rPr>
                <w:rStyle w:val="IndexLink"/>
              </w:rPr>
              <w:t>4</w:t>
            </w:r>
          </w:hyperlink>
        </w:p>
        <w:p>
          <w:pPr>
            <w:pStyle w:val="Contents1"/>
            <w:tabs>
              <w:tab w:val="clear" w:pos="9639"/>
              <w:tab w:val="right" w:pos="9640" w:leader="dot"/>
            </w:tabs>
            <w:bidi w:val="0"/>
            <w:jc w:val="start"/>
            <w:rPr/>
          </w:pPr>
          <w:r>
            <w:rPr/>
            <w:t>Introduction</w:t>
            <w:tab/>
          </w:r>
          <w:hyperlink w:anchor="__RefHeading___Toc217482949">
            <w:r>
              <w:rPr>
                <w:rStyle w:val="IndexLink"/>
              </w:rPr>
              <w:t>4</w:t>
            </w:r>
          </w:hyperlink>
        </w:p>
        <w:p>
          <w:pPr>
            <w:pStyle w:val="Contents1"/>
            <w:tabs>
              <w:tab w:val="clear" w:pos="9639"/>
              <w:tab w:val="right" w:pos="9640" w:leader="dot"/>
            </w:tabs>
            <w:bidi w:val="0"/>
            <w:jc w:val="start"/>
            <w:rPr/>
          </w:pPr>
          <w:r>
            <w:rPr/>
            <w:t>1 Scope</w:t>
            <w:tab/>
          </w:r>
          <w:hyperlink w:anchor="__RefHeading___Toc217482950">
            <w:r>
              <w:rPr>
                <w:rStyle w:val="IndexLink"/>
              </w:rPr>
              <w:t>5</w:t>
            </w:r>
          </w:hyperlink>
        </w:p>
        <w:p>
          <w:pPr>
            <w:pStyle w:val="Contents1"/>
            <w:tabs>
              <w:tab w:val="clear" w:pos="9639"/>
              <w:tab w:val="right" w:pos="9640" w:leader="dot"/>
            </w:tabs>
            <w:bidi w:val="0"/>
            <w:jc w:val="start"/>
            <w:rPr/>
          </w:pPr>
          <w:r>
            <w:rPr/>
            <w:t>2 References</w:t>
            <w:tab/>
          </w:r>
          <w:hyperlink w:anchor="__RefHeading___Toc217482951">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482952">
            <w:r>
              <w:rPr>
                <w:rStyle w:val="IndexLink"/>
              </w:rPr>
              <w:t>5</w:t>
            </w:r>
          </w:hyperlink>
        </w:p>
        <w:p>
          <w:pPr>
            <w:pStyle w:val="Contents2"/>
            <w:tabs>
              <w:tab w:val="clear" w:pos="9639"/>
              <w:tab w:val="right" w:pos="9640" w:leader="dot"/>
            </w:tabs>
            <w:bidi w:val="0"/>
            <w:jc w:val="start"/>
            <w:rPr/>
          </w:pPr>
          <w:r>
            <w:rPr/>
            <w:t>3.1 Definitions</w:t>
            <w:tab/>
          </w:r>
          <w:hyperlink w:anchor="__RefHeading___Toc217482953">
            <w:r>
              <w:rPr>
                <w:rStyle w:val="IndexLink"/>
              </w:rPr>
              <w:t>5</w:t>
            </w:r>
          </w:hyperlink>
        </w:p>
        <w:p>
          <w:pPr>
            <w:pStyle w:val="Contents2"/>
            <w:tabs>
              <w:tab w:val="clear" w:pos="9639"/>
              <w:tab w:val="right" w:pos="9640" w:leader="dot"/>
            </w:tabs>
            <w:bidi w:val="0"/>
            <w:jc w:val="start"/>
            <w:rPr/>
          </w:pPr>
          <w:r>
            <w:rPr/>
            <w:t>3.2 Symbols</w:t>
            <w:tab/>
          </w:r>
          <w:hyperlink w:anchor="__RefHeading___Toc217482954">
            <w:r>
              <w:rPr>
                <w:rStyle w:val="IndexLink"/>
              </w:rPr>
              <w:t>5</w:t>
            </w:r>
          </w:hyperlink>
        </w:p>
        <w:p>
          <w:pPr>
            <w:pStyle w:val="Contents2"/>
            <w:tabs>
              <w:tab w:val="clear" w:pos="9639"/>
              <w:tab w:val="right" w:pos="9640" w:leader="dot"/>
            </w:tabs>
            <w:bidi w:val="0"/>
            <w:jc w:val="start"/>
            <w:rPr/>
          </w:pPr>
          <w:r>
            <w:rPr/>
            <w:t>3.3 Abbreviations</w:t>
            <w:tab/>
          </w:r>
          <w:hyperlink w:anchor="__RefHeading___Toc217482955">
            <w:r>
              <w:rPr>
                <w:rStyle w:val="IndexLink"/>
              </w:rPr>
              <w:t>5</w:t>
            </w:r>
          </w:hyperlink>
        </w:p>
        <w:p>
          <w:pPr>
            <w:pStyle w:val="Contents1"/>
            <w:tabs>
              <w:tab w:val="clear" w:pos="9639"/>
              <w:tab w:val="right" w:pos="9640" w:leader="dot"/>
            </w:tabs>
            <w:bidi w:val="0"/>
            <w:jc w:val="start"/>
            <w:rPr/>
          </w:pPr>
          <w:r>
            <w:rPr/>
            <w:t>4 Use Cases</w:t>
            <w:tab/>
          </w:r>
          <w:hyperlink w:anchor="__RefHeading___Toc217482956">
            <w:r>
              <w:rPr>
                <w:rStyle w:val="IndexLink"/>
              </w:rPr>
              <w:t>6</w:t>
            </w:r>
          </w:hyperlink>
        </w:p>
        <w:p>
          <w:pPr>
            <w:pStyle w:val="Contents1"/>
            <w:tabs>
              <w:tab w:val="clear" w:pos="9639"/>
              <w:tab w:val="right" w:pos="9640" w:leader="dot"/>
            </w:tabs>
            <w:bidi w:val="0"/>
            <w:jc w:val="start"/>
            <w:rPr/>
          </w:pPr>
          <w:r>
            <w:rPr/>
            <w:t>5 Considerations</w:t>
            <w:tab/>
          </w:r>
          <w:hyperlink w:anchor="__RefHeading___Toc217482957">
            <w:r>
              <w:rPr>
                <w:rStyle w:val="IndexLink"/>
              </w:rPr>
              <w:t>6</w:t>
            </w:r>
          </w:hyperlink>
        </w:p>
        <w:p>
          <w:pPr>
            <w:pStyle w:val="Contents1"/>
            <w:tabs>
              <w:tab w:val="clear" w:pos="9639"/>
              <w:tab w:val="right" w:pos="9640" w:leader="dot"/>
            </w:tabs>
            <w:bidi w:val="0"/>
            <w:jc w:val="start"/>
            <w:rPr/>
          </w:pPr>
          <w:r>
            <w:rPr/>
            <w:t>6 Candidate Requirements</w:t>
            <w:tab/>
          </w:r>
          <w:hyperlink w:anchor="__RefHeading___Toc217482958">
            <w:r>
              <w:rPr>
                <w:rStyle w:val="IndexLink"/>
              </w:rPr>
              <w:t>6</w:t>
            </w:r>
          </w:hyperlink>
        </w:p>
        <w:p>
          <w:pPr>
            <w:pStyle w:val="Contents1"/>
            <w:tabs>
              <w:tab w:val="clear" w:pos="9639"/>
              <w:tab w:val="right" w:pos="9640" w:leader="dot"/>
            </w:tabs>
            <w:bidi w:val="0"/>
            <w:jc w:val="start"/>
            <w:rPr/>
          </w:pPr>
          <w:r>
            <w:rPr/>
            <w:t>7 Conclusion</w:t>
            <w:tab/>
          </w:r>
          <w:hyperlink w:anchor="__RefHeading___Toc217482959">
            <w:r>
              <w:rPr>
                <w:rStyle w:val="IndexLink"/>
              </w:rPr>
              <w:t>7</w:t>
            </w:r>
          </w:hyperlink>
        </w:p>
        <w:p>
          <w:pPr>
            <w:pStyle w:val="Contents9"/>
            <w:tabs>
              <w:tab w:val="clear" w:pos="9639"/>
              <w:tab w:val="right" w:pos="9640" w:leader="dot"/>
            </w:tabs>
            <w:bidi w:val="0"/>
            <w:jc w:val="start"/>
            <w:rPr/>
          </w:pPr>
          <w:r>
            <w:rPr/>
            <w:t>Annex A: Change history</w:t>
            <w:tab/>
          </w:r>
          <w:hyperlink w:anchor="__RefHeading___Toc217482960">
            <w:r>
              <w:rPr>
                <w:rStyle w:val="IndexLink"/>
              </w:rPr>
              <w:t>8</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7" w:name="__RefHeading___Toc21748294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17482949"/>
      <w:bookmarkEnd w:id="8"/>
      <w:r>
        <w:rPr/>
        <w:t>Introduction</w:t>
      </w:r>
    </w:p>
    <w:p>
      <w:pPr>
        <w:pStyle w:val="Normal"/>
        <w:rPr/>
      </w:pPr>
      <w:r>
        <w:rPr/>
        <w:t>In an emergency situation, like Earthquake or Tsunami, degradation of quality of service may be experienced. Degradation in service availability and performance can be accepted in such situations, but mechanisms are desirable to minimize such degradation and maximize the efficiency of the remaining resources.</w:t>
      </w:r>
    </w:p>
    <w:p>
      <w:pPr>
        <w:pStyle w:val="Normal"/>
        <w:rPr/>
      </w:pPr>
      <w:r>
        <w:rPr>
          <w:lang w:eastAsia="ja-JP"/>
        </w:rPr>
        <w:t>When Domain Specific Access Control (DSAC) mechanism was introduced for UMTS, the original motivation was to enable PS service continuation during congestion in CS Nodes in the case of major disaster like an Earthquake or a Tsunami.</w:t>
      </w:r>
    </w:p>
    <w:p>
      <w:pPr>
        <w:pStyle w:val="Normal"/>
        <w:rPr>
          <w:lang w:eastAsia="ja-JP"/>
        </w:rPr>
      </w:pPr>
      <w:r>
        <w:rPr>
          <w:lang w:eastAsia="ja-JP"/>
        </w:rPr>
        <w:t>In fact, the use case of DSAC in real UMTS deployment situation has been to apply access control separately on different types of services, such as voice and other packet-switched services.</w:t>
      </w:r>
    </w:p>
    <w:p>
      <w:pPr>
        <w:pStyle w:val="Normal"/>
        <w:rPr>
          <w:lang w:eastAsia="ja-JP"/>
        </w:rPr>
      </w:pPr>
      <w:r>
        <w:rPr>
          <w:lang w:eastAsia="ja-JP"/>
        </w:rPr>
        <w:t>For example, people’s psychological behaviour is to make a voice call in emergency situations and it is not likely to change.  Hence, a mechanism will be needed to separately restrict voice calls and other services.</w:t>
      </w:r>
    </w:p>
    <w:p>
      <w:pPr>
        <w:pStyle w:val="ZT"/>
        <w:bidi w:val="0"/>
        <w:jc w:val="start"/>
        <w:rPr>
          <w:rFonts w:ascii="Times New Roman" w:hAnsi="Times New Roman" w:cs="Times New Roman"/>
          <w:b w:val="false"/>
          <w:b w:val="false"/>
          <w:sz w:val="20"/>
          <w:lang w:eastAsia="ja-JP"/>
        </w:rPr>
      </w:pPr>
      <w:r>
        <w:rPr>
          <w:rFonts w:cs="Times New Roman" w:ascii="Times New Roman" w:hAnsi="Times New Roman"/>
          <w:b w:val="false"/>
          <w:sz w:val="20"/>
          <w:lang w:eastAsia="ja-JP"/>
        </w:rPr>
        <w:t xml:space="preserve">As EPS is a PS-Domain only system, DSAC access control does not apply. </w:t>
      </w:r>
    </w:p>
    <w:p>
      <w:pPr>
        <w:pStyle w:val="Normal"/>
        <w:rPr>
          <w:lang w:eastAsia="ja-JP"/>
        </w:rPr>
      </w:pPr>
      <w:r>
        <w:rPr/>
        <w:t xml:space="preserve">This SSAC TR identifies specific features useful when the network is subjected to decreased capacity and functionality. </w:t>
      </w:r>
      <w:r>
        <w:rPr>
          <w:lang w:eastAsia="ja-JP"/>
        </w:rPr>
        <w:t>Considering the characteristics of voice and non-voice calls in EPS, requirements of the SSAC could be to restrict the voice calls and non-voice calls separately.</w:t>
      </w:r>
    </w:p>
    <w:p>
      <w:pPr>
        <w:pStyle w:val="Normal"/>
        <w:rPr/>
      </w:pPr>
      <w:r>
        <w:rPr/>
        <w:t>For a normal paid service there are QoS requirements. The provider can choose to shut down the service if the requirements cannot be met. In an emergency situation the most important thing is to keep communication channels uninterrupted, therefore the provider should preferably allow for a best effort (degradation of) service in preference to shutting the service down. During an emergency situation there should be a possibility for the service provider also to grant services, give extended credit to subscribers with accounts running empty. Under some circumstances (e.g. the terrorist attack in London on the 7 of July in 2005), overload access control may be invoked giving access only to authorities or a predefined set of users. It is up to national authorities to define and implement such schemes.</w:t>
      </w:r>
      <w:r>
        <w:br w:type="page"/>
      </w:r>
    </w:p>
    <w:p>
      <w:pPr>
        <w:pStyle w:val="Heading1"/>
        <w:bidi w:val="0"/>
        <w:ind w:start="1134" w:hanging="1134"/>
        <w:jc w:val="start"/>
        <w:rPr/>
      </w:pPr>
      <w:bookmarkStart w:id="9" w:name="__RefHeading___Toc217482950"/>
      <w:bookmarkEnd w:id="9"/>
      <w:r>
        <w:rPr/>
        <w:t>1</w:t>
        <w:tab/>
        <w:t>Scope</w:t>
      </w:r>
    </w:p>
    <w:p>
      <w:pPr>
        <w:pStyle w:val="Normal"/>
        <w:rPr/>
      </w:pPr>
      <w:r>
        <w:rPr>
          <w:lang w:eastAsia="ar-SA"/>
        </w:rPr>
        <w:t xml:space="preserve">This Technical Report (TR) presents the results of the Study on </w:t>
      </w:r>
      <w:r>
        <w:rPr>
          <w:lang w:eastAsia="ja-JP"/>
        </w:rPr>
        <w:t>Service Specific Access Control (SSAC)</w:t>
      </w:r>
      <w:r>
        <w:rPr>
          <w:lang w:eastAsia="ar-SA"/>
        </w:rPr>
        <w:t>. The intent of this Study is to assess the ability of 3GPP specifications to meet requirements identified for</w:t>
      </w:r>
      <w:r>
        <w:rPr>
          <w:lang w:eastAsia="ja-JP"/>
        </w:rPr>
        <w:t xml:space="preserve"> Services Specific Access Control</w:t>
      </w:r>
      <w:r>
        <w:rPr>
          <w:lang w:eastAsia="ar-SA"/>
        </w:rPr>
        <w:t xml:space="preserve">. This Study considers the following aspects: </w:t>
      </w:r>
    </w:p>
    <w:p>
      <w:pPr>
        <w:pStyle w:val="B1"/>
        <w:numPr>
          <w:ilvl w:val="0"/>
          <w:numId w:val="2"/>
        </w:numPr>
        <w:rPr/>
      </w:pPr>
      <w:r>
        <w:rPr>
          <w:lang w:eastAsia="ar-SA"/>
        </w:rPr>
        <w:t>Study use cases and clarify issues in SSAC in EPS.</w:t>
      </w:r>
    </w:p>
    <w:p>
      <w:pPr>
        <w:pStyle w:val="B1"/>
        <w:numPr>
          <w:ilvl w:val="0"/>
          <w:numId w:val="2"/>
        </w:numPr>
        <w:rPr>
          <w:lang w:eastAsia="ar-SA"/>
        </w:rPr>
      </w:pPr>
      <w:r>
        <w:rPr>
          <w:lang w:eastAsia="ar-SA"/>
        </w:rPr>
        <w:t xml:space="preserve">Describe the </w:t>
      </w:r>
      <w:r>
        <w:rPr>
          <w:lang w:eastAsia="ja-JP"/>
        </w:rPr>
        <w:t>considerations</w:t>
      </w:r>
      <w:r>
        <w:rPr>
          <w:lang w:eastAsia="ar-SA"/>
        </w:rPr>
        <w:t xml:space="preserve"> </w:t>
      </w:r>
      <w:r>
        <w:rPr>
          <w:lang w:eastAsia="ja-JP"/>
        </w:rPr>
        <w:t>and</w:t>
      </w:r>
      <w:r>
        <w:rPr>
          <w:lang w:eastAsia="ar-SA"/>
        </w:rPr>
        <w:t xml:space="preserve"> the problems with existing access</w:t>
      </w:r>
      <w:r>
        <w:rPr>
          <w:lang w:eastAsia="ja-JP"/>
        </w:rPr>
        <w:t xml:space="preserve"> c</w:t>
      </w:r>
      <w:r>
        <w:rPr>
          <w:lang w:eastAsia="ar-SA"/>
        </w:rPr>
        <w:t>ontrol</w:t>
      </w:r>
      <w:r>
        <w:rPr>
          <w:lang w:eastAsia="ja-JP"/>
        </w:rPr>
        <w:t>, which are identified in the use</w:t>
      </w:r>
      <w:r>
        <w:rPr>
          <w:lang w:eastAsia="ja-JP"/>
        </w:rPr>
        <w:t xml:space="preserve"> </w:t>
      </w:r>
      <w:r>
        <w:rPr>
          <w:lang w:eastAsia="ja-JP"/>
        </w:rPr>
        <w:t>cases</w:t>
      </w:r>
    </w:p>
    <w:p>
      <w:pPr>
        <w:pStyle w:val="B1"/>
        <w:numPr>
          <w:ilvl w:val="0"/>
          <w:numId w:val="2"/>
        </w:numPr>
        <w:rPr/>
      </w:pPr>
      <w:r>
        <w:rPr/>
        <w:t>Identify</w:t>
      </w:r>
      <w:r>
        <w:rPr>
          <w:lang w:eastAsia="ar-SA"/>
        </w:rPr>
        <w:t xml:space="preserve"> candidate requirements and aspects for providing</w:t>
      </w:r>
      <w:r>
        <w:rPr>
          <w:lang w:eastAsia="ja-JP"/>
        </w:rPr>
        <w:t xml:space="preserve"> SSAC in EPS</w:t>
      </w:r>
      <w:r>
        <w:rPr>
          <w:lang w:eastAsia="ar-SA"/>
        </w:rPr>
        <w:t>.</w:t>
      </w:r>
    </w:p>
    <w:p>
      <w:pPr>
        <w:pStyle w:val="Heading1"/>
        <w:bidi w:val="0"/>
        <w:ind w:start="1134" w:hanging="1134"/>
        <w:jc w:val="start"/>
        <w:rPr/>
      </w:pPr>
      <w:bookmarkStart w:id="10" w:name="__RefHeading___Toc217482951"/>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SEQ reference \* ARABIC </w:instrText>
      </w:r>
      <w:r>
        <w:rPr/>
        <w:fldChar w:fldCharType="separate"/>
      </w:r>
      <w:r>
        <w:rPr/>
        <w:t>1</w:t>
      </w:r>
      <w:r>
        <w:rPr/>
        <w:fldChar w:fldCharType="end"/>
      </w:r>
      <w:r>
        <w:rPr/>
        <w:t>]</w:t>
        <w:tab/>
        <w:t>3GPP TR 21.905: “Vocabulary for 3GPP Specifications”.</w:t>
      </w:r>
    </w:p>
    <w:p>
      <w:pPr>
        <w:pStyle w:val="EX"/>
        <w:rPr>
          <w:lang w:eastAsia="ja-JP"/>
        </w:rPr>
      </w:pPr>
      <w:r>
        <w:rPr/>
        <w:t>[</w:t>
      </w:r>
      <w:r>
        <w:rPr>
          <w:lang w:eastAsia="ja-JP"/>
        </w:rPr>
        <w:t>2</w:t>
      </w:r>
      <w:r>
        <w:rPr/>
        <w:t>]</w:t>
        <w:tab/>
      </w:r>
      <w:r>
        <w:rPr>
          <w:lang w:eastAsia="ja-JP"/>
        </w:rPr>
        <w:t>3GPP TR 23.898: "Access Class Barring and Overload Protection (ACBOP)"</w:t>
      </w:r>
    </w:p>
    <w:p>
      <w:pPr>
        <w:pStyle w:val="Heading1"/>
        <w:bidi w:val="0"/>
        <w:ind w:start="1134" w:hanging="1134"/>
        <w:jc w:val="start"/>
        <w:rPr>
          <w:lang w:eastAsia="ja-JP"/>
        </w:rPr>
      </w:pPr>
      <w:bookmarkStart w:id="11" w:name="__RefHeading___Toc217482952"/>
      <w:bookmarkEnd w:id="11"/>
      <w:r>
        <w:rPr/>
        <w:t>3</w:t>
        <w:tab/>
        <w:t>Definitions, symbols and abbreviations</w:t>
      </w:r>
    </w:p>
    <w:p>
      <w:pPr>
        <w:pStyle w:val="Heading2"/>
        <w:bidi w:val="0"/>
        <w:jc w:val="start"/>
        <w:rPr/>
      </w:pPr>
      <w:bookmarkStart w:id="12" w:name="__RefHeading___Toc217482953"/>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Heading2"/>
        <w:bidi w:val="0"/>
        <w:jc w:val="start"/>
        <w:rPr/>
      </w:pPr>
      <w:bookmarkStart w:id="13" w:name="__RefHeading___Toc217482954"/>
      <w:bookmarkEnd w:id="13"/>
      <w:r>
        <w:rPr/>
        <w:t>3.2</w:t>
        <w:tab/>
        <w:t>Symbols</w:t>
      </w:r>
    </w:p>
    <w:p>
      <w:pPr>
        <w:pStyle w:val="Normal"/>
        <w:keepNext w:val="true"/>
        <w:rPr/>
      </w:pPr>
      <w:r>
        <w:rPr/>
        <w:t>For the purposes of the present document, the following symbols apply:</w:t>
      </w:r>
    </w:p>
    <w:p>
      <w:pPr>
        <w:pStyle w:val="Heading2"/>
        <w:bidi w:val="0"/>
        <w:jc w:val="start"/>
        <w:rPr/>
      </w:pPr>
      <w:bookmarkStart w:id="14" w:name="__RefHeading___Toc217482955"/>
      <w:bookmarkEnd w:id="14"/>
      <w:r>
        <w:rPr/>
        <w:t>3.3</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r>
        <w:br w:type="page"/>
      </w:r>
    </w:p>
    <w:p>
      <w:pPr>
        <w:pStyle w:val="Heading1"/>
        <w:bidi w:val="0"/>
        <w:ind w:start="1134" w:hanging="1134"/>
        <w:jc w:val="start"/>
        <w:rPr>
          <w:lang w:eastAsia="ja-JP"/>
        </w:rPr>
      </w:pPr>
      <w:bookmarkStart w:id="15" w:name="__RefHeading___Toc217482956"/>
      <w:bookmarkEnd w:id="15"/>
      <w:r>
        <w:rPr/>
        <w:t>4</w:t>
        <w:tab/>
      </w:r>
      <w:r>
        <w:rPr>
          <w:lang w:eastAsia="ja-JP"/>
        </w:rPr>
        <w:t>Use Cases</w:t>
      </w:r>
    </w:p>
    <w:p>
      <w:pPr>
        <w:pStyle w:val="Normal"/>
        <w:rPr>
          <w:rFonts w:ascii="Arial" w:hAnsi="Arial" w:cs="Arial"/>
          <w:b/>
          <w:b/>
          <w:u w:val="single"/>
          <w:lang w:val="en-US" w:eastAsia="ja-JP"/>
        </w:rPr>
      </w:pPr>
      <w:r>
        <w:rPr>
          <w:rFonts w:cs="Arial" w:ascii="Arial" w:hAnsi="Arial"/>
          <w:b/>
          <w:u w:val="single"/>
          <w:lang w:val="en-US" w:eastAsia="ja-JP"/>
        </w:rPr>
        <w:t>Use case 1</w:t>
      </w:r>
    </w:p>
    <w:p>
      <w:pPr>
        <w:pStyle w:val="Normal"/>
        <w:rPr/>
      </w:pPr>
      <w:r>
        <w:rPr>
          <w:lang w:val="en-US" w:eastAsia="ja-JP"/>
        </w:rPr>
        <w:t xml:space="preserve">Japanese operators provide 'Disaster Message Board' services </w:t>
      </w:r>
      <w:r>
        <w:rPr>
          <w:lang w:val="en-US" w:eastAsia="ja-JP"/>
        </w:rPr>
        <w:t xml:space="preserve">whenever </w:t>
      </w:r>
      <w:r>
        <w:rPr>
          <w:lang w:val="en-US" w:eastAsia="ja-JP"/>
        </w:rPr>
        <w:t>a major disaster</w:t>
      </w:r>
      <w:r>
        <w:rPr>
          <w:lang w:val="en-US" w:eastAsia="ja-JP"/>
        </w:rPr>
        <w:t xml:space="preserve"> has</w:t>
      </w:r>
      <w:r>
        <w:rPr>
          <w:lang w:val="en-US" w:eastAsia="ja-JP"/>
        </w:rPr>
        <w:t xml:space="preserve"> happen</w:t>
      </w:r>
      <w:r>
        <w:rPr>
          <w:lang w:val="en-US" w:eastAsia="ja-JP"/>
        </w:rPr>
        <w:t>ed</w:t>
      </w:r>
      <w:r>
        <w:rPr>
          <w:lang w:val="en-US" w:eastAsia="ja-JP"/>
        </w:rPr>
        <w:t xml:space="preserve"> such as an earthquake, tsunami or typhoon.</w:t>
      </w:r>
      <w:r>
        <w:rPr/>
        <w:t xml:space="preserve"> </w:t>
      </w:r>
      <w:r>
        <w:rPr>
          <w:lang w:val="en-US" w:eastAsia="ja-JP"/>
        </w:rPr>
        <w:t>This service enables the large number of subscribers to access the message board in order to post or retrieve information concerning the safety of individuals in the affected area with their mobile phones during a major disaster.</w:t>
      </w:r>
    </w:p>
    <w:p>
      <w:pPr>
        <w:pStyle w:val="Normal"/>
        <w:jc w:val="both"/>
        <w:rPr/>
      </w:pPr>
      <w:r>
        <w:rPr>
          <w:lang w:val="en-US" w:eastAsia="ja-JP"/>
        </w:rPr>
        <w:t>The human</w:t>
      </w:r>
      <w:r>
        <w:rPr>
          <w:lang w:eastAsia="ja-JP"/>
        </w:rPr>
        <w:t xml:space="preserve"> psychological behaviour is to make a voice call in emergency situations. Thus increased voice traffic consumes too much bandwidth for accessing other services such as the Disaster Message Board and/or data services (e.g. SMS).</w:t>
      </w:r>
    </w:p>
    <w:p>
      <w:pPr>
        <w:pStyle w:val="Normal"/>
        <w:jc w:val="both"/>
        <w:rPr>
          <w:color w:val="000000"/>
          <w:lang w:eastAsia="ja-JP"/>
        </w:rPr>
      </w:pPr>
      <w:r>
        <w:rPr>
          <w:lang w:eastAsia="ja-JP"/>
        </w:rPr>
        <w:t>Hence, a limiting mechanism is required to differentiate bandwidth consuming real-time services (e.g. Voice) from bandwidth-efficient data service to access to e.g. a Disaster Message Board.</w:t>
      </w:r>
    </w:p>
    <w:p>
      <w:pPr>
        <w:pStyle w:val="Normal"/>
        <w:rPr>
          <w:rFonts w:ascii="Arial" w:hAnsi="Arial" w:cs="Arial"/>
          <w:b/>
          <w:b/>
          <w:u w:val="single"/>
          <w:lang w:eastAsia="ja-JP"/>
        </w:rPr>
      </w:pPr>
      <w:r>
        <w:rPr>
          <w:rFonts w:cs="Arial" w:ascii="Arial" w:hAnsi="Arial"/>
          <w:b/>
          <w:u w:val="single"/>
          <w:lang w:eastAsia="ja-JP"/>
        </w:rPr>
        <w:t>Use case 2</w:t>
      </w:r>
    </w:p>
    <w:p>
      <w:pPr>
        <w:pStyle w:val="TextBody"/>
        <w:rPr/>
      </w:pPr>
      <w:r>
        <w:rPr/>
        <w:t xml:space="preserve">As described in the Use case 1 above, subscribers may wish to make voice calls to check on the safety of individuals and it may cause congestion.  Under such a situation, prioritised subscribers (e.g. </w:t>
      </w:r>
      <w:r>
        <w:rPr>
          <w:color w:val="000000"/>
        </w:rPr>
        <w:t xml:space="preserve">governmental, military  civil authorities </w:t>
      </w:r>
      <w:r>
        <w:rPr/>
        <w:t xml:space="preserve">) and (depending on national regulation) access to emergency services should still be allowed access to EPS, while voice calls for other subscribers are restricted. </w:t>
      </w:r>
    </w:p>
    <w:p>
      <w:pPr>
        <w:pStyle w:val="Heading1"/>
        <w:bidi w:val="0"/>
        <w:ind w:start="1134" w:hanging="1134"/>
        <w:jc w:val="start"/>
        <w:rPr>
          <w:lang w:eastAsia="ja-JP"/>
        </w:rPr>
      </w:pPr>
      <w:bookmarkStart w:id="16" w:name="__RefHeading___Toc217482957"/>
      <w:bookmarkEnd w:id="16"/>
      <w:r>
        <w:rPr>
          <w:lang w:eastAsia="ja-JP"/>
        </w:rPr>
        <w:t>5</w:t>
      </w:r>
      <w:r>
        <w:rPr/>
        <w:tab/>
      </w:r>
      <w:r>
        <w:rPr>
          <w:lang w:eastAsia="ja-JP"/>
        </w:rPr>
        <w:t>Considerations</w:t>
      </w:r>
    </w:p>
    <w:p>
      <w:pPr>
        <w:pStyle w:val="Normal"/>
        <w:jc w:val="both"/>
        <w:rPr>
          <w:rFonts w:eastAsia="Arial Unicode MS"/>
          <w:lang w:eastAsia="ja-JP"/>
        </w:rPr>
      </w:pPr>
      <w:r>
        <w:rPr>
          <w:rFonts w:eastAsia="Arial Unicode MS"/>
          <w:lang w:eastAsia="ja-JP"/>
        </w:rPr>
        <w:t>In UMTS, Domain Specific Access Control (DSAC) has been introduced.  According to Section 4.1.1 of TR23.898 [</w:t>
      </w:r>
      <w:r>
        <w:rPr>
          <w:rFonts w:eastAsia="Arial Unicode MS"/>
          <w:lang w:eastAsia="ja-JP"/>
        </w:rPr>
        <w:t>x</w:t>
      </w:r>
      <w:r>
        <w:rPr>
          <w:rFonts w:eastAsia="Arial Unicode MS"/>
          <w:lang w:eastAsia="ja-JP"/>
        </w:rPr>
        <w:t xml:space="preserve">], the original motivation was to enable PS service continuation during congestion in CS </w:t>
      </w:r>
      <w:r>
        <w:rPr>
          <w:lang w:eastAsia="ja-JP"/>
        </w:rPr>
        <w:t>n</w:t>
      </w:r>
      <w:r>
        <w:rPr>
          <w:rFonts w:eastAsia="Arial Unicode MS"/>
          <w:lang w:eastAsia="ja-JP"/>
        </w:rPr>
        <w:t>odes.</w:t>
      </w:r>
    </w:p>
    <w:p>
      <w:pPr>
        <w:pStyle w:val="Normal"/>
        <w:jc w:val="both"/>
        <w:rPr>
          <w:color w:val="000000"/>
          <w:lang w:eastAsia="ja-JP"/>
        </w:rPr>
      </w:pPr>
      <w:r>
        <w:rPr>
          <w:rFonts w:eastAsia="Arial Unicode MS"/>
          <w:lang w:eastAsia="ja-JP"/>
        </w:rPr>
        <w:t xml:space="preserve">Although that was the original motivation, operators have been using DSAC to restrict CS calls while permitting PS sessions.  Operators want to avoid service discontinuity in the packet data services due to the congestion in the voice calls side.  </w:t>
      </w:r>
      <w:r>
        <w:rPr>
          <w:color w:val="000000"/>
          <w:lang w:eastAsia="ja-JP"/>
        </w:rPr>
        <w:t xml:space="preserve">Consequently, the use case of DSAC in a real deployment situation has been to apply access control separately on different types of services, such as voice and other packet-switched services. </w:t>
      </w:r>
    </w:p>
    <w:p>
      <w:pPr>
        <w:pStyle w:val="Normal"/>
        <w:jc w:val="both"/>
        <w:rPr/>
      </w:pPr>
      <w:r>
        <w:rPr>
          <w:color w:val="000000"/>
          <w:lang w:eastAsia="ja-JP"/>
        </w:rPr>
        <w:t>The voice services will be provided by MMTeL using IMS in EPS; however the VoIP will be used in the same way as the existing CS-domain voice services (e.g. including Emergency Calls).  This means customer experience</w:t>
      </w:r>
      <w:r>
        <w:rPr>
          <w:color w:val="000000"/>
          <w:lang w:eastAsia="ja-JP"/>
        </w:rPr>
        <w:t xml:space="preserve"> per </w:t>
      </w:r>
      <w:r>
        <w:rPr>
          <w:color w:val="000000"/>
          <w:lang w:eastAsia="ja-JP"/>
        </w:rPr>
        <w:t>“</w:t>
      </w:r>
      <w:r>
        <w:rPr>
          <w:color w:val="000000"/>
          <w:lang w:eastAsia="ja-JP"/>
        </w:rPr>
        <w:t>Service</w:t>
      </w:r>
      <w:r>
        <w:rPr>
          <w:color w:val="000000"/>
          <w:lang w:eastAsia="ja-JP"/>
        </w:rPr>
        <w:t>” in EPS is not different from UMTS.</w:t>
      </w:r>
    </w:p>
    <w:p>
      <w:pPr>
        <w:pStyle w:val="Normal"/>
        <w:jc w:val="both"/>
        <w:rPr>
          <w:lang w:val="en-US" w:eastAsia="ja-JP"/>
        </w:rPr>
      </w:pPr>
      <w:r>
        <w:rPr>
          <w:rFonts w:eastAsia="Arial Unicode MS"/>
          <w:color w:val="000000"/>
          <w:lang w:eastAsia="ja-JP"/>
        </w:rPr>
        <w:t xml:space="preserve">It is reasonable that DSAC principles are to be applied in the PS-domain only EPS as well. </w:t>
      </w:r>
      <w:r>
        <w:rPr>
          <w:rFonts w:eastAsia="Arial Unicode MS"/>
          <w:lang w:eastAsia="ja-JP"/>
        </w:rPr>
        <w:t xml:space="preserve">However, </w:t>
      </w:r>
      <w:r>
        <w:rPr>
          <w:rFonts w:eastAsia="Arial Unicode MS"/>
          <w:lang w:eastAsia="ja-JP"/>
        </w:rPr>
        <w:t>EPS is a PS-Domain only system, so the “Domain Specific” way of access control cannot be applied as it is now.</w:t>
      </w:r>
      <w:r>
        <w:rPr>
          <w:lang w:eastAsia="ja-JP"/>
        </w:rPr>
        <w:t xml:space="preserve">  Hence, </w:t>
      </w:r>
      <w:r>
        <w:rPr>
          <w:lang w:eastAsia="ja-JP"/>
        </w:rPr>
        <w:t>“</w:t>
      </w:r>
      <w:r>
        <w:rPr>
          <w:lang w:eastAsia="ja-JP"/>
        </w:rPr>
        <w:t>Service Specific</w:t>
      </w:r>
      <w:r>
        <w:rPr>
          <w:lang w:eastAsia="ja-JP"/>
        </w:rPr>
        <w:t>”</w:t>
      </w:r>
      <w:r>
        <w:rPr>
          <w:lang w:eastAsia="ja-JP"/>
        </w:rPr>
        <w:t xml:space="preserve"> Access Control (SSAC) has to be specified and introduced to EPS.</w:t>
      </w:r>
    </w:p>
    <w:p>
      <w:pPr>
        <w:pStyle w:val="Heading1"/>
        <w:bidi w:val="0"/>
        <w:ind w:start="1134" w:hanging="1134"/>
        <w:jc w:val="start"/>
        <w:rPr>
          <w:lang w:eastAsia="ar-SA"/>
        </w:rPr>
      </w:pPr>
      <w:bookmarkStart w:id="17" w:name="__RefHeading___Toc217482958"/>
      <w:bookmarkEnd w:id="17"/>
      <w:r>
        <w:rPr>
          <w:lang w:eastAsia="ja-JP"/>
        </w:rPr>
        <w:t>6</w:t>
      </w:r>
      <w:r>
        <w:rPr>
          <w:lang w:eastAsia="ar-SA"/>
        </w:rPr>
        <w:tab/>
        <w:t>Candidate Requirements</w:t>
      </w:r>
    </w:p>
    <w:p>
      <w:pPr>
        <w:pStyle w:val="Normal"/>
        <w:rPr>
          <w:lang w:eastAsia="ja-JP"/>
        </w:rPr>
      </w:pPr>
      <w:r>
        <w:rPr>
          <w:lang w:eastAsia="ja-JP"/>
        </w:rPr>
        <w:t>The following is the principle for the Service Specific Access Control.</w:t>
      </w:r>
    </w:p>
    <w:p>
      <w:pPr>
        <w:pStyle w:val="Normal"/>
        <w:numPr>
          <w:ilvl w:val="0"/>
          <w:numId w:val="3"/>
        </w:numPr>
        <w:spacing w:before="0" w:after="0"/>
        <w:rPr>
          <w:lang w:eastAsia="ja-JP"/>
        </w:rPr>
      </w:pPr>
      <w:r>
        <w:rPr>
          <w:lang w:eastAsia="ja-JP"/>
        </w:rPr>
        <w:t xml:space="preserve">The EPS shall provide a capability to apply </w:t>
      </w:r>
      <w:r>
        <w:rPr>
          <w:lang w:eastAsia="ja-JP"/>
        </w:rPr>
        <w:t xml:space="preserve">independent </w:t>
      </w:r>
      <w:r>
        <w:rPr>
          <w:lang w:eastAsia="ja-JP"/>
        </w:rPr>
        <w:t xml:space="preserve">access control </w:t>
      </w:r>
      <w:r>
        <w:rPr>
          <w:lang w:eastAsia="ja-JP"/>
        </w:rPr>
        <w:t>for</w:t>
      </w:r>
      <w:r>
        <w:rPr>
          <w:lang w:eastAsia="ja-JP"/>
        </w:rPr>
        <w:t xml:space="preserve"> telephony services (MMTEL) and other data services</w:t>
      </w:r>
      <w:r>
        <w:rPr>
          <w:lang w:eastAsia="ja-JP"/>
        </w:rPr>
        <w:t xml:space="preserve">, for mobile originating </w:t>
      </w:r>
      <w:r>
        <w:rPr/>
        <w:t>session requests from idle-mode</w:t>
      </w:r>
      <w:r>
        <w:rPr>
          <w:lang w:eastAsia="ja-JP"/>
        </w:rPr>
        <w:t>.</w:t>
      </w:r>
      <w:r>
        <w:rPr>
          <w:lang w:eastAsia="ja-JP"/>
        </w:rPr>
        <w:t xml:space="preserve"> </w:t>
      </w:r>
    </w:p>
    <w:p>
      <w:pPr>
        <w:pStyle w:val="Normal"/>
        <w:numPr>
          <w:ilvl w:val="0"/>
          <w:numId w:val="3"/>
        </w:numPr>
        <w:spacing w:before="0" w:after="0"/>
        <w:rPr>
          <w:lang w:eastAsia="ja-JP"/>
        </w:rPr>
      </w:pPr>
      <w:r>
        <w:rPr>
          <w:lang w:eastAsia="ja-JP"/>
        </w:rPr>
        <w:t xml:space="preserve">The EPS shall provide a capability to </w:t>
      </w:r>
      <w:r>
        <w:rPr>
          <w:lang w:eastAsia="ja-JP"/>
        </w:rPr>
        <w:t>assign a service probability factor</w:t>
      </w:r>
      <w:r>
        <w:rPr>
          <w:lang w:eastAsia="ja-JP"/>
        </w:rPr>
        <w:t xml:space="preserve"> for each </w:t>
      </w:r>
      <w:r>
        <w:rPr/>
        <w:t>of MMTEL voice and MMTEL video</w:t>
      </w:r>
      <w:r>
        <w:rPr>
          <w:lang w:eastAsia="ja-JP"/>
        </w:rPr>
        <w:t>:</w:t>
      </w:r>
    </w:p>
    <w:p>
      <w:pPr>
        <w:pStyle w:val="Normal"/>
        <w:rPr/>
      </w:pPr>
      <w:r>
        <w:rPr>
          <w:lang w:eastAsia="ja-JP"/>
        </w:rPr>
        <w:tab/>
        <w:t xml:space="preserve">- </w:t>
      </w:r>
      <w:r>
        <w:rPr>
          <w:lang w:eastAsia="ja-JP"/>
        </w:rPr>
        <w:t>assign</w:t>
      </w:r>
      <w:r>
        <w:rPr>
          <w:lang w:eastAsia="ja-JP"/>
        </w:rPr>
        <w:t xml:space="preserve"> a barring rate (percentage) commonly applicable for Access Classes 0-9;</w:t>
      </w:r>
    </w:p>
    <w:p>
      <w:pPr>
        <w:pStyle w:val="Normal"/>
        <w:rPr/>
      </w:pPr>
      <w:r>
        <w:rPr>
          <w:lang w:eastAsia="ja-JP"/>
        </w:rPr>
        <w:tab/>
        <w:t xml:space="preserve">- </w:t>
      </w:r>
      <w:r>
        <w:rPr>
          <w:lang w:eastAsia="ja-JP"/>
        </w:rPr>
        <w:t>assign</w:t>
      </w:r>
      <w:r>
        <w:rPr>
          <w:lang w:eastAsia="ja-JP"/>
        </w:rPr>
        <w:t xml:space="preserve"> a </w:t>
      </w:r>
      <w:r>
        <w:rPr>
          <w:lang w:eastAsia="ja-JP"/>
        </w:rPr>
        <w:t>flag</w:t>
      </w:r>
      <w:r>
        <w:rPr>
          <w:lang w:eastAsia="ja-JP"/>
        </w:rPr>
        <w:t xml:space="preserve"> b</w:t>
      </w:r>
      <w:r>
        <w:rPr>
          <w:lang w:eastAsia="ja-JP"/>
        </w:rPr>
        <w:t>arring</w:t>
      </w:r>
      <w:r>
        <w:rPr>
          <w:lang w:eastAsia="ja-JP"/>
        </w:rPr>
        <w:t xml:space="preserve"> status (barred /unbarred) for each Access Class in the range 11-15.</w:t>
      </w:r>
    </w:p>
    <w:p>
      <w:pPr>
        <w:pStyle w:val="Normal"/>
        <w:ind w:start="300" w:hanging="0"/>
        <w:rPr>
          <w:lang w:eastAsia="ja-JP"/>
        </w:rPr>
      </w:pPr>
      <w:r>
        <w:rPr>
          <w:lang w:eastAsia="ja-JP"/>
        </w:rPr>
        <w:t>SSAC shall not apply to</w:t>
      </w:r>
      <w:r>
        <w:rPr>
          <w:lang w:eastAsia="ja-JP"/>
        </w:rPr>
        <w:t xml:space="preserve"> Access Class 10.</w:t>
      </w:r>
    </w:p>
    <w:p>
      <w:pPr>
        <w:pStyle w:val="Normal"/>
        <w:numPr>
          <w:ilvl w:val="0"/>
          <w:numId w:val="3"/>
        </w:numPr>
        <w:spacing w:before="0" w:after="0"/>
        <w:rPr>
          <w:lang w:eastAsia="ja-JP"/>
        </w:rPr>
      </w:pPr>
      <w:r>
        <w:rPr>
          <w:lang w:eastAsia="ja-JP"/>
        </w:rPr>
        <w:t xml:space="preserve">The SSAC </w:t>
      </w:r>
      <w:r>
        <w:rPr>
          <w:lang w:eastAsia="ja-JP"/>
        </w:rPr>
        <w:t>shall</w:t>
      </w:r>
      <w:r>
        <w:rPr>
          <w:lang w:eastAsia="ja-JP"/>
        </w:rPr>
        <w:t xml:space="preserve"> be provided by the VPLMN based on operator policy without accessing </w:t>
      </w:r>
      <w:r>
        <w:rPr>
          <w:lang w:eastAsia="ja-JP"/>
        </w:rPr>
        <w:t xml:space="preserve">the </w:t>
      </w:r>
      <w:r>
        <w:rPr>
          <w:lang w:eastAsia="ja-JP"/>
        </w:rPr>
        <w:t>HPLMN.</w:t>
      </w:r>
    </w:p>
    <w:p>
      <w:pPr>
        <w:pStyle w:val="Normal"/>
        <w:numPr>
          <w:ilvl w:val="0"/>
          <w:numId w:val="3"/>
        </w:numPr>
        <w:spacing w:before="0" w:after="0"/>
        <w:rPr>
          <w:lang w:eastAsia="ja-JP"/>
        </w:rPr>
      </w:pPr>
      <w:r>
        <w:rPr/>
        <w:t>The SSAC shall provide mechanisms</w:t>
      </w:r>
      <w:r>
        <w:rPr/>
        <w:t xml:space="preserve"> </w:t>
      </w:r>
      <w:r>
        <w:rPr/>
        <w:t>to</w:t>
      </w:r>
      <w:r>
        <w:rPr/>
        <w:t xml:space="preserve"> </w:t>
      </w:r>
      <w:r>
        <w:rPr/>
        <w:t xml:space="preserve">minimize service availability degradation </w:t>
      </w:r>
      <w:r>
        <w:rPr/>
        <w:t xml:space="preserve">(i.e. radio resource shortage) due to the mass simultaneous mobile originating </w:t>
      </w:r>
      <w:r>
        <w:rPr/>
        <w:t>session</w:t>
      </w:r>
      <w:r>
        <w:rPr/>
        <w:t xml:space="preserve"> requests </w:t>
      </w:r>
      <w:r>
        <w:rPr/>
        <w:t>and maximize the availability</w:t>
      </w:r>
      <w:r>
        <w:rPr/>
        <w:t xml:space="preserve"> </w:t>
      </w:r>
      <w:r>
        <w:rPr/>
        <w:t xml:space="preserve">of the </w:t>
      </w:r>
      <w:r>
        <w:rPr/>
        <w:t xml:space="preserve">wireless access </w:t>
      </w:r>
      <w:r>
        <w:rPr/>
        <w:t>resources for non-barred services</w:t>
      </w:r>
      <w:r>
        <w:rPr/>
        <w:t>.</w:t>
      </w:r>
    </w:p>
    <w:p>
      <w:pPr>
        <w:pStyle w:val="Heading1"/>
        <w:bidi w:val="0"/>
        <w:ind w:start="1134" w:hanging="1134"/>
        <w:jc w:val="start"/>
        <w:rPr>
          <w:lang w:eastAsia="ar-SA"/>
        </w:rPr>
      </w:pPr>
      <w:bookmarkStart w:id="18" w:name="__RefHeading___Toc217482959"/>
      <w:bookmarkEnd w:id="18"/>
      <w:r>
        <w:rPr>
          <w:lang w:eastAsia="ja-JP"/>
        </w:rPr>
        <w:t>7</w:t>
      </w:r>
      <w:r>
        <w:rPr>
          <w:lang w:eastAsia="ar-SA"/>
        </w:rPr>
        <w:tab/>
        <w:t>Conclusion</w:t>
      </w:r>
    </w:p>
    <w:p>
      <w:pPr>
        <w:pStyle w:val="Normal"/>
        <w:rPr/>
      </w:pPr>
      <w:r>
        <w:rPr>
          <w:lang w:eastAsia="ar-SA"/>
        </w:rPr>
        <w:t xml:space="preserve">This Technical Report (TR) on Study on </w:t>
      </w:r>
      <w:r>
        <w:rPr/>
        <w:t xml:space="preserve">Service Specific Access Control (SSAC) identified </w:t>
      </w:r>
      <w:r>
        <w:rPr>
          <w:lang w:eastAsia="ar-SA"/>
        </w:rPr>
        <w:t>the requirements for</w:t>
      </w:r>
      <w:r>
        <w:rPr/>
        <w:t xml:space="preserve"> SSAC and</w:t>
      </w:r>
      <w:r>
        <w:rPr>
          <w:lang w:eastAsia="ar-SA"/>
        </w:rPr>
        <w:t xml:space="preserve"> considered the following aspects: </w:t>
      </w:r>
    </w:p>
    <w:p>
      <w:pPr>
        <w:pStyle w:val="Normal"/>
        <w:numPr>
          <w:ilvl w:val="0"/>
          <w:numId w:val="4"/>
        </w:numPr>
        <w:spacing w:before="0" w:after="0"/>
        <w:rPr>
          <w:lang w:eastAsia="ar-SA"/>
        </w:rPr>
      </w:pPr>
      <w:r>
        <w:rPr>
          <w:lang w:eastAsia="ar-SA"/>
        </w:rPr>
        <w:t>Use cases were documented and issues clarified for SSAC in EPS.</w:t>
      </w:r>
    </w:p>
    <w:p>
      <w:pPr>
        <w:pStyle w:val="Normal"/>
        <w:numPr>
          <w:ilvl w:val="0"/>
          <w:numId w:val="4"/>
        </w:numPr>
        <w:spacing w:before="0" w:after="0"/>
        <w:rPr>
          <w:lang w:eastAsia="ar-SA"/>
        </w:rPr>
      </w:pPr>
      <w:r>
        <w:rPr/>
        <w:t>C</w:t>
      </w:r>
      <w:r>
        <w:rPr/>
        <w:t>onsiderations</w:t>
      </w:r>
      <w:r>
        <w:rPr>
          <w:lang w:eastAsia="ar-SA"/>
        </w:rPr>
        <w:t xml:space="preserve"> were described as well as problems with existing access</w:t>
      </w:r>
      <w:r>
        <w:rPr/>
        <w:t xml:space="preserve"> c</w:t>
      </w:r>
      <w:r>
        <w:rPr>
          <w:lang w:eastAsia="ar-SA"/>
        </w:rPr>
        <w:t>ontrol</w:t>
      </w:r>
      <w:r>
        <w:rPr/>
        <w:t>, which are identified in the use</w:t>
      </w:r>
      <w:r>
        <w:rPr/>
        <w:t xml:space="preserve"> </w:t>
      </w:r>
      <w:r>
        <w:rPr/>
        <w:t>cases</w:t>
      </w:r>
      <w:r>
        <w:rPr/>
        <w:t>.</w:t>
      </w:r>
    </w:p>
    <w:p>
      <w:pPr>
        <w:pStyle w:val="Normal"/>
        <w:numPr>
          <w:ilvl w:val="0"/>
          <w:numId w:val="4"/>
        </w:numPr>
        <w:spacing w:before="0" w:after="0"/>
        <w:rPr/>
      </w:pPr>
      <w:r>
        <w:rPr>
          <w:lang w:eastAsia="ar-SA"/>
        </w:rPr>
        <w:t>Candidate requirements and aspects were identified for providing</w:t>
      </w:r>
      <w:r>
        <w:rPr/>
        <w:t xml:space="preserve"> SSAC in EPS</w:t>
      </w:r>
      <w:r>
        <w:rPr>
          <w:lang w:eastAsia="ar-SA"/>
        </w:rPr>
        <w:t>.</w:t>
      </w:r>
    </w:p>
    <w:p>
      <w:pPr>
        <w:pStyle w:val="Normal"/>
        <w:rPr>
          <w:lang w:eastAsia="ar-SA"/>
        </w:rPr>
      </w:pPr>
      <w:r>
        <w:rPr>
          <w:lang w:eastAsia="ar-SA"/>
        </w:rPr>
      </w:r>
    </w:p>
    <w:p>
      <w:pPr>
        <w:pStyle w:val="Normal"/>
        <w:rPr/>
      </w:pPr>
      <w:r>
        <w:rPr/>
        <w:t>From t</w:t>
      </w:r>
      <w:r>
        <w:rPr/>
        <w:t>his study</w:t>
      </w:r>
      <w:r>
        <w:rPr/>
        <w:t xml:space="preserve">, </w:t>
      </w:r>
      <w:r>
        <w:rPr/>
        <w:t>it is concluded the following:</w:t>
      </w:r>
    </w:p>
    <w:p>
      <w:pPr>
        <w:pStyle w:val="Normal"/>
        <w:numPr>
          <w:ilvl w:val="0"/>
          <w:numId w:val="4"/>
        </w:numPr>
        <w:spacing w:before="0" w:after="0"/>
        <w:jc w:val="both"/>
        <w:rPr>
          <w:lang w:val="en-US"/>
        </w:rPr>
      </w:pPr>
      <w:r>
        <w:rPr>
          <w:rFonts w:eastAsia="Arial Unicode MS"/>
        </w:rPr>
        <w:t>EPS is a PS-Domain only system, so the “Domain Specific” way of access control cannot be applied as it is now.</w:t>
      </w:r>
      <w:r>
        <w:rPr/>
        <w:t xml:space="preserve">  Hence, </w:t>
      </w:r>
      <w:r>
        <w:rPr/>
        <w:t>“</w:t>
      </w:r>
      <w:r>
        <w:rPr/>
        <w:t>Service Specific</w:t>
      </w:r>
      <w:r>
        <w:rPr/>
        <w:t>”</w:t>
      </w:r>
      <w:r>
        <w:rPr/>
        <w:t xml:space="preserve"> Access Control (SSAC) has to be specified and introduced to EPS.</w:t>
      </w:r>
    </w:p>
    <w:p>
      <w:pPr>
        <w:pStyle w:val="Normal"/>
        <w:tabs>
          <w:tab w:val="clear" w:pos="284"/>
          <w:tab w:val="left" w:pos="3073" w:leader="none"/>
        </w:tabs>
        <w:rPr>
          <w:lang w:val="en-US"/>
        </w:rPr>
      </w:pPr>
      <w:r>
        <w:rPr>
          <w:lang w:val="en-US"/>
        </w:rPr>
      </w:r>
    </w:p>
    <w:p>
      <w:pPr>
        <w:pStyle w:val="Normal"/>
        <w:tabs>
          <w:tab w:val="clear" w:pos="284"/>
          <w:tab w:val="left" w:pos="3073" w:leader="none"/>
        </w:tabs>
        <w:ind w:start="720" w:hanging="0"/>
        <w:rPr/>
      </w:pPr>
      <w:r>
        <w:rPr/>
        <w:t>SSAC shall provide mechanisms to minimize service availability degradation (i.e. radio resource shortage) due to the mass simultaneous mobile originating session requests and maximize the availability of the wireless access resources for non-barred services.</w:t>
      </w:r>
    </w:p>
    <w:p>
      <w:pPr>
        <w:pStyle w:val="Normal"/>
        <w:rPr/>
      </w:pPr>
      <w:r>
        <w:rPr/>
        <w:t xml:space="preserve">It is also concluded that the content of this TR </w:t>
      </w:r>
      <w:r>
        <w:rPr/>
        <w:t xml:space="preserve">be used as a basis for further </w:t>
      </w:r>
      <w:r>
        <w:rPr/>
        <w:t xml:space="preserve">work within </w:t>
      </w:r>
      <w:r>
        <w:rPr/>
        <w:t>3GPP</w:t>
      </w:r>
      <w:r>
        <w:rPr/>
        <w:t>.</w:t>
      </w:r>
      <w:r>
        <w:br w:type="page"/>
      </w:r>
    </w:p>
    <w:p>
      <w:pPr>
        <w:pStyle w:val="Heading9"/>
        <w:bidi w:val="0"/>
        <w:jc w:val="start"/>
        <w:rPr>
          <w:lang w:eastAsia="ja-JP"/>
        </w:rPr>
      </w:pPr>
      <w:bookmarkStart w:id="19" w:name="__RefHeading___Toc217482960"/>
      <w:bookmarkStart w:id="20" w:name="historyclause"/>
      <w:bookmarkEnd w:id="19"/>
      <w:bookmarkEnd w:id="20"/>
      <w:r>
        <w:rPr>
          <w:lang w:eastAsia="ja-JP"/>
        </w:rPr>
        <w:t>Annex A:</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SP-080786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S1-084390</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22.986</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Rel-9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One-step-approved at SA#42</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SSAC</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6"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3"/>
      <w:footerReference w:type="default" r:id="rId4"/>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8">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22.986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22.986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5">
              <wp:simplePos x="0" y="0"/>
              <wp:positionH relativeFrom="margin">
                <wp:align>center</wp:align>
              </wp:positionH>
              <wp:positionV relativeFrom="paragraph">
                <wp:posOffset>635</wp:posOffset>
              </wp:positionV>
              <wp:extent cx="641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2">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644"/>
        </w:tabs>
        <w:ind w:start="644" w:hanging="360"/>
      </w:pPr>
      <w:rPr>
        <w:rFonts w:ascii="Times New Roman" w:hAnsi="Times New Roman" w:cs="Times New Roman" w:hint="default"/>
      </w:rPr>
    </w:lvl>
  </w:abstractNum>
  <w:abstractNum w:abstractNumId="3">
    <w:lvl w:ilvl="0">
      <w:start w:val="1"/>
      <w:numFmt w:val="decimal"/>
      <w:lvlText w:val="%1."/>
      <w:lvlJc w:val="start"/>
      <w:pPr>
        <w:tabs>
          <w:tab w:val="num" w:pos="360"/>
        </w:tabs>
        <w:ind w:start="360" w:hanging="360"/>
      </w:pPr>
      <w:rPr>
        <w:sz w:val="20"/>
        <w:lang w:eastAsia="ja-JP"/>
      </w:rPr>
    </w:lvl>
  </w:abstractNum>
  <w:abstractNum w:abstractNumId="4">
    <w:lvl w:ilvl="0">
      <w:start w:val="7"/>
      <w:numFmt w:val="bullet"/>
      <w:lvlText w:val="-"/>
      <w:lvlJc w:val="start"/>
      <w:pPr>
        <w:tabs>
          <w:tab w:val="num" w:pos="0"/>
        </w:tabs>
        <w:ind w:start="720" w:hanging="360"/>
      </w:pPr>
      <w:rPr>
        <w:rFonts w:ascii="Times New Roman" w:hAnsi="Times New Roman" w:cs="Times New Roman"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Times New Roman" w:hAnsi="Times New Roman" w:eastAsia="MS Mincho;ＭＳ 明朝" w:cs="Times New Roman"/>
      <w:lang w:eastAsia="ar-SA"/>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z w:val="20"/>
      <w:lang w:eastAsia="ja-JP"/>
    </w:rPr>
  </w:style>
  <w:style w:type="character" w:styleId="WW8Num4z2">
    <w:name w:val="WW8Num4z2"/>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MS Mincho;ＭＳ 明朝" w:cs="Times New Roman"/>
    </w:rPr>
  </w:style>
  <w:style w:type="character" w:styleId="WW8Num5z1">
    <w:name w:val="WW8Num5z1"/>
    <w:qFormat/>
    <w:rPr>
      <w:rFonts w:ascii="Wingdings" w:hAnsi="Wingdings" w:cs="Wingdings"/>
    </w:rPr>
  </w:style>
  <w:style w:type="character" w:styleId="WW8Num6z0">
    <w:name w:val="WW8Num6z0"/>
    <w:qFormat/>
    <w:rPr>
      <w:rFonts w:ascii="Times New Roman" w:hAnsi="Times New Roman" w:eastAsia="MS Mincho;ＭＳ 明朝" w:cs="Times New Roman"/>
      <w:lang w:val="en-US" w:eastAsia="ar-SA"/>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B1Char">
    <w:name w:val="B1 Char"/>
    <w:basedOn w:val="DefaultParagraphFont"/>
    <w:qFormat/>
    <w:rPr>
      <w:rFonts w:eastAsia="MS Mincho;ＭＳ 明朝"/>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MS Mincho;ＭＳ 明朝"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MS Mincho;ＭＳ 明朝"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CharChar">
    <w:name w:val=" (文字) (文字) Char Char Char (文字) (文字)"/>
    <w:basedOn w:val="Normal"/>
    <w:qFormat/>
    <w:pPr>
      <w:spacing w:lineRule="exact" w:line="240" w:before="0" w:after="160"/>
    </w:pPr>
    <w:rPr>
      <w:rFonts w:ascii="Arial" w:hAnsi="Arial" w:eastAsia="SimSun;Arial Unicode MS" w:cs="Arial"/>
      <w:szCs w:val="22"/>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2008-12-19T16:15:00Z</dcterms:created>
  <dc:creator>MCC Support</dc:creator>
  <dc:description/>
  <cp:keywords/>
  <dc:language>en-US</dc:language>
  <cp:lastModifiedBy>Alain Sultan</cp:lastModifiedBy>
  <dcterms:modified xsi:type="dcterms:W3CDTF">2011-04-08T09:55:00Z</dcterms:modified>
  <cp:revision>7</cp:revision>
  <dc:subject>Study on Service Specific Access Control (Release 10)   As EPS is a PS-Domain only system, DSAC access control does not apply.</dc:subject>
  <dc:title>3GPP TR 22.986</dc:title>
</cp:coreProperties>
</file>