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23.240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23.240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3GPP Generic User Profile (GUP);</w:t>
                            </w:r>
                          </w:p>
                          <w:p>
                            <w:pPr>
                              <w:pStyle w:val="ZT"/>
                              <w:widowControl w:val="false"/>
                              <w:bidi w:val="0"/>
                              <w:spacing w:lineRule="atLeast" w:line="240"/>
                              <w:jc w:val="end"/>
                              <w:rPr/>
                            </w:pPr>
                            <w:r>
                              <w:rPr/>
                              <w:t>Architecture (Stage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3GPP Generic User Profile (GUP);</w:t>
                      </w:r>
                    </w:p>
                    <w:p>
                      <w:pPr>
                        <w:pStyle w:val="ZT"/>
                        <w:widowControl w:val="false"/>
                        <w:bidi w:val="0"/>
                        <w:spacing w:lineRule="atLeast" w:line="240"/>
                        <w:jc w:val="end"/>
                        <w:rPr/>
                      </w:pPr>
                      <w:r>
                        <w:rPr/>
                        <w:t>Architecture (Stage 2)</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957964336"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23800529"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68620" cy="452755"/>
                <wp:effectExtent l="0" t="0" r="0" b="0"/>
                <wp:wrapTopAndBottom/>
                <wp:docPr id="9" name="Frame7"/>
                <a:graphic xmlns:a="http://schemas.openxmlformats.org/drawingml/2006/main">
                  <a:graphicData uri="http://schemas.microsoft.com/office/word/2010/wordprocessingShape">
                    <wps:wsp>
                      <wps:cNvSpPr txBox="1"/>
                      <wps:spPr>
                        <a:xfrm>
                          <a:off x="0" y="0"/>
                          <a:ext cx="54686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architecture, user</w:t>
                            </w:r>
                          </w:p>
                        </w:txbxContent>
                      </wps:txbx>
                      <wps:bodyPr anchor="t" lIns="0" tIns="0" rIns="0" bIns="12700">
                        <a:noAutofit/>
                      </wps:bodyPr>
                    </wps:wsp>
                  </a:graphicData>
                </a:graphic>
              </wp:anchor>
            </w:drawing>
          </mc:Choice>
          <mc:Fallback>
            <w:pict>
              <v:rect fillcolor="#FFFFFF" style="position:absolute;rotation:0;width:430.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architecture, user</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64529">
            <w:r>
              <w:rPr>
                <w:rStyle w:val="IndexLink"/>
              </w:rPr>
              <w:t>5</w:t>
            </w:r>
          </w:hyperlink>
        </w:p>
        <w:p>
          <w:pPr>
            <w:pStyle w:val="Contents1"/>
            <w:tabs>
              <w:tab w:val="clear" w:pos="9639"/>
              <w:tab w:val="right" w:pos="9640" w:leader="dot"/>
            </w:tabs>
            <w:bidi w:val="0"/>
            <w:jc w:val="start"/>
            <w:rPr/>
          </w:pPr>
          <w:r>
            <w:rPr/>
            <w:t>Introduction</w:t>
            <w:tab/>
          </w:r>
          <w:hyperlink w:anchor="__RefHeading___Toc287964530">
            <w:r>
              <w:rPr>
                <w:rStyle w:val="IndexLink"/>
              </w:rPr>
              <w:t>5</w:t>
            </w:r>
          </w:hyperlink>
        </w:p>
        <w:p>
          <w:pPr>
            <w:pStyle w:val="Contents1"/>
            <w:tabs>
              <w:tab w:val="clear" w:pos="9639"/>
              <w:tab w:val="right" w:pos="9640" w:leader="dot"/>
            </w:tabs>
            <w:bidi w:val="0"/>
            <w:jc w:val="start"/>
            <w:rPr/>
          </w:pPr>
          <w:r>
            <w:rPr/>
            <w:t>1 Scope</w:t>
            <w:tab/>
          </w:r>
          <w:hyperlink w:anchor="__RefHeading___Toc287964531">
            <w:r>
              <w:rPr>
                <w:rStyle w:val="IndexLink"/>
              </w:rPr>
              <w:t>6</w:t>
            </w:r>
          </w:hyperlink>
        </w:p>
        <w:p>
          <w:pPr>
            <w:pStyle w:val="Contents1"/>
            <w:tabs>
              <w:tab w:val="clear" w:pos="9639"/>
              <w:tab w:val="right" w:pos="9640" w:leader="dot"/>
            </w:tabs>
            <w:bidi w:val="0"/>
            <w:jc w:val="start"/>
            <w:rPr/>
          </w:pPr>
          <w:r>
            <w:rPr/>
            <w:t>2 References</w:t>
            <w:tab/>
          </w:r>
          <w:hyperlink w:anchor="__RefHeading___Toc287964532">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87964533">
            <w:r>
              <w:rPr>
                <w:rStyle w:val="IndexLink"/>
              </w:rPr>
              <w:t>6</w:t>
            </w:r>
          </w:hyperlink>
        </w:p>
        <w:p>
          <w:pPr>
            <w:pStyle w:val="Contents2"/>
            <w:tabs>
              <w:tab w:val="clear" w:pos="9639"/>
              <w:tab w:val="right" w:pos="9640" w:leader="dot"/>
            </w:tabs>
            <w:bidi w:val="0"/>
            <w:jc w:val="start"/>
            <w:rPr/>
          </w:pPr>
          <w:r>
            <w:rPr/>
            <w:t>3.1 Definitions</w:t>
            <w:tab/>
          </w:r>
          <w:hyperlink w:anchor="__RefHeading___Toc287964534">
            <w:r>
              <w:rPr>
                <w:rStyle w:val="IndexLink"/>
              </w:rPr>
              <w:t>6</w:t>
            </w:r>
          </w:hyperlink>
        </w:p>
        <w:p>
          <w:pPr>
            <w:pStyle w:val="Contents2"/>
            <w:tabs>
              <w:tab w:val="clear" w:pos="9639"/>
              <w:tab w:val="right" w:pos="9640" w:leader="dot"/>
            </w:tabs>
            <w:bidi w:val="0"/>
            <w:jc w:val="start"/>
            <w:rPr/>
          </w:pPr>
          <w:r>
            <w:rPr/>
            <w:t>3.2 Symbols</w:t>
            <w:tab/>
          </w:r>
          <w:hyperlink w:anchor="__RefHeading___Toc287964535">
            <w:r>
              <w:rPr>
                <w:rStyle w:val="IndexLink"/>
              </w:rPr>
              <w:t>7</w:t>
            </w:r>
          </w:hyperlink>
        </w:p>
        <w:p>
          <w:pPr>
            <w:pStyle w:val="Contents2"/>
            <w:tabs>
              <w:tab w:val="clear" w:pos="9639"/>
              <w:tab w:val="right" w:pos="9640" w:leader="dot"/>
            </w:tabs>
            <w:bidi w:val="0"/>
            <w:jc w:val="start"/>
            <w:rPr/>
          </w:pPr>
          <w:r>
            <w:rPr/>
            <w:t>3.3 Abbreviations</w:t>
            <w:tab/>
          </w:r>
          <w:hyperlink w:anchor="__RefHeading___Toc287964536">
            <w:r>
              <w:rPr>
                <w:rStyle w:val="IndexLink"/>
              </w:rPr>
              <w:t>7</w:t>
            </w:r>
          </w:hyperlink>
        </w:p>
        <w:p>
          <w:pPr>
            <w:pStyle w:val="Contents1"/>
            <w:tabs>
              <w:tab w:val="clear" w:pos="9639"/>
              <w:tab w:val="right" w:pos="9640" w:leader="dot"/>
            </w:tabs>
            <w:bidi w:val="0"/>
            <w:jc w:val="start"/>
            <w:rPr/>
          </w:pPr>
          <w:r>
            <w:rPr/>
            <w:t>4 Reference Architecture</w:t>
            <w:tab/>
          </w:r>
          <w:hyperlink w:anchor="__RefHeading___Toc287964537">
            <w:r>
              <w:rPr>
                <w:rStyle w:val="IndexLink"/>
              </w:rPr>
              <w:t>7</w:t>
            </w:r>
          </w:hyperlink>
        </w:p>
        <w:p>
          <w:pPr>
            <w:pStyle w:val="Contents2"/>
            <w:tabs>
              <w:tab w:val="clear" w:pos="9639"/>
              <w:tab w:val="right" w:pos="9640" w:leader="dot"/>
            </w:tabs>
            <w:bidi w:val="0"/>
            <w:jc w:val="start"/>
            <w:rPr/>
          </w:pPr>
          <w:r>
            <w:rPr/>
            <w:t>4.1 GUP Functionalities</w:t>
            <w:tab/>
          </w:r>
          <w:hyperlink w:anchor="__RefHeading___Toc287964538">
            <w:r>
              <w:rPr>
                <w:rStyle w:val="IndexLink"/>
              </w:rPr>
              <w:t>7</w:t>
            </w:r>
          </w:hyperlink>
        </w:p>
        <w:p>
          <w:pPr>
            <w:pStyle w:val="Contents3"/>
            <w:tabs>
              <w:tab w:val="clear" w:pos="9639"/>
              <w:tab w:val="right" w:pos="9640" w:leader="dot"/>
            </w:tabs>
            <w:bidi w:val="0"/>
            <w:jc w:val="start"/>
            <w:rPr/>
          </w:pPr>
          <w:r>
            <w:rPr/>
            <w:t>4.1.1 Harmonized access interface</w:t>
            <w:tab/>
          </w:r>
          <w:hyperlink w:anchor="__RefHeading___Toc287964539">
            <w:r>
              <w:rPr>
                <w:rStyle w:val="IndexLink"/>
              </w:rPr>
              <w:t>7</w:t>
            </w:r>
          </w:hyperlink>
        </w:p>
        <w:p>
          <w:pPr>
            <w:pStyle w:val="Contents3"/>
            <w:tabs>
              <w:tab w:val="clear" w:pos="9639"/>
              <w:tab w:val="right" w:pos="9640" w:leader="dot"/>
            </w:tabs>
            <w:bidi w:val="0"/>
            <w:jc w:val="start"/>
            <w:rPr/>
          </w:pPr>
          <w:r>
            <w:rPr/>
            <w:t>4.1.2 Single point of access</w:t>
            <w:tab/>
          </w:r>
          <w:hyperlink w:anchor="__RefHeading___Toc287964540">
            <w:r>
              <w:rPr>
                <w:rStyle w:val="IndexLink"/>
              </w:rPr>
              <w:t>7</w:t>
            </w:r>
          </w:hyperlink>
        </w:p>
        <w:p>
          <w:pPr>
            <w:pStyle w:val="Contents3"/>
            <w:tabs>
              <w:tab w:val="clear" w:pos="9639"/>
              <w:tab w:val="right" w:pos="9640" w:leader="dot"/>
            </w:tabs>
            <w:bidi w:val="0"/>
            <w:jc w:val="start"/>
            <w:rPr/>
          </w:pPr>
          <w:r>
            <w:rPr/>
            <w:t>4.1.3 Authentication of profile access</w:t>
            <w:tab/>
          </w:r>
          <w:hyperlink w:anchor="__RefHeading___Toc287964541">
            <w:r>
              <w:rPr>
                <w:rStyle w:val="IndexLink"/>
              </w:rPr>
              <w:t>7</w:t>
            </w:r>
          </w:hyperlink>
        </w:p>
        <w:p>
          <w:pPr>
            <w:pStyle w:val="Contents3"/>
            <w:tabs>
              <w:tab w:val="clear" w:pos="9639"/>
              <w:tab w:val="right" w:pos="9640" w:leader="dot"/>
            </w:tabs>
            <w:bidi w:val="0"/>
            <w:jc w:val="start"/>
            <w:rPr/>
          </w:pPr>
          <w:r>
            <w:rPr/>
            <w:t>4.1.4 Authorization of profile access</w:t>
            <w:tab/>
          </w:r>
          <w:hyperlink w:anchor="__RefHeading___Toc287964542">
            <w:r>
              <w:rPr>
                <w:rStyle w:val="IndexLink"/>
              </w:rPr>
              <w:t>7</w:t>
            </w:r>
          </w:hyperlink>
        </w:p>
        <w:p>
          <w:pPr>
            <w:pStyle w:val="Contents3"/>
            <w:tabs>
              <w:tab w:val="clear" w:pos="9639"/>
              <w:tab w:val="right" w:pos="9640" w:leader="dot"/>
            </w:tabs>
            <w:bidi w:val="0"/>
            <w:jc w:val="start"/>
            <w:rPr/>
          </w:pPr>
          <w:r>
            <w:rPr/>
            <w:t>4.1.5 Privacy control</w:t>
            <w:tab/>
          </w:r>
          <w:hyperlink w:anchor="__RefHeading___Toc287964543">
            <w:r>
              <w:rPr>
                <w:rStyle w:val="IndexLink"/>
              </w:rPr>
              <w:t>8</w:t>
            </w:r>
          </w:hyperlink>
        </w:p>
        <w:p>
          <w:pPr>
            <w:pStyle w:val="Contents3"/>
            <w:tabs>
              <w:tab w:val="clear" w:pos="9639"/>
              <w:tab w:val="right" w:pos="9640" w:leader="dot"/>
            </w:tabs>
            <w:bidi w:val="0"/>
            <w:jc w:val="start"/>
            <w:rPr/>
          </w:pPr>
          <w:r>
            <w:rPr/>
            <w:t>4.1.6 Synchronization of data storage</w:t>
            <w:tab/>
          </w:r>
          <w:hyperlink w:anchor="__RefHeading___Toc287964544">
            <w:r>
              <w:rPr>
                <w:rStyle w:val="IndexLink"/>
              </w:rPr>
              <w:t>8</w:t>
            </w:r>
          </w:hyperlink>
        </w:p>
        <w:p>
          <w:pPr>
            <w:pStyle w:val="Contents3"/>
            <w:tabs>
              <w:tab w:val="clear" w:pos="9639"/>
              <w:tab w:val="right" w:pos="9640" w:leader="dot"/>
            </w:tabs>
            <w:bidi w:val="0"/>
            <w:jc w:val="start"/>
            <w:rPr/>
          </w:pPr>
          <w:r>
            <w:rPr/>
            <w:t>4.1.7 Access of profile from visited network</w:t>
            <w:tab/>
          </w:r>
          <w:hyperlink w:anchor="__RefHeading___Toc287964545">
            <w:r>
              <w:rPr>
                <w:rStyle w:val="IndexLink"/>
              </w:rPr>
              <w:t>8</w:t>
            </w:r>
          </w:hyperlink>
        </w:p>
        <w:p>
          <w:pPr>
            <w:pStyle w:val="Contents3"/>
            <w:tabs>
              <w:tab w:val="clear" w:pos="9639"/>
              <w:tab w:val="right" w:pos="9640" w:leader="dot"/>
            </w:tabs>
            <w:bidi w:val="0"/>
            <w:jc w:val="start"/>
            <w:rPr/>
          </w:pPr>
          <w:r>
            <w:rPr/>
            <w:t>4.1.8 Location of Profile Components</w:t>
            <w:tab/>
          </w:r>
          <w:hyperlink w:anchor="__RefHeading___Toc287964546">
            <w:r>
              <w:rPr>
                <w:rStyle w:val="IndexLink"/>
              </w:rPr>
              <w:t>8</w:t>
            </w:r>
          </w:hyperlink>
        </w:p>
        <w:p>
          <w:pPr>
            <w:pStyle w:val="Contents3"/>
            <w:tabs>
              <w:tab w:val="clear" w:pos="9639"/>
              <w:tab w:val="right" w:pos="9640" w:leader="dot"/>
            </w:tabs>
            <w:bidi w:val="0"/>
            <w:jc w:val="start"/>
            <w:rPr/>
          </w:pPr>
          <w:r>
            <w:rPr/>
            <w:t>4.1.9 Charging for profile access</w:t>
            <w:tab/>
          </w:r>
          <w:hyperlink w:anchor="__RefHeading___Toc287964547">
            <w:r>
              <w:rPr>
                <w:rStyle w:val="IndexLink"/>
              </w:rPr>
              <w:t>8</w:t>
            </w:r>
          </w:hyperlink>
        </w:p>
        <w:p>
          <w:pPr>
            <w:pStyle w:val="Contents2"/>
            <w:tabs>
              <w:tab w:val="clear" w:pos="9639"/>
              <w:tab w:val="right" w:pos="9640" w:leader="dot"/>
            </w:tabs>
            <w:bidi w:val="0"/>
            <w:jc w:val="start"/>
            <w:rPr/>
          </w:pPr>
          <w:r>
            <w:rPr/>
            <w:t>4.2 GUP functional entities</w:t>
            <w:tab/>
          </w:r>
          <w:hyperlink w:anchor="__RefHeading___Toc287964548">
            <w:r>
              <w:rPr>
                <w:rStyle w:val="IndexLink"/>
              </w:rPr>
              <w:t>9</w:t>
            </w:r>
          </w:hyperlink>
        </w:p>
        <w:p>
          <w:pPr>
            <w:pStyle w:val="Contents3"/>
            <w:tabs>
              <w:tab w:val="clear" w:pos="9639"/>
              <w:tab w:val="right" w:pos="9640" w:leader="dot"/>
            </w:tabs>
            <w:bidi w:val="0"/>
            <w:jc w:val="start"/>
            <w:rPr/>
          </w:pPr>
          <w:r>
            <w:rPr/>
            <w:t>4.2.1 GUP Server</w:t>
            <w:tab/>
          </w:r>
          <w:hyperlink w:anchor="__RefHeading___Toc287964549">
            <w:r>
              <w:rPr>
                <w:rStyle w:val="IndexLink"/>
              </w:rPr>
              <w:t>10</w:t>
            </w:r>
          </w:hyperlink>
        </w:p>
        <w:p>
          <w:pPr>
            <w:pStyle w:val="Contents4"/>
            <w:tabs>
              <w:tab w:val="clear" w:pos="9639"/>
              <w:tab w:val="right" w:pos="9640" w:leader="dot"/>
            </w:tabs>
            <w:bidi w:val="0"/>
            <w:jc w:val="start"/>
            <w:rPr/>
          </w:pPr>
          <w:r>
            <w:rPr/>
            <w:t>4.2.1.1 Single point of access</w:t>
            <w:tab/>
          </w:r>
          <w:hyperlink w:anchor="__RefHeading___Toc287964550">
            <w:r>
              <w:rPr>
                <w:rStyle w:val="IndexLink"/>
              </w:rPr>
              <w:t>11</w:t>
            </w:r>
          </w:hyperlink>
        </w:p>
        <w:p>
          <w:pPr>
            <w:pStyle w:val="Contents4"/>
            <w:tabs>
              <w:tab w:val="clear" w:pos="9639"/>
              <w:tab w:val="right" w:pos="9640" w:leader="dot"/>
            </w:tabs>
            <w:bidi w:val="0"/>
            <w:jc w:val="start"/>
            <w:rPr/>
          </w:pPr>
          <w:r>
            <w:rPr/>
            <w:t>4.2.1.2 Location of profile components</w:t>
            <w:tab/>
          </w:r>
          <w:hyperlink w:anchor="__RefHeading___Toc287964551">
            <w:r>
              <w:rPr>
                <w:rStyle w:val="IndexLink"/>
              </w:rPr>
              <w:t>12</w:t>
            </w:r>
          </w:hyperlink>
        </w:p>
        <w:p>
          <w:pPr>
            <w:pStyle w:val="Contents4"/>
            <w:tabs>
              <w:tab w:val="clear" w:pos="9639"/>
              <w:tab w:val="right" w:pos="9640" w:leader="dot"/>
            </w:tabs>
            <w:bidi w:val="0"/>
            <w:jc w:val="start"/>
            <w:rPr/>
          </w:pPr>
          <w:r>
            <w:rPr/>
            <w:t>4.2.1.3 Authentication of profile request</w:t>
            <w:tab/>
          </w:r>
          <w:hyperlink w:anchor="__RefHeading___Toc287964552">
            <w:r>
              <w:rPr>
                <w:rStyle w:val="IndexLink"/>
              </w:rPr>
              <w:t>12</w:t>
            </w:r>
          </w:hyperlink>
        </w:p>
        <w:p>
          <w:pPr>
            <w:pStyle w:val="Contents4"/>
            <w:tabs>
              <w:tab w:val="clear" w:pos="9639"/>
              <w:tab w:val="right" w:pos="9640" w:leader="dot"/>
            </w:tabs>
            <w:bidi w:val="0"/>
            <w:jc w:val="start"/>
            <w:rPr/>
          </w:pPr>
          <w:r>
            <w:rPr/>
            <w:t>4.2.1.4 Authorization of profile request</w:t>
            <w:tab/>
          </w:r>
          <w:hyperlink w:anchor="__RefHeading___Toc287964553">
            <w:r>
              <w:rPr>
                <w:rStyle w:val="IndexLink"/>
              </w:rPr>
              <w:t>12</w:t>
            </w:r>
          </w:hyperlink>
        </w:p>
        <w:p>
          <w:pPr>
            <w:pStyle w:val="Contents4"/>
            <w:tabs>
              <w:tab w:val="clear" w:pos="9639"/>
              <w:tab w:val="right" w:pos="9640" w:leader="dot"/>
            </w:tabs>
            <w:bidi w:val="0"/>
            <w:jc w:val="start"/>
            <w:rPr/>
          </w:pPr>
          <w:r>
            <w:rPr/>
            <w:t>4.2.1.5 Synchronization of profile components</w:t>
            <w:tab/>
          </w:r>
          <w:hyperlink w:anchor="__RefHeading___Toc287964554">
            <w:r>
              <w:rPr>
                <w:rStyle w:val="IndexLink"/>
              </w:rPr>
              <w:t>12</w:t>
            </w:r>
          </w:hyperlink>
        </w:p>
        <w:p>
          <w:pPr>
            <w:pStyle w:val="Contents4"/>
            <w:tabs>
              <w:tab w:val="clear" w:pos="9639"/>
              <w:tab w:val="right" w:pos="9640" w:leader="dot"/>
            </w:tabs>
            <w:bidi w:val="0"/>
            <w:jc w:val="start"/>
            <w:rPr/>
          </w:pPr>
          <w:r>
            <w:rPr/>
            <w:t>4.2.1.6 Additional functionality</w:t>
            <w:tab/>
          </w:r>
          <w:hyperlink w:anchor="__RefHeading___Toc287964555">
            <w:r>
              <w:rPr>
                <w:rStyle w:val="IndexLink"/>
              </w:rPr>
              <w:t>12</w:t>
            </w:r>
          </w:hyperlink>
        </w:p>
        <w:p>
          <w:pPr>
            <w:pStyle w:val="Contents3"/>
            <w:tabs>
              <w:tab w:val="clear" w:pos="9639"/>
              <w:tab w:val="right" w:pos="9640" w:leader="dot"/>
            </w:tabs>
            <w:bidi w:val="0"/>
            <w:jc w:val="start"/>
            <w:rPr/>
          </w:pPr>
          <w:r>
            <w:rPr/>
            <w:t>4.2.2 Repository Access Function (RAF)</w:t>
            <w:tab/>
          </w:r>
          <w:hyperlink w:anchor="__RefHeading___Toc287964556">
            <w:r>
              <w:rPr>
                <w:rStyle w:val="IndexLink"/>
              </w:rPr>
              <w:t>12</w:t>
            </w:r>
          </w:hyperlink>
        </w:p>
        <w:p>
          <w:pPr>
            <w:pStyle w:val="Contents3"/>
            <w:tabs>
              <w:tab w:val="clear" w:pos="9639"/>
              <w:tab w:val="right" w:pos="9640" w:leader="dot"/>
            </w:tabs>
            <w:bidi w:val="0"/>
            <w:jc w:val="start"/>
            <w:rPr/>
          </w:pPr>
          <w:r>
            <w:rPr/>
            <w:t>4.2.3 GUP Data Repository</w:t>
            <w:tab/>
          </w:r>
          <w:hyperlink w:anchor="__RefHeading___Toc287964557">
            <w:r>
              <w:rPr>
                <w:rStyle w:val="IndexLink"/>
              </w:rPr>
              <w:t>13</w:t>
            </w:r>
          </w:hyperlink>
        </w:p>
        <w:p>
          <w:pPr>
            <w:pStyle w:val="Contents3"/>
            <w:tabs>
              <w:tab w:val="clear" w:pos="9639"/>
              <w:tab w:val="right" w:pos="9640" w:leader="dot"/>
            </w:tabs>
            <w:bidi w:val="0"/>
            <w:jc w:val="start"/>
            <w:rPr/>
          </w:pPr>
          <w:r>
            <w:rPr/>
            <w:t>4.2.4 Reference Points</w:t>
            <w:tab/>
          </w:r>
          <w:hyperlink w:anchor="__RefHeading___Toc287964558">
            <w:r>
              <w:rPr>
                <w:rStyle w:val="IndexLink"/>
              </w:rPr>
              <w:t>13</w:t>
            </w:r>
          </w:hyperlink>
        </w:p>
        <w:p>
          <w:pPr>
            <w:pStyle w:val="Contents3"/>
            <w:tabs>
              <w:tab w:val="clear" w:pos="9639"/>
              <w:tab w:val="right" w:pos="9640" w:leader="dot"/>
            </w:tabs>
            <w:bidi w:val="0"/>
            <w:jc w:val="start"/>
            <w:rPr/>
          </w:pPr>
          <w:r>
            <w:rPr/>
            <w:t>4.2.5 Applications</w:t>
            <w:tab/>
          </w:r>
          <w:hyperlink w:anchor="__RefHeading___Toc287964559">
            <w:r>
              <w:rPr>
                <w:rStyle w:val="IndexLink"/>
              </w:rPr>
              <w:t>13</w:t>
            </w:r>
          </w:hyperlink>
        </w:p>
        <w:p>
          <w:pPr>
            <w:pStyle w:val="Contents3"/>
            <w:tabs>
              <w:tab w:val="clear" w:pos="9639"/>
              <w:tab w:val="right" w:pos="9640" w:leader="dot"/>
            </w:tabs>
            <w:bidi w:val="0"/>
            <w:jc w:val="start"/>
            <w:rPr/>
          </w:pPr>
          <w:r>
            <w:rPr/>
            <w:t>4.2.6 Message flow of using GUP</w:t>
            <w:tab/>
          </w:r>
          <w:hyperlink w:anchor="__RefHeading___Toc287964560">
            <w:r>
              <w:rPr>
                <w:rStyle w:val="IndexLink"/>
              </w:rPr>
              <w:t>13</w:t>
            </w:r>
          </w:hyperlink>
        </w:p>
        <w:p>
          <w:pPr>
            <w:pStyle w:val="Contents2"/>
            <w:tabs>
              <w:tab w:val="clear" w:pos="9639"/>
              <w:tab w:val="right" w:pos="9640" w:leader="dot"/>
            </w:tabs>
            <w:bidi w:val="0"/>
            <w:jc w:val="start"/>
            <w:rPr/>
          </w:pPr>
          <w:r>
            <w:rPr/>
            <w:t>4.3 Rg reference point procedures</w:t>
            <w:tab/>
          </w:r>
          <w:hyperlink w:anchor="__RefHeading___Toc287964561">
            <w:r>
              <w:rPr>
                <w:rStyle w:val="IndexLink"/>
              </w:rPr>
              <w:t>15</w:t>
            </w:r>
          </w:hyperlink>
        </w:p>
        <w:p>
          <w:pPr>
            <w:pStyle w:val="Contents3"/>
            <w:tabs>
              <w:tab w:val="clear" w:pos="9639"/>
              <w:tab w:val="right" w:pos="9640" w:leader="dot"/>
            </w:tabs>
            <w:bidi w:val="0"/>
            <w:jc w:val="start"/>
            <w:rPr/>
          </w:pPr>
          <w:r>
            <w:rPr/>
            <w:t>4.3.1 Create procedure</w:t>
            <w:tab/>
          </w:r>
          <w:hyperlink w:anchor="__RefHeading___Toc287964562">
            <w:r>
              <w:rPr>
                <w:rStyle w:val="IndexLink"/>
              </w:rPr>
              <w:t>16</w:t>
            </w:r>
          </w:hyperlink>
        </w:p>
        <w:p>
          <w:pPr>
            <w:pStyle w:val="Contents3"/>
            <w:tabs>
              <w:tab w:val="clear" w:pos="9639"/>
              <w:tab w:val="right" w:pos="9640" w:leader="dot"/>
            </w:tabs>
            <w:bidi w:val="0"/>
            <w:jc w:val="start"/>
            <w:rPr/>
          </w:pPr>
          <w:r>
            <w:rPr/>
            <w:t>4.3.2 Delete procedure</w:t>
            <w:tab/>
          </w:r>
          <w:hyperlink w:anchor="__RefHeading___Toc287964563">
            <w:r>
              <w:rPr>
                <w:rStyle w:val="IndexLink"/>
              </w:rPr>
              <w:t>17</w:t>
            </w:r>
          </w:hyperlink>
        </w:p>
        <w:p>
          <w:pPr>
            <w:pStyle w:val="Contents3"/>
            <w:tabs>
              <w:tab w:val="clear" w:pos="9639"/>
              <w:tab w:val="right" w:pos="9640" w:leader="dot"/>
            </w:tabs>
            <w:bidi w:val="0"/>
            <w:jc w:val="start"/>
            <w:rPr/>
          </w:pPr>
          <w:r>
            <w:rPr/>
            <w:t>4.3.2a List procedure</w:t>
            <w:tab/>
          </w:r>
          <w:hyperlink w:anchor="__RefHeading___Toc287964564">
            <w:r>
              <w:rPr>
                <w:rStyle w:val="IndexLink"/>
              </w:rPr>
              <w:t>17</w:t>
            </w:r>
          </w:hyperlink>
        </w:p>
        <w:p>
          <w:pPr>
            <w:pStyle w:val="Contents3"/>
            <w:tabs>
              <w:tab w:val="clear" w:pos="9639"/>
              <w:tab w:val="right" w:pos="9640" w:leader="dot"/>
            </w:tabs>
            <w:bidi w:val="0"/>
            <w:jc w:val="start"/>
            <w:rPr/>
          </w:pPr>
          <w:r>
            <w:rPr/>
            <w:t>4.3.3 Modify procedure</w:t>
            <w:tab/>
          </w:r>
          <w:hyperlink w:anchor="__RefHeading___Toc287964565">
            <w:r>
              <w:rPr>
                <w:rStyle w:val="IndexLink"/>
              </w:rPr>
              <w:t>18</w:t>
            </w:r>
          </w:hyperlink>
        </w:p>
        <w:p>
          <w:pPr>
            <w:pStyle w:val="Contents3"/>
            <w:tabs>
              <w:tab w:val="clear" w:pos="9639"/>
              <w:tab w:val="right" w:pos="9640" w:leader="dot"/>
            </w:tabs>
            <w:bidi w:val="0"/>
            <w:jc w:val="start"/>
            <w:rPr/>
          </w:pPr>
          <w:r>
            <w:rPr/>
            <w:t>4.3.4 Query procedure</w:t>
            <w:tab/>
          </w:r>
          <w:hyperlink w:anchor="__RefHeading___Toc287964566">
            <w:r>
              <w:rPr>
                <w:rStyle w:val="IndexLink"/>
              </w:rPr>
              <w:t>19</w:t>
            </w:r>
          </w:hyperlink>
        </w:p>
        <w:p>
          <w:pPr>
            <w:pStyle w:val="Contents3"/>
            <w:tabs>
              <w:tab w:val="clear" w:pos="9639"/>
              <w:tab w:val="right" w:pos="9640" w:leader="dot"/>
            </w:tabs>
            <w:bidi w:val="0"/>
            <w:jc w:val="start"/>
            <w:rPr/>
          </w:pPr>
          <w:r>
            <w:rPr/>
            <w:t>4.3.5 Subscribe procedure</w:t>
            <w:tab/>
          </w:r>
          <w:hyperlink w:anchor="__RefHeading___Toc287964567">
            <w:r>
              <w:rPr>
                <w:rStyle w:val="IndexLink"/>
              </w:rPr>
              <w:t>20</w:t>
            </w:r>
          </w:hyperlink>
        </w:p>
        <w:p>
          <w:pPr>
            <w:pStyle w:val="Contents3"/>
            <w:tabs>
              <w:tab w:val="clear" w:pos="9639"/>
              <w:tab w:val="right" w:pos="9640" w:leader="dot"/>
            </w:tabs>
            <w:bidi w:val="0"/>
            <w:jc w:val="start"/>
            <w:rPr/>
          </w:pPr>
          <w:r>
            <w:rPr/>
            <w:t>4.3.6 Unsubscribe procedure</w:t>
            <w:tab/>
          </w:r>
          <w:hyperlink w:anchor="__RefHeading___Toc287964568">
            <w:r>
              <w:rPr>
                <w:rStyle w:val="IndexLink"/>
              </w:rPr>
              <w:t>21</w:t>
            </w:r>
          </w:hyperlink>
        </w:p>
        <w:p>
          <w:pPr>
            <w:pStyle w:val="Contents3"/>
            <w:tabs>
              <w:tab w:val="clear" w:pos="9639"/>
              <w:tab w:val="right" w:pos="9640" w:leader="dot"/>
            </w:tabs>
            <w:bidi w:val="0"/>
            <w:jc w:val="start"/>
            <w:rPr/>
          </w:pPr>
          <w:r>
            <w:rPr/>
            <w:t>4.3.7 Notify procedure</w:t>
            <w:tab/>
          </w:r>
          <w:hyperlink w:anchor="__RefHeading___Toc287964569">
            <w:r>
              <w:rPr>
                <w:rStyle w:val="IndexLink"/>
              </w:rPr>
              <w:t>21</w:t>
            </w:r>
          </w:hyperlink>
        </w:p>
        <w:p>
          <w:pPr>
            <w:pStyle w:val="Contents3"/>
            <w:tabs>
              <w:tab w:val="clear" w:pos="9639"/>
              <w:tab w:val="right" w:pos="9640" w:leader="dot"/>
            </w:tabs>
            <w:bidi w:val="0"/>
            <w:jc w:val="start"/>
            <w:rPr/>
          </w:pPr>
          <w:r>
            <w:rPr/>
            <w:t>4.3.8 Common information definitions</w:t>
            <w:tab/>
          </w:r>
          <w:hyperlink w:anchor="__RefHeading___Toc287964570">
            <w:r>
              <w:rPr>
                <w:rStyle w:val="IndexLink"/>
              </w:rPr>
              <w:t>22</w:t>
            </w:r>
          </w:hyperlink>
        </w:p>
        <w:p>
          <w:pPr>
            <w:pStyle w:val="Contents4"/>
            <w:tabs>
              <w:tab w:val="clear" w:pos="9639"/>
              <w:tab w:val="right" w:pos="9640" w:leader="dot"/>
            </w:tabs>
            <w:bidi w:val="0"/>
            <w:jc w:val="start"/>
            <w:rPr/>
          </w:pPr>
          <w:r>
            <w:rPr/>
            <w:t>4.3.8.1 Requestor data</w:t>
            <w:tab/>
          </w:r>
          <w:hyperlink w:anchor="__RefHeading___Toc287964571">
            <w:r>
              <w:rPr>
                <w:rStyle w:val="IndexLink"/>
              </w:rPr>
              <w:t>22</w:t>
            </w:r>
          </w:hyperlink>
        </w:p>
        <w:p>
          <w:pPr>
            <w:pStyle w:val="Contents4"/>
            <w:tabs>
              <w:tab w:val="clear" w:pos="9639"/>
              <w:tab w:val="right" w:pos="9640" w:leader="dot"/>
            </w:tabs>
            <w:bidi w:val="0"/>
            <w:jc w:val="start"/>
            <w:rPr/>
          </w:pPr>
          <w:r>
            <w:rPr/>
            <w:t>4.3.8.2 Redirection data</w:t>
            <w:tab/>
          </w:r>
          <w:hyperlink w:anchor="__RefHeading___Toc287964572">
            <w:r>
              <w:rPr>
                <w:rStyle w:val="IndexLink"/>
              </w:rPr>
              <w:t>22</w:t>
            </w:r>
          </w:hyperlink>
        </w:p>
        <w:p>
          <w:pPr>
            <w:pStyle w:val="Contents3"/>
            <w:tabs>
              <w:tab w:val="clear" w:pos="9639"/>
              <w:tab w:val="right" w:pos="9640" w:leader="dot"/>
            </w:tabs>
            <w:bidi w:val="0"/>
            <w:jc w:val="start"/>
            <w:rPr/>
          </w:pPr>
          <w:r>
            <w:rPr/>
            <w:t>4.3.9 Error handling and common error types</w:t>
            <w:tab/>
          </w:r>
          <w:hyperlink w:anchor="__RefHeading___Toc287964573">
            <w:r>
              <w:rPr>
                <w:rStyle w:val="IndexLink"/>
              </w:rPr>
              <w:t>22</w:t>
            </w:r>
          </w:hyperlink>
        </w:p>
        <w:p>
          <w:pPr>
            <w:pStyle w:val="Contents2"/>
            <w:tabs>
              <w:tab w:val="clear" w:pos="9639"/>
              <w:tab w:val="right" w:pos="9640" w:leader="dot"/>
            </w:tabs>
            <w:bidi w:val="0"/>
            <w:jc w:val="start"/>
            <w:rPr/>
          </w:pPr>
          <w:r>
            <w:rPr/>
            <w:t>4.4 Rp reference point procedures</w:t>
            <w:tab/>
          </w:r>
          <w:hyperlink w:anchor="__RefHeading___Toc287964574">
            <w:r>
              <w:rPr>
                <w:rStyle w:val="IndexLink"/>
              </w:rPr>
              <w:t>23</w:t>
            </w:r>
          </w:hyperlink>
        </w:p>
        <w:p>
          <w:pPr>
            <w:pStyle w:val="Contents3"/>
            <w:tabs>
              <w:tab w:val="clear" w:pos="9639"/>
              <w:tab w:val="right" w:pos="9640" w:leader="dot"/>
            </w:tabs>
            <w:bidi w:val="0"/>
            <w:jc w:val="start"/>
            <w:rPr/>
          </w:pPr>
          <w:r>
            <w:rPr/>
            <w:t>4.4.1 Create Component procedure</w:t>
            <w:tab/>
          </w:r>
          <w:hyperlink w:anchor="__RefHeading___Toc287964575">
            <w:r>
              <w:rPr>
                <w:rStyle w:val="IndexLink"/>
              </w:rPr>
              <w:t>23</w:t>
            </w:r>
          </w:hyperlink>
        </w:p>
        <w:p>
          <w:pPr>
            <w:pStyle w:val="Contents3"/>
            <w:tabs>
              <w:tab w:val="clear" w:pos="9639"/>
              <w:tab w:val="right" w:pos="9640" w:leader="dot"/>
            </w:tabs>
            <w:bidi w:val="0"/>
            <w:jc w:val="start"/>
            <w:rPr/>
          </w:pPr>
          <w:r>
            <w:rPr/>
            <w:t>4.4.2 Delete Component procedure</w:t>
            <w:tab/>
          </w:r>
          <w:hyperlink w:anchor="__RefHeading___Toc287964576">
            <w:r>
              <w:rPr>
                <w:rStyle w:val="IndexLink"/>
              </w:rPr>
              <w:t>24</w:t>
            </w:r>
          </w:hyperlink>
        </w:p>
        <w:p>
          <w:pPr>
            <w:pStyle w:val="Contents3"/>
            <w:tabs>
              <w:tab w:val="clear" w:pos="9639"/>
              <w:tab w:val="right" w:pos="9640" w:leader="dot"/>
            </w:tabs>
            <w:bidi w:val="0"/>
            <w:jc w:val="start"/>
            <w:rPr/>
          </w:pPr>
          <w:r>
            <w:rPr/>
            <w:t>4.4.2a List Data procedure</w:t>
            <w:tab/>
          </w:r>
          <w:hyperlink w:anchor="__RefHeading___Toc287964577">
            <w:r>
              <w:rPr>
                <w:rStyle w:val="IndexLink"/>
              </w:rPr>
              <w:t>24</w:t>
            </w:r>
          </w:hyperlink>
        </w:p>
        <w:p>
          <w:pPr>
            <w:pStyle w:val="Contents3"/>
            <w:tabs>
              <w:tab w:val="clear" w:pos="9639"/>
              <w:tab w:val="right" w:pos="9640" w:leader="dot"/>
            </w:tabs>
            <w:bidi w:val="0"/>
            <w:jc w:val="start"/>
            <w:rPr/>
          </w:pPr>
          <w:r>
            <w:rPr/>
            <w:t>4.4.3 Modify Data procedure</w:t>
            <w:tab/>
          </w:r>
          <w:hyperlink w:anchor="__RefHeading___Toc287964578">
            <w:r>
              <w:rPr>
                <w:rStyle w:val="IndexLink"/>
              </w:rPr>
              <w:t>25</w:t>
            </w:r>
          </w:hyperlink>
        </w:p>
        <w:p>
          <w:pPr>
            <w:pStyle w:val="Contents3"/>
            <w:tabs>
              <w:tab w:val="clear" w:pos="9639"/>
              <w:tab w:val="right" w:pos="9640" w:leader="dot"/>
            </w:tabs>
            <w:bidi w:val="0"/>
            <w:jc w:val="start"/>
            <w:rPr/>
          </w:pPr>
          <w:r>
            <w:rPr/>
            <w:t>4.4.4 Read Data procedure</w:t>
            <w:tab/>
          </w:r>
          <w:hyperlink w:anchor="__RefHeading___Toc287964579">
            <w:r>
              <w:rPr>
                <w:rStyle w:val="IndexLink"/>
              </w:rPr>
              <w:t>26</w:t>
            </w:r>
          </w:hyperlink>
        </w:p>
        <w:p>
          <w:pPr>
            <w:pStyle w:val="Contents3"/>
            <w:tabs>
              <w:tab w:val="clear" w:pos="9639"/>
              <w:tab w:val="right" w:pos="9640" w:leader="dot"/>
            </w:tabs>
            <w:bidi w:val="0"/>
            <w:jc w:val="start"/>
            <w:rPr/>
          </w:pPr>
          <w:r>
            <w:rPr/>
            <w:t>4.4.5 Subscribe To Data procedure</w:t>
            <w:tab/>
          </w:r>
          <w:hyperlink w:anchor="__RefHeading___Toc287964580">
            <w:r>
              <w:rPr>
                <w:rStyle w:val="IndexLink"/>
              </w:rPr>
              <w:t>26</w:t>
            </w:r>
          </w:hyperlink>
        </w:p>
        <w:p>
          <w:pPr>
            <w:pStyle w:val="Contents3"/>
            <w:tabs>
              <w:tab w:val="clear" w:pos="9639"/>
              <w:tab w:val="right" w:pos="9640" w:leader="dot"/>
            </w:tabs>
            <w:bidi w:val="0"/>
            <w:jc w:val="start"/>
            <w:rPr/>
          </w:pPr>
          <w:r>
            <w:rPr/>
            <w:t>4.4.6 Unsubscribe To Data procedure</w:t>
            <w:tab/>
          </w:r>
          <w:hyperlink w:anchor="__RefHeading___Toc287964581">
            <w:r>
              <w:rPr>
                <w:rStyle w:val="IndexLink"/>
              </w:rPr>
              <w:t>27</w:t>
            </w:r>
          </w:hyperlink>
        </w:p>
        <w:p>
          <w:pPr>
            <w:pStyle w:val="Contents3"/>
            <w:tabs>
              <w:tab w:val="clear" w:pos="9639"/>
              <w:tab w:val="right" w:pos="9640" w:leader="dot"/>
            </w:tabs>
            <w:bidi w:val="0"/>
            <w:jc w:val="start"/>
            <w:rPr/>
          </w:pPr>
          <w:r>
            <w:rPr/>
            <w:t>4.4.7 Notify Data procedure</w:t>
            <w:tab/>
          </w:r>
          <w:hyperlink w:anchor="__RefHeading___Toc287964582">
            <w:r>
              <w:rPr>
                <w:rStyle w:val="IndexLink"/>
              </w:rPr>
              <w:t>27</w:t>
            </w:r>
          </w:hyperlink>
        </w:p>
        <w:p>
          <w:pPr>
            <w:pStyle w:val="Contents3"/>
            <w:tabs>
              <w:tab w:val="clear" w:pos="9639"/>
              <w:tab w:val="right" w:pos="9640" w:leader="dot"/>
            </w:tabs>
            <w:bidi w:val="0"/>
            <w:jc w:val="start"/>
            <w:rPr/>
          </w:pPr>
          <w:r>
            <w:rPr/>
            <w:t>4.4.8 Define Data procedure</w:t>
            <w:tab/>
          </w:r>
          <w:hyperlink w:anchor="__RefHeading___Toc287964583">
            <w:r>
              <w:rPr>
                <w:rStyle w:val="IndexLink"/>
              </w:rPr>
              <w:t>28</w:t>
            </w:r>
          </w:hyperlink>
        </w:p>
        <w:p>
          <w:pPr>
            <w:pStyle w:val="Contents3"/>
            <w:tabs>
              <w:tab w:val="clear" w:pos="9639"/>
              <w:tab w:val="right" w:pos="9640" w:leader="dot"/>
            </w:tabs>
            <w:bidi w:val="0"/>
            <w:jc w:val="start"/>
            <w:rPr/>
          </w:pPr>
          <w:r>
            <w:rPr/>
            <w:t>4.4.9 Common information definitions</w:t>
            <w:tab/>
          </w:r>
          <w:hyperlink w:anchor="__RefHeading___Toc287964584">
            <w:r>
              <w:rPr>
                <w:rStyle w:val="IndexLink"/>
              </w:rPr>
              <w:t>28</w:t>
            </w:r>
          </w:hyperlink>
        </w:p>
        <w:p>
          <w:pPr>
            <w:pStyle w:val="Contents4"/>
            <w:tabs>
              <w:tab w:val="clear" w:pos="9639"/>
              <w:tab w:val="right" w:pos="9640" w:leader="dot"/>
            </w:tabs>
            <w:bidi w:val="0"/>
            <w:jc w:val="start"/>
            <w:rPr/>
          </w:pPr>
          <w:r>
            <w:rPr/>
            <w:t>4.4.9.1 Requestor data</w:t>
            <w:tab/>
          </w:r>
          <w:hyperlink w:anchor="__RefHeading___Toc287964585">
            <w:r>
              <w:rPr>
                <w:rStyle w:val="IndexLink"/>
              </w:rPr>
              <w:t>28</w:t>
            </w:r>
          </w:hyperlink>
        </w:p>
        <w:p>
          <w:pPr>
            <w:pStyle w:val="Contents3"/>
            <w:tabs>
              <w:tab w:val="clear" w:pos="9639"/>
              <w:tab w:val="right" w:pos="9640" w:leader="dot"/>
            </w:tabs>
            <w:bidi w:val="0"/>
            <w:jc w:val="start"/>
            <w:rPr/>
          </w:pPr>
          <w:r>
            <w:rPr/>
            <w:t>4.4.10 Error handling and common error types</w:t>
            <w:tab/>
          </w:r>
          <w:hyperlink w:anchor="__RefHeading___Toc287964586">
            <w:r>
              <w:rPr>
                <w:rStyle w:val="IndexLink"/>
              </w:rPr>
              <w:t>28</w:t>
            </w:r>
          </w:hyperlink>
        </w:p>
        <w:p>
          <w:pPr>
            <w:pStyle w:val="Contents1"/>
            <w:tabs>
              <w:tab w:val="clear" w:pos="9639"/>
              <w:tab w:val="right" w:pos="9640" w:leader="dot"/>
            </w:tabs>
            <w:bidi w:val="0"/>
            <w:jc w:val="start"/>
            <w:rPr/>
          </w:pPr>
          <w:r>
            <w:rPr/>
            <w:t>5 GUP information model</w:t>
            <w:tab/>
          </w:r>
          <w:hyperlink w:anchor="__RefHeading___Toc287964587">
            <w:r>
              <w:rPr>
                <w:rStyle w:val="IndexLink"/>
              </w:rPr>
              <w:t>29</w:t>
            </w:r>
          </w:hyperlink>
        </w:p>
        <w:p>
          <w:pPr>
            <w:pStyle w:val="Contents8"/>
            <w:tabs>
              <w:tab w:val="clear" w:pos="9639"/>
              <w:tab w:val="right" w:pos="9640" w:leader="dot"/>
            </w:tabs>
            <w:bidi w:val="0"/>
            <w:jc w:val="start"/>
            <w:rPr/>
          </w:pPr>
          <w:r>
            <w:rPr/>
            <w:t>Annex A (informative): Examples of 3GPP Generic User Profile usage</w:t>
            <w:tab/>
          </w:r>
          <w:hyperlink w:anchor="__RefHeading___Toc287964588">
            <w:r>
              <w:rPr>
                <w:rStyle w:val="IndexLink"/>
              </w:rPr>
              <w:t>32</w:t>
            </w:r>
          </w:hyperlink>
        </w:p>
        <w:p>
          <w:pPr>
            <w:pStyle w:val="Contents8"/>
            <w:tabs>
              <w:tab w:val="clear" w:pos="9639"/>
              <w:tab w:val="right" w:pos="9640" w:leader="dot"/>
            </w:tabs>
            <w:bidi w:val="0"/>
            <w:jc w:val="start"/>
            <w:rPr/>
          </w:pPr>
          <w:r>
            <w:rPr/>
            <w:t>Annex B (informative): 3GPP Generic User Profile candidates</w:t>
            <w:tab/>
          </w:r>
          <w:hyperlink w:anchor="__RefHeading___Toc287964589">
            <w:r>
              <w:rPr>
                <w:rStyle w:val="IndexLink"/>
              </w:rPr>
              <w:t>33</w:t>
            </w:r>
          </w:hyperlink>
        </w:p>
        <w:p>
          <w:pPr>
            <w:pStyle w:val="Contents8"/>
            <w:tabs>
              <w:tab w:val="clear" w:pos="9639"/>
              <w:tab w:val="right" w:pos="9640" w:leader="dot"/>
            </w:tabs>
            <w:bidi w:val="0"/>
            <w:jc w:val="start"/>
            <w:rPr/>
          </w:pPr>
          <w:r>
            <w:rPr/>
            <w:t>Annex C (informative): Change history</w:t>
            <w:tab/>
          </w:r>
          <w:hyperlink w:anchor="__RefHeading___Toc287964590">
            <w:r>
              <w:rPr>
                <w:rStyle w:val="IndexLink"/>
              </w:rPr>
              <w:t>34</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796452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87964530"/>
      <w:bookmarkEnd w:id="8"/>
      <w:r>
        <w:rPr/>
        <w:t>Introduction</w:t>
      </w:r>
    </w:p>
    <w:p>
      <w:pPr>
        <w:pStyle w:val="Normal"/>
        <w:rPr/>
      </w:pPr>
      <w:r>
        <w:rPr/>
        <w:t>The fact of having several domains within the 3GPP mobile system (e.g. Circuit-Switched, Packet-Switched, IP Multimedia Subsystem) and access technologies (e.g. GERAN, UTRAN and WLAN) introduces a wide distribution of data associated with the user. Further, the new functions both in terminals and networks mean that the data related to users, services and user equipment will be increased greatly. This causes difficulties for users, subscribers, network operators and value added service providers to create, access and manage the user-related data located in different entities.</w:t>
      </w:r>
    </w:p>
    <w:p>
      <w:pPr>
        <w:pStyle w:val="Normal"/>
        <w:rPr/>
      </w:pPr>
      <w:r>
        <w:rPr/>
        <w:t>The objective of specifying the 3GPP Generic User Profile is to provide a conceptual description to enable harmonized usage of the user-related information located in different entities. Technically the 3GPP Generic User Profile provides an architecture, data description and interface with mechanisms to handle the data.</w:t>
      </w:r>
      <w:r>
        <w:br w:type="page"/>
      </w:r>
    </w:p>
    <w:p>
      <w:pPr>
        <w:pStyle w:val="Heading1"/>
        <w:bidi w:val="0"/>
        <w:ind w:start="1134" w:hanging="1134"/>
        <w:jc w:val="start"/>
        <w:rPr/>
      </w:pPr>
      <w:bookmarkStart w:id="9" w:name="__RefHeading___Toc287964531"/>
      <w:bookmarkEnd w:id="9"/>
      <w:r>
        <w:rPr/>
        <w:t>1</w:t>
        <w:tab/>
        <w:t>Scope</w:t>
      </w:r>
    </w:p>
    <w:p>
      <w:pPr>
        <w:pStyle w:val="Normal"/>
        <w:rPr/>
      </w:pPr>
      <w:r>
        <w:rPr/>
        <w:t>The present document defines the stage 2 architecture description to the 3GPP Generic User Profile (GUP), which includes the elements necessary to realise the stage 1 requirements in TS 22.240 [1].</w:t>
      </w:r>
    </w:p>
    <w:p>
      <w:pPr>
        <w:pStyle w:val="Normal"/>
        <w:rPr/>
      </w:pPr>
      <w:r>
        <w:rPr/>
        <w:t>The present document includes the GUP reference architecture with descriptions of functional entities, and their interfaces and procedures, as well as the high-level information model for the GUP data.</w:t>
      </w:r>
    </w:p>
    <w:p>
      <w:pPr>
        <w:pStyle w:val="Heading1"/>
        <w:bidi w:val="0"/>
        <w:ind w:start="1134" w:hanging="1134"/>
        <w:jc w:val="start"/>
        <w:rPr/>
      </w:pPr>
      <w:bookmarkStart w:id="10" w:name="__RefHeading___Toc287964532"/>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lang w:eastAsia="ko-KR"/>
        </w:rPr>
      </w:pPr>
      <w:r>
        <w:rPr/>
        <w:t>[1]</w:t>
        <w:tab/>
        <w:t>3GPP TS 22.240: "Stage 1 Service Requirement for the 3GPP Generic User Profile (GUP)".</w:t>
      </w:r>
    </w:p>
    <w:p>
      <w:pPr>
        <w:pStyle w:val="EX"/>
        <w:rPr>
          <w:lang w:eastAsia="ko-KR"/>
        </w:rPr>
      </w:pPr>
      <w:r>
        <w:rPr/>
        <w:t>[2]</w:t>
        <w:tab/>
        <w:t xml:space="preserve">Liberty Discovery Service Specification, </w:t>
      </w:r>
      <w:hyperlink r:id="rId7">
        <w:r>
          <w:rPr>
            <w:rStyle w:val="InternetLink"/>
          </w:rPr>
          <w:t>http://www.projectliberty.org/</w:t>
        </w:r>
      </w:hyperlink>
    </w:p>
    <w:p>
      <w:pPr>
        <w:pStyle w:val="EX"/>
        <w:rPr/>
      </w:pPr>
      <w:r>
        <w:rPr/>
        <w:t>[3]</w:t>
        <w:tab/>
        <w:t xml:space="preserve">Liberty ID-WSF SOAP Binding Specification, </w:t>
      </w:r>
      <w:hyperlink r:id="rId8">
        <w:r>
          <w:rPr>
            <w:rStyle w:val="InternetLink"/>
          </w:rPr>
          <w:t>http://www.projectliberty.org/</w:t>
        </w:r>
      </w:hyperlink>
    </w:p>
    <w:p>
      <w:pPr>
        <w:pStyle w:val="EX"/>
        <w:rPr>
          <w:lang w:eastAsia="ko-KR"/>
        </w:rPr>
      </w:pPr>
      <w:r>
        <w:rPr/>
        <w:t>[4]</w:t>
        <w:tab/>
        <w:t>Liberty ID-WSF Data Service</w:t>
      </w:r>
      <w:r>
        <w:rPr>
          <w:lang w:eastAsia="ko-KR"/>
        </w:rPr>
        <w:t>s</w:t>
      </w:r>
      <w:r>
        <w:rPr/>
        <w:t xml:space="preserve"> Template, </w:t>
      </w:r>
      <w:hyperlink r:id="rId9">
        <w:r>
          <w:rPr>
            <w:rStyle w:val="InternetLink"/>
          </w:rPr>
          <w:t>http://www.projectliberty.org/</w:t>
        </w:r>
      </w:hyperlink>
    </w:p>
    <w:p>
      <w:pPr>
        <w:pStyle w:val="EX"/>
        <w:rPr>
          <w:lang w:eastAsia="ko-KR"/>
        </w:rPr>
      </w:pPr>
      <w:r>
        <w:rPr>
          <w:lang w:eastAsia="ko-KR"/>
        </w:rPr>
        <w:t>[5]</w:t>
        <w:tab/>
        <w:t xml:space="preserve">Liberty ID-WSF Security and Privacy Overview, </w:t>
      </w:r>
      <w:hyperlink r:id="rId10">
        <w:r>
          <w:rPr>
            <w:rStyle w:val="InternetLink"/>
            <w:lang w:eastAsia="ko-KR"/>
          </w:rPr>
          <w:t>http://www.projectliberty.org/</w:t>
        </w:r>
      </w:hyperlink>
    </w:p>
    <w:p>
      <w:pPr>
        <w:pStyle w:val="EX"/>
        <w:rPr>
          <w:lang w:eastAsia="ko-KR"/>
        </w:rPr>
      </w:pPr>
      <w:r>
        <w:rPr>
          <w:lang w:eastAsia="ko-KR"/>
        </w:rPr>
        <w:t>[6]</w:t>
        <w:tab/>
        <w:t xml:space="preserve">Liberty ID-WSF Security Mechanisms, </w:t>
      </w:r>
      <w:hyperlink r:id="rId11">
        <w:r>
          <w:rPr>
            <w:rStyle w:val="InternetLink"/>
            <w:lang w:eastAsia="ko-KR"/>
          </w:rPr>
          <w:t>http://www.projectliberty.org/</w:t>
        </w:r>
      </w:hyperlink>
    </w:p>
    <w:p>
      <w:pPr>
        <w:pStyle w:val="Heading1"/>
        <w:bidi w:val="0"/>
        <w:ind w:start="1134" w:hanging="1134"/>
        <w:jc w:val="start"/>
        <w:rPr/>
      </w:pPr>
      <w:bookmarkStart w:id="11" w:name="__RefHeading___Toc287964533"/>
      <w:bookmarkEnd w:id="11"/>
      <w:r>
        <w:rPr/>
        <w:t>3</w:t>
        <w:tab/>
        <w:t>Definitions, symbols and abbreviations</w:t>
      </w:r>
    </w:p>
    <w:p>
      <w:pPr>
        <w:pStyle w:val="Heading2"/>
        <w:bidi w:val="0"/>
        <w:jc w:val="start"/>
        <w:rPr/>
      </w:pPr>
      <w:bookmarkStart w:id="12" w:name="__RefHeading___Toc287964534"/>
      <w:bookmarkEnd w:id="12"/>
      <w:r>
        <w:rPr/>
        <w:t>3.1</w:t>
        <w:tab/>
        <w:t>Definitions</w:t>
      </w:r>
    </w:p>
    <w:p>
      <w:pPr>
        <w:pStyle w:val="Normal"/>
        <w:keepNext w:val="true"/>
        <w:rPr/>
      </w:pPr>
      <w:r>
        <w:rPr/>
        <w:t>For the purposes of the present document the following definitions apply:</w:t>
      </w:r>
    </w:p>
    <w:p>
      <w:pPr>
        <w:pStyle w:val="Normal"/>
        <w:rPr/>
      </w:pPr>
      <w:r>
        <w:rPr>
          <w:b/>
        </w:rPr>
        <w:t>3GPP Generic User Profile (GUP)</w:t>
      </w:r>
      <w:r>
        <w:rPr/>
        <w:t>: The 3GPP Generic User Profile is the collection of user related data which affects the way in which an individual user experiences services and which may be accessed in a standardized manner as described in this specification.</w:t>
      </w:r>
    </w:p>
    <w:p>
      <w:pPr>
        <w:pStyle w:val="Normal"/>
        <w:rPr/>
      </w:pPr>
      <w:r>
        <w:rPr>
          <w:b/>
        </w:rPr>
        <w:t>GUP Component</w:t>
      </w:r>
      <w:r>
        <w:rPr/>
        <w:t>: A GUP component is logically an individual part of the Generic User Profile.</w:t>
      </w:r>
    </w:p>
    <w:p>
      <w:pPr>
        <w:pStyle w:val="Normal"/>
        <w:rPr/>
      </w:pPr>
      <w:r>
        <w:rPr>
          <w:b/>
        </w:rPr>
        <w:t>Data Element</w:t>
      </w:r>
      <w:r>
        <w:rPr/>
        <w:t>: the indivisible unit of Generic User Profile information.</w:t>
      </w:r>
    </w:p>
    <w:p>
      <w:pPr>
        <w:pStyle w:val="Normal"/>
        <w:rPr/>
      </w:pPr>
      <w:r>
        <w:rPr>
          <w:b/>
        </w:rPr>
        <w:t>Data Element Group</w:t>
      </w:r>
      <w:r>
        <w:rPr/>
        <w:t>: A pre-defined set of Data Elements and/or other Data Element Groups closely related to each other. One or more Data Element Groups can constitute the GUP Component.</w:t>
      </w:r>
    </w:p>
    <w:p>
      <w:pPr>
        <w:pStyle w:val="Normal"/>
        <w:rPr/>
      </w:pPr>
      <w:r>
        <w:rPr>
          <w:b/>
        </w:rPr>
        <w:t>Data Description Method</w:t>
      </w:r>
      <w:r>
        <w:rPr/>
        <w:t>: A method describing how to define the data contained in the Generic User Profile.</w:t>
      </w:r>
    </w:p>
    <w:p>
      <w:pPr>
        <w:pStyle w:val="Heading2"/>
        <w:bidi w:val="0"/>
        <w:jc w:val="start"/>
        <w:rPr/>
      </w:pPr>
      <w:bookmarkStart w:id="13" w:name="__RefHeading___Toc287964535"/>
      <w:bookmarkEnd w:id="13"/>
      <w:r>
        <w:rPr/>
        <w:t>3.2</w:t>
        <w:tab/>
        <w:t>Symbols</w:t>
      </w:r>
    </w:p>
    <w:p>
      <w:pPr>
        <w:pStyle w:val="Normal"/>
        <w:keepNext w:val="true"/>
        <w:rPr/>
      </w:pPr>
      <w:r>
        <w:rPr/>
        <w:t>For the purposes of the present document the following symbols apply:</w:t>
      </w:r>
    </w:p>
    <w:p>
      <w:pPr>
        <w:pStyle w:val="EW"/>
        <w:rPr/>
      </w:pPr>
      <w:r>
        <w:rPr/>
        <w:t>Rg</w:t>
        <w:tab/>
        <w:t>Reference Point between Applications and the GUP Server.</w:t>
      </w:r>
    </w:p>
    <w:p>
      <w:pPr>
        <w:pStyle w:val="EW"/>
        <w:rPr/>
      </w:pPr>
      <w:r>
        <w:rPr/>
        <w:t>Rp</w:t>
        <w:tab/>
        <w:t>Reference Point between the GUP Server and GUP Data Repositories, and between Applications and GUP Data Repositories.</w:t>
      </w:r>
    </w:p>
    <w:p>
      <w:pPr>
        <w:pStyle w:val="EW"/>
        <w:rPr/>
      </w:pPr>
      <w:r>
        <w:rPr/>
      </w:r>
    </w:p>
    <w:p>
      <w:pPr>
        <w:pStyle w:val="Heading2"/>
        <w:bidi w:val="0"/>
        <w:jc w:val="start"/>
        <w:rPr/>
      </w:pPr>
      <w:bookmarkStart w:id="14" w:name="__RefHeading___Toc287964536"/>
      <w:bookmarkEnd w:id="14"/>
      <w:r>
        <w:rPr/>
        <w:t>3.3</w:t>
        <w:tab/>
        <w:t>Abbreviations</w:t>
      </w:r>
    </w:p>
    <w:p>
      <w:pPr>
        <w:pStyle w:val="Normal"/>
        <w:rPr/>
      </w:pPr>
      <w:r>
        <w:rPr/>
        <w:t>For the purposes of the present document the following abbreviations apply:</w:t>
      </w:r>
    </w:p>
    <w:p>
      <w:pPr>
        <w:pStyle w:val="EW"/>
        <w:rPr/>
      </w:pPr>
      <w:r>
        <w:rPr/>
        <w:t>FFS</w:t>
        <w:tab/>
        <w:t>For Further Study</w:t>
      </w:r>
    </w:p>
    <w:p>
      <w:pPr>
        <w:pStyle w:val="EW"/>
        <w:rPr/>
      </w:pPr>
      <w:r>
        <w:rPr/>
        <w:t>GUP</w:t>
        <w:tab/>
        <w:t>3GPP Generic User Profile</w:t>
      </w:r>
    </w:p>
    <w:p>
      <w:pPr>
        <w:pStyle w:val="EW"/>
        <w:rPr/>
      </w:pPr>
      <w:r>
        <w:rPr/>
        <w:t>HPLMN</w:t>
        <w:tab/>
        <w:t>Home PLMN</w:t>
      </w:r>
    </w:p>
    <w:p>
      <w:pPr>
        <w:pStyle w:val="EW"/>
        <w:rPr/>
      </w:pPr>
      <w:r>
        <w:rPr/>
        <w:t>LCS</w:t>
        <w:tab/>
        <w:t>Location services</w:t>
      </w:r>
    </w:p>
    <w:p>
      <w:pPr>
        <w:pStyle w:val="EW"/>
        <w:rPr/>
      </w:pPr>
      <w:r>
        <w:rPr/>
        <w:t>OSA</w:t>
        <w:tab/>
        <w:t>Open Service Access</w:t>
      </w:r>
    </w:p>
    <w:p>
      <w:pPr>
        <w:pStyle w:val="EW"/>
        <w:rPr/>
      </w:pPr>
      <w:r>
        <w:rPr/>
        <w:t>PLMN</w:t>
        <w:tab/>
        <w:t>Public Land Mobile Network</w:t>
      </w:r>
    </w:p>
    <w:p>
      <w:pPr>
        <w:pStyle w:val="EW"/>
        <w:rPr/>
      </w:pPr>
      <w:r>
        <w:rPr/>
        <w:t>RAF</w:t>
        <w:tab/>
        <w:t>Repository Access Function</w:t>
      </w:r>
    </w:p>
    <w:p>
      <w:pPr>
        <w:pStyle w:val="EW"/>
        <w:rPr/>
      </w:pPr>
      <w:r>
        <w:rPr/>
        <w:t>UE</w:t>
        <w:tab/>
        <w:t>User Equipment</w:t>
      </w:r>
    </w:p>
    <w:p>
      <w:pPr>
        <w:pStyle w:val="EW"/>
        <w:rPr/>
      </w:pPr>
      <w:r>
        <w:rPr/>
        <w:t>XML</w:t>
        <w:tab/>
        <w:t>eXtensible Markup Language</w:t>
      </w:r>
    </w:p>
    <w:p>
      <w:pPr>
        <w:pStyle w:val="EW"/>
        <w:rPr/>
      </w:pPr>
      <w:r>
        <w:rPr/>
      </w:r>
    </w:p>
    <w:p>
      <w:pPr>
        <w:pStyle w:val="Heading1"/>
        <w:bidi w:val="0"/>
        <w:ind w:start="1134" w:hanging="1134"/>
        <w:jc w:val="start"/>
        <w:rPr/>
      </w:pPr>
      <w:bookmarkStart w:id="15" w:name="__RefHeading___Toc287964537"/>
      <w:bookmarkEnd w:id="15"/>
      <w:r>
        <w:rPr/>
        <w:t>4</w:t>
        <w:tab/>
        <w:t>Reference Architecture</w:t>
      </w:r>
    </w:p>
    <w:p>
      <w:pPr>
        <w:pStyle w:val="Heading2"/>
        <w:bidi w:val="0"/>
        <w:jc w:val="start"/>
        <w:rPr/>
      </w:pPr>
      <w:bookmarkStart w:id="16" w:name="__RefHeading___Toc287964538"/>
      <w:bookmarkEnd w:id="16"/>
      <w:r>
        <w:rPr/>
        <w:t>4.1</w:t>
        <w:tab/>
        <w:t>GUP Functionalities</w:t>
      </w:r>
    </w:p>
    <w:p>
      <w:pPr>
        <w:pStyle w:val="Heading3"/>
        <w:bidi w:val="0"/>
        <w:jc w:val="start"/>
        <w:rPr/>
      </w:pPr>
      <w:bookmarkStart w:id="17" w:name="__RefHeading___Toc287964539"/>
      <w:bookmarkEnd w:id="17"/>
      <w:r>
        <w:rPr/>
        <w:t>4.1.1</w:t>
        <w:tab/>
        <w:t>Harmonized access interface</w:t>
      </w:r>
    </w:p>
    <w:p>
      <w:pPr>
        <w:pStyle w:val="Normal"/>
        <w:rPr/>
      </w:pPr>
      <w:r>
        <w:rPr/>
        <w:t xml:space="preserve">The GUP harmonized access interface is the interface which can be used by the GUP suppliers and GUP consumers to access, manage and transfer the profile data. This application layer interface is independent of the profile structure. </w:t>
      </w:r>
    </w:p>
    <w:p>
      <w:pPr>
        <w:pStyle w:val="Heading3"/>
        <w:bidi w:val="0"/>
        <w:jc w:val="start"/>
        <w:rPr/>
      </w:pPr>
      <w:bookmarkStart w:id="18" w:name="__RefHeading___Toc287964540"/>
      <w:bookmarkEnd w:id="18"/>
      <w:r>
        <w:rPr/>
        <w:t>4.1.2</w:t>
        <w:tab/>
        <w:t>Single point of access</w:t>
      </w:r>
    </w:p>
    <w:p>
      <w:pPr>
        <w:pStyle w:val="Normal"/>
        <w:rPr>
          <w:lang w:eastAsia="ko-KR"/>
        </w:rPr>
      </w:pPr>
      <w:r>
        <w:rPr/>
        <w:t>There exists for each Profile a single point of access, which knows the location of the various components of the Profile. A discovery service, e.g. Liberty Discovery Service Specification [2] may be used to get the contact reference information for this access point if not known by other means.</w:t>
      </w:r>
    </w:p>
    <w:p>
      <w:pPr>
        <w:pStyle w:val="Heading3"/>
        <w:bidi w:val="0"/>
        <w:jc w:val="start"/>
        <w:rPr/>
      </w:pPr>
      <w:bookmarkStart w:id="19" w:name="__RefHeading___Toc287964541"/>
      <w:bookmarkEnd w:id="19"/>
      <w:r>
        <w:rPr/>
        <w:t>4.1.3</w:t>
        <w:tab/>
        <w:t>Authentication of profile access</w:t>
      </w:r>
    </w:p>
    <w:p>
      <w:pPr>
        <w:pStyle w:val="Normal"/>
        <w:rPr/>
      </w:pPr>
      <w:r>
        <w:rPr/>
        <w:t>A GUP functionality exists that is responsible to authenticate applications. Authentication is a vital function to be passed before any kind of access to GUP data is granted. GUP shall adopt generic mechanisms such as used for the OSA framework approach. More specifically GUP shall use authentication mechanisms from Liberty Alliance Project as specified in Liberty ID-WSF Security and Privacy Overview [5], Liberty Discovery Service [2] and Liberty ID-WSF Security Mechanisms [6].</w:t>
      </w:r>
    </w:p>
    <w:p>
      <w:pPr>
        <w:pStyle w:val="Heading3"/>
        <w:bidi w:val="0"/>
        <w:jc w:val="start"/>
        <w:rPr/>
      </w:pPr>
      <w:bookmarkStart w:id="20" w:name="__RefHeading___Toc287964542"/>
      <w:bookmarkEnd w:id="20"/>
      <w:r>
        <w:rPr/>
        <w:t>4.1.4</w:t>
        <w:tab/>
        <w:t>Authorization of profile access</w:t>
      </w:r>
    </w:p>
    <w:p>
      <w:pPr>
        <w:pStyle w:val="Normal"/>
        <w:rPr/>
      </w:pPr>
      <w:r>
        <w:rPr/>
        <w:t>A GUP functionality exists that is responsible to authorise applications to access GUP data based on User specific or common privacy rules. All attempts to access the GUP data are to be authorized according to the defined policies which shall include the requestor information, the requested data, the target subscriber and the performed operation, or some of those.</w:t>
      </w:r>
    </w:p>
    <w:p>
      <w:pPr>
        <w:pStyle w:val="Normal"/>
        <w:rPr/>
      </w:pPr>
      <w:r>
        <w:rPr/>
        <w:t>GUP shall use authorization mechanisms from Liberty Alliance Project as specified in Liberty ID-WSF Security and Privacy Overview [5] and Liberty ID-WSF Security Mechanisms [6].</w:t>
      </w:r>
    </w:p>
    <w:p>
      <w:pPr>
        <w:pStyle w:val="Normal"/>
        <w:rPr/>
      </w:pPr>
      <w:r>
        <w:rPr/>
        <w:t>The GUP data structures need to satisfy the requirement to provide the authorization information on the different levels: profile, component or data element. In addition to the generic authorization data, additional service specific data may be defined (e.g. for LCS). The same applies for the authorization decision logic. The execution of the authorization logic leads to a decision whether a requestor is allowed to make the request at all, and additionally to which part of data the requestor has the appropriate access rights with regard to the nature of the request.</w:t>
      </w:r>
    </w:p>
    <w:p>
      <w:pPr>
        <w:pStyle w:val="Normal"/>
        <w:rPr/>
      </w:pPr>
      <w:r>
        <w:rPr/>
        <w:t>GUP provides mechanisms for the different GUP entities for managing the authorization data.</w:t>
      </w:r>
    </w:p>
    <w:p>
      <w:pPr>
        <w:pStyle w:val="Normal"/>
        <w:jc w:val="both"/>
        <w:rPr/>
      </w:pPr>
      <w:r>
        <w:rPr/>
        <w:t>Both HPLMN based applications and non-HPLMN based applications are expected to send requests to the GUP Server. The GUP server shall have functionality to apply different authorization criteria, policy control and load control to HPLMN and non-HPLMN applications. Policy control and load control are out of the scope of the present document.</w:t>
      </w:r>
    </w:p>
    <w:p>
      <w:pPr>
        <w:pStyle w:val="Heading3"/>
        <w:bidi w:val="0"/>
        <w:jc w:val="start"/>
        <w:rPr>
          <w:lang w:eastAsia="ko-KR"/>
        </w:rPr>
      </w:pPr>
      <w:bookmarkStart w:id="21" w:name="__RefHeading___Toc287964543"/>
      <w:bookmarkEnd w:id="21"/>
      <w:r>
        <w:rPr/>
        <w:t>4.1.5</w:t>
        <w:tab/>
        <w:t>Privacy control</w:t>
      </w:r>
    </w:p>
    <w:p>
      <w:pPr>
        <w:pStyle w:val="Normal"/>
        <w:rPr>
          <w:lang w:eastAsia="ko-KR"/>
        </w:rPr>
      </w:pPr>
      <w:r>
        <w:rPr/>
        <w:t>The tight connection of authentication, authorization and subscriber specific privacy requirements results in privacy control. Privacy control implies a centralized management for access rights including the subscriber's privacy requirements.</w:t>
      </w:r>
    </w:p>
    <w:p>
      <w:pPr>
        <w:pStyle w:val="Normal"/>
        <w:rPr>
          <w:lang w:eastAsia="ko-KR"/>
        </w:rPr>
      </w:pPr>
      <w:r>
        <w:rPr/>
        <w:t>GUP shall use privacy control mechanisms and other privacy related features from Liberty Alliance Project as specified in Liberty ID-WSF Security and Privacy Overview [5] and Liberty ID-WSF Security Mechanisms [6].</w:t>
      </w:r>
    </w:p>
    <w:p>
      <w:pPr>
        <w:pStyle w:val="Heading3"/>
        <w:bidi w:val="0"/>
        <w:jc w:val="start"/>
        <w:rPr/>
      </w:pPr>
      <w:bookmarkStart w:id="22" w:name="__RefHeading___Toc287964544"/>
      <w:bookmarkEnd w:id="22"/>
      <w:r>
        <w:rPr/>
        <w:t>4.1.6</w:t>
        <w:tab/>
        <w:t>Synchronization of data storage</w:t>
      </w:r>
    </w:p>
    <w:p>
      <w:pPr>
        <w:pStyle w:val="Normal"/>
        <w:rPr/>
      </w:pPr>
      <w:r>
        <w:rPr/>
        <w:t>The GUP data repository holds the master copy of the GUP component data. Applications or GUP server may copy (i.e. read) the component data or request synchronization. The present document defines how the data is requested and sent. What is thereafter done with the data by the application or GUP server is beyond the scope of the present document.</w:t>
      </w:r>
    </w:p>
    <w:p>
      <w:pPr>
        <w:pStyle w:val="Normal"/>
        <w:rPr/>
      </w:pPr>
      <w:r>
        <w:rPr/>
        <w:t>Synchronization means that the changes to the master copy of the data are propagated to the entities that request synchronization. The synchronization request specifies which data are monitored for changes. It is also possible to request that all changes are reported.</w:t>
      </w:r>
    </w:p>
    <w:p>
      <w:pPr>
        <w:pStyle w:val="Normal"/>
        <w:rPr/>
      </w:pPr>
      <w:r>
        <w:rPr/>
        <w:t>Synchronization may cause heavy processing load to the involved entities, thus some policies are required in the implementations but those are not specified for the time being. However the GUP interfaces should carry sufficient data for enabling the load control mechanisms to work.</w:t>
      </w:r>
    </w:p>
    <w:p>
      <w:pPr>
        <w:pStyle w:val="Normal"/>
        <w:rPr/>
      </w:pPr>
      <w:r>
        <w:rPr/>
        <w:t>The entity under a heavy processing load has the responsibility to handle the error cases and conditions and to reach the synchronization as fast as possible. All the unresolved errors or load balancing actions that affect synchronization shall be reported.</w:t>
      </w:r>
    </w:p>
    <w:p>
      <w:pPr>
        <w:pStyle w:val="Heading3"/>
        <w:bidi w:val="0"/>
        <w:jc w:val="start"/>
        <w:rPr/>
      </w:pPr>
      <w:bookmarkStart w:id="23" w:name="__RefHeading___Toc287964545"/>
      <w:bookmarkEnd w:id="23"/>
      <w:r>
        <w:rPr/>
        <w:t>4.1.7</w:t>
        <w:tab/>
        <w:t>Access of profile from visited network</w:t>
      </w:r>
    </w:p>
    <w:p>
      <w:pPr>
        <w:pStyle w:val="Normal"/>
        <w:rPr/>
      </w:pPr>
      <w:r>
        <w:rPr/>
        <w:t>Access to GUP from a visited network shall follow the single point of access principle.</w:t>
      </w:r>
    </w:p>
    <w:p>
      <w:pPr>
        <w:pStyle w:val="Heading3"/>
        <w:bidi w:val="0"/>
        <w:jc w:val="start"/>
        <w:rPr/>
      </w:pPr>
      <w:bookmarkStart w:id="24" w:name="__RefHeading___Toc287964546"/>
      <w:bookmarkEnd w:id="24"/>
      <w:r>
        <w:rPr/>
        <w:t>4.1.8</w:t>
        <w:tab/>
        <w:t>Location of Profile Components</w:t>
      </w:r>
    </w:p>
    <w:p>
      <w:pPr>
        <w:pStyle w:val="Normal"/>
        <w:rPr/>
      </w:pPr>
      <w:r>
        <w:rPr/>
        <w:t>A GUP functionality exists that keeps information where GUP data are located.</w:t>
      </w:r>
    </w:p>
    <w:p>
      <w:pPr>
        <w:pStyle w:val="Heading3"/>
        <w:bidi w:val="0"/>
        <w:jc w:val="start"/>
        <w:rPr/>
      </w:pPr>
      <w:bookmarkStart w:id="25" w:name="__RefHeading___Toc287964547"/>
      <w:bookmarkEnd w:id="25"/>
      <w:r>
        <w:rPr/>
        <w:t>4.1.9</w:t>
        <w:tab/>
        <w:t>Charging for profile access</w:t>
      </w:r>
    </w:p>
    <w:p>
      <w:pPr>
        <w:pStyle w:val="Normal"/>
        <w:rPr/>
      </w:pPr>
      <w:r>
        <w:rPr/>
        <w:t xml:space="preserve">The GUP Server shall be capable of providing charging information, e.g. to enable transaction/event based charging. </w:t>
      </w:r>
    </w:p>
    <w:p>
      <w:pPr>
        <w:pStyle w:val="Normal"/>
        <w:rPr/>
      </w:pPr>
      <w:r>
        <w:rPr/>
        <w:t xml:space="preserve">Some GUP Data Repositories may provide charging information, while other GUP Data Repositories do not provide charging information. </w:t>
      </w:r>
    </w:p>
    <w:p>
      <w:pPr>
        <w:pStyle w:val="Normal"/>
        <w:rPr/>
      </w:pPr>
      <w:r>
        <w:rPr/>
        <w:t>Mechanisms are needed to permit the GUP Server to know which GUP Data Repositories are (and are not) producing their own charging information. When the GUP Data Repository is capable of producing charging information, mechanisms are needed for the correlation of the charging information produced by GUP Server and GUP Data Repository.</w:t>
      </w:r>
    </w:p>
    <w:p>
      <w:pPr>
        <w:pStyle w:val="Normal"/>
        <w:rPr/>
      </w:pPr>
      <w:r>
        <w:rPr/>
        <w:t>The charging information may also be used for other event logging, customer care, privacy auditing, etc. functions.</w:t>
      </w:r>
    </w:p>
    <w:p>
      <w:pPr>
        <w:pStyle w:val="Heading2"/>
        <w:bidi w:val="0"/>
        <w:jc w:val="start"/>
        <w:rPr/>
      </w:pPr>
      <w:bookmarkStart w:id="26" w:name="__RefHeading___Toc287964548"/>
      <w:bookmarkEnd w:id="26"/>
      <w:r>
        <w:rPr/>
        <w:t>4.2</w:t>
        <w:tab/>
        <w:t>GUP functional entities</w:t>
      </w:r>
    </w:p>
    <w:p>
      <w:pPr>
        <w:pStyle w:val="Normal"/>
        <w:rPr/>
      </w:pPr>
      <w:r>
        <w:rPr/>
        <w:t>The GUP reference architecture as shown in Figure 4.1 consists of:</w:t>
      </w:r>
    </w:p>
    <w:p>
      <w:pPr>
        <w:pStyle w:val="B1"/>
        <w:rPr/>
      </w:pPr>
      <w:r>
        <w:rPr/>
        <w:t>-</w:t>
        <w:tab/>
        <w:t>GUP Server;</w:t>
      </w:r>
    </w:p>
    <w:p>
      <w:pPr>
        <w:pStyle w:val="B1"/>
        <w:rPr/>
      </w:pPr>
      <w:r>
        <w:rPr/>
        <w:t>-</w:t>
        <w:tab/>
        <w:t>Repository Access Function (RAF);</w:t>
      </w:r>
    </w:p>
    <w:p>
      <w:pPr>
        <w:pStyle w:val="B1"/>
        <w:rPr/>
      </w:pPr>
      <w:r>
        <w:rPr/>
        <w:t>-</w:t>
        <w:tab/>
        <w:t>GUP Data Repositories;</w:t>
      </w:r>
    </w:p>
    <w:p>
      <w:pPr>
        <w:pStyle w:val="B1"/>
        <w:rPr/>
      </w:pPr>
      <w:r>
        <w:rPr/>
        <w:t>-</w:t>
        <w:tab/>
        <w:t>Rg and Rp reference points;</w:t>
      </w:r>
    </w:p>
    <w:p>
      <w:pPr>
        <w:pStyle w:val="B1"/>
        <w:rPr/>
      </w:pPr>
      <w:r>
        <w:rPr/>
        <w:t>-</w:t>
        <w:tab/>
        <w:t>Applications.</w:t>
      </w:r>
    </w:p>
    <w:p>
      <w:pPr>
        <w:pStyle w:val="TH"/>
        <w:rPr/>
      </w:pPr>
      <w:bookmarkStart w:id="27" w:name="_1290841309"/>
      <w:bookmarkEnd w:id="27"/>
      <w:r>
        <w:rPr/>
        <w:object w:dxaOrig="6465" w:dyaOrig="4529">
          <v:shape id="ole_rId12" style="width:323.25pt;height:226.45pt" o:ole="">
            <v:imagedata r:id="rId13" o:title=""/>
          </v:shape>
          <o:OLEObject Type="Embed" ProgID="" ShapeID="ole_rId12" DrawAspect="Content" ObjectID="_108602332" r:id="rId12"/>
        </w:object>
      </w:r>
    </w:p>
    <w:p>
      <w:pPr>
        <w:pStyle w:val="TF"/>
        <w:rPr/>
      </w:pPr>
      <w:r>
        <w:rPr/>
        <w:t>Figure 4.1: GUP reference architecture</w:t>
      </w:r>
    </w:p>
    <w:p>
      <w:pPr>
        <w:pStyle w:val="Normal"/>
        <w:rPr/>
      </w:pPr>
      <w:r>
        <w:rPr/>
        <w:t>An example of mapping the GUP reference architecture to current infrastructure environment is shown in Figure 4.2.</w:t>
      </w:r>
    </w:p>
    <w:p>
      <w:pPr>
        <w:pStyle w:val="TH"/>
        <w:rPr/>
      </w:pPr>
      <w:bookmarkStart w:id="28" w:name="_1290841335"/>
      <w:bookmarkStart w:id="29" w:name="_1290841046"/>
      <w:bookmarkStart w:id="30" w:name="_1158403258"/>
      <w:bookmarkStart w:id="31" w:name="_1158403108"/>
      <w:bookmarkStart w:id="32" w:name="_1158403083"/>
      <w:bookmarkStart w:id="33" w:name="_1158398424"/>
      <w:bookmarkEnd w:id="28"/>
      <w:bookmarkEnd w:id="29"/>
      <w:bookmarkEnd w:id="30"/>
      <w:bookmarkEnd w:id="31"/>
      <w:bookmarkEnd w:id="32"/>
      <w:bookmarkEnd w:id="33"/>
      <w:r>
        <w:rPr/>
        <w:object w:dxaOrig="6555" w:dyaOrig="5295">
          <v:shape id="ole_rId14" style="width:326.75pt;height:263.95pt" o:ole="">
            <v:imagedata r:id="rId15" o:title=""/>
          </v:shape>
          <o:OLEObject Type="Embed" ProgID="" ShapeID="ole_rId14" DrawAspect="Content" ObjectID="_269067346" r:id="rId14"/>
        </w:object>
      </w:r>
    </w:p>
    <w:p>
      <w:pPr>
        <w:pStyle w:val="TF"/>
        <w:rPr/>
      </w:pPr>
      <w:r>
        <w:rPr/>
        <w:t>Figure 4.2: An example of mapping the GUP reference architecture to current infrastructure environment</w:t>
      </w:r>
    </w:p>
    <w:p>
      <w:pPr>
        <w:pStyle w:val="Heading3"/>
        <w:bidi w:val="0"/>
        <w:jc w:val="start"/>
        <w:rPr/>
      </w:pPr>
      <w:bookmarkStart w:id="34" w:name="__RefHeading___Toc287964549"/>
      <w:bookmarkEnd w:id="34"/>
      <w:r>
        <w:rPr/>
        <w:t>4.2.1</w:t>
        <w:tab/>
        <w:t>GUP Server</w:t>
      </w:r>
    </w:p>
    <w:p>
      <w:pPr>
        <w:pStyle w:val="Normal"/>
        <w:rPr>
          <w:lang w:eastAsia="ko-KR"/>
        </w:rPr>
      </w:pPr>
      <w:r>
        <w:rPr/>
        <w:t>The GUP Server is a functional entity providing a single point of access to the Generic User Profile data of a particular subscriber. The reference architecture does not specify or limit the physical location of the GUP Server enabling flexibility in the implementations. However, the GUP Server shall be located in the home operator network of the targeted subscriber.</w:t>
      </w:r>
    </w:p>
    <w:p>
      <w:pPr>
        <w:pStyle w:val="Normal"/>
        <w:rPr/>
      </w:pPr>
      <w:r>
        <w:rPr/>
        <w:t>The GUP Server includes the following main functionalities:</w:t>
      </w:r>
    </w:p>
    <w:p>
      <w:pPr>
        <w:pStyle w:val="B1"/>
        <w:numPr>
          <w:ilvl w:val="0"/>
          <w:numId w:val="2"/>
        </w:numPr>
        <w:tabs>
          <w:tab w:val="clear" w:pos="284"/>
          <w:tab w:val="left" w:pos="567" w:leader="none"/>
        </w:tabs>
        <w:ind w:start="567" w:hanging="283"/>
        <w:rPr/>
      </w:pPr>
      <w:r>
        <w:rPr/>
        <w:t>Single point of access for reading and managing generic user profile data of a particular subscriber.</w:t>
      </w:r>
    </w:p>
    <w:p>
      <w:pPr>
        <w:pStyle w:val="B1"/>
        <w:numPr>
          <w:ilvl w:val="0"/>
          <w:numId w:val="2"/>
        </w:numPr>
        <w:tabs>
          <w:tab w:val="clear" w:pos="284"/>
          <w:tab w:val="left" w:pos="567" w:leader="none"/>
        </w:tabs>
        <w:ind w:start="567" w:hanging="283"/>
        <w:rPr/>
      </w:pPr>
      <w:r>
        <w:rPr/>
        <w:t>Location of Profile Components.</w:t>
      </w:r>
    </w:p>
    <w:p>
      <w:pPr>
        <w:pStyle w:val="B1"/>
        <w:numPr>
          <w:ilvl w:val="0"/>
          <w:numId w:val="2"/>
        </w:numPr>
        <w:tabs>
          <w:tab w:val="clear" w:pos="284"/>
          <w:tab w:val="left" w:pos="567" w:leader="none"/>
        </w:tabs>
        <w:ind w:start="567" w:hanging="283"/>
        <w:rPr/>
      </w:pPr>
      <w:r>
        <w:rPr/>
        <w:t>Authentication of profile requests.</w:t>
      </w:r>
    </w:p>
    <w:p>
      <w:pPr>
        <w:pStyle w:val="B1"/>
        <w:numPr>
          <w:ilvl w:val="0"/>
          <w:numId w:val="2"/>
        </w:numPr>
        <w:tabs>
          <w:tab w:val="clear" w:pos="284"/>
          <w:tab w:val="left" w:pos="567" w:leader="none"/>
        </w:tabs>
        <w:ind w:start="567" w:hanging="283"/>
        <w:rPr/>
      </w:pPr>
      <w:r>
        <w:rPr/>
        <w:t>Authorization of profile requests.</w:t>
      </w:r>
    </w:p>
    <w:p>
      <w:pPr>
        <w:pStyle w:val="B1"/>
        <w:numPr>
          <w:ilvl w:val="0"/>
          <w:numId w:val="2"/>
        </w:numPr>
        <w:tabs>
          <w:tab w:val="clear" w:pos="284"/>
          <w:tab w:val="left" w:pos="567" w:leader="none"/>
        </w:tabs>
        <w:ind w:start="567" w:hanging="283"/>
        <w:rPr/>
      </w:pPr>
      <w:r>
        <w:rPr/>
        <w:t>Synchronization of Profile Components.</w:t>
      </w:r>
    </w:p>
    <w:p>
      <w:pPr>
        <w:pStyle w:val="Normal"/>
        <w:rPr/>
      </w:pPr>
      <w:r>
        <w:rPr/>
        <w:t xml:space="preserve">The GUP Server </w:t>
      </w:r>
      <w:r>
        <w:rPr>
          <w:lang w:eastAsia="ko-KR"/>
        </w:rPr>
        <w:t>may</w:t>
      </w:r>
      <w:r>
        <w:rPr/>
        <w:t xml:space="preserve"> support two modes of operation:</w:t>
      </w:r>
    </w:p>
    <w:p>
      <w:pPr>
        <w:pStyle w:val="B1"/>
        <w:rPr/>
      </w:pPr>
      <w:r>
        <w:rPr/>
        <w:t>-</w:t>
        <w:tab/>
      </w:r>
      <w:r>
        <w:rPr>
          <w:b/>
          <w:bCs/>
        </w:rPr>
        <w:t>Proxy mode</w:t>
      </w:r>
      <w:r>
        <w:rPr/>
        <w:t xml:space="preserve"> (see figure 4.3). The Application requests user related data located in the GUP Data Repositories from the GUP Server. After taking care of needed actions specified for the GUP Server (and depending on the type of the request) the GUP Server makes requests to the corresponding GUP Data Repositories and receives responses from them. Finally the Application gets a response to the original request from the GUP Server. Depending on the type of the request also possible subsequent responses are delivered through the GUP Server.</w:t>
      </w:r>
    </w:p>
    <w:p>
      <w:pPr>
        <w:pStyle w:val="B1"/>
        <w:rPr>
          <w:lang w:eastAsia="ko-KR"/>
        </w:rPr>
      </w:pPr>
      <w:r>
        <w:rPr/>
        <w:t>-</w:t>
        <w:tab/>
      </w:r>
      <w:r>
        <w:rPr>
          <w:b/>
          <w:bCs/>
        </w:rPr>
        <w:t>Redirect mode</w:t>
      </w:r>
      <w:r>
        <w:rPr/>
        <w:t xml:space="preserve"> (see figure 4.4). The Application requests user related data located in the GUP Data Repositories from the GUP Server. After taking care of needed actions specified for the GUP Server (and depending on the type of the request) the GUP Server returns to the Application the information (e.g. address of GUP Data Repository(s)) to allow the Application to request the information from the GUP Data Repositories. The Application then directly requests the information from the GUP Data Repositories.</w:t>
      </w:r>
    </w:p>
    <w:p>
      <w:pPr>
        <w:pStyle w:val="Normal"/>
        <w:rPr>
          <w:lang w:eastAsia="ko-KR"/>
        </w:rPr>
      </w:pPr>
      <w:r>
        <w:rPr/>
        <w:t>The Proxy mode is the default mode of operation. Redirect capability and preference for the applied mode may be indicated by the application with the Requestor data parameter when accessing the GUP Server. The GUP Server decides which mode is selected for the different requests. In addition to the Requestor data parameter, the decision is based on the capabilities of the GUP Server and the related Repository Access Functions (RAF) as well as on the service configuration and policy data in the GUP Server related to the particular application. These service configuration and policy data are out of the scope of GUP standardisation. If the Redirect mode is not supported by the GUP Server the response is always sent according to the Proxy mode.</w:t>
      </w:r>
    </w:p>
    <w:p>
      <w:pPr>
        <w:pStyle w:val="TH"/>
        <w:rPr/>
      </w:pPr>
      <w:bookmarkStart w:id="35" w:name="_1290841396"/>
      <w:bookmarkStart w:id="36" w:name="_1290841012"/>
      <w:bookmarkEnd w:id="35"/>
      <w:bookmarkEnd w:id="36"/>
      <w:r>
        <w:rPr/>
        <w:object w:dxaOrig="7229" w:dyaOrig="4949">
          <v:shape id="ole_rId16" style="width:361.45pt;height:247.45pt" o:ole="">
            <v:imagedata r:id="rId17" o:title=""/>
          </v:shape>
          <o:OLEObject Type="Embed" ProgID="" ShapeID="ole_rId16" DrawAspect="Content" ObjectID="_19191716" r:id="rId16"/>
        </w:object>
      </w:r>
    </w:p>
    <w:p>
      <w:pPr>
        <w:pStyle w:val="TF"/>
        <w:rPr>
          <w:lang w:eastAsia="ko-KR"/>
        </w:rPr>
      </w:pPr>
      <w:r>
        <w:rPr/>
        <w:t>Figure 4.3: GUP Server acting as a Proxy Server</w:t>
      </w:r>
    </w:p>
    <w:p>
      <w:pPr>
        <w:pStyle w:val="TH"/>
        <w:rPr/>
      </w:pPr>
      <w:bookmarkStart w:id="37" w:name="_1290841405"/>
      <w:bookmarkStart w:id="38" w:name="_1290840969"/>
      <w:bookmarkStart w:id="39" w:name="_1290840965"/>
      <w:bookmarkStart w:id="40" w:name="_1290840952"/>
      <w:bookmarkStart w:id="41" w:name="_1290840925"/>
      <w:bookmarkEnd w:id="37"/>
      <w:bookmarkEnd w:id="38"/>
      <w:bookmarkEnd w:id="39"/>
      <w:bookmarkEnd w:id="40"/>
      <w:bookmarkEnd w:id="41"/>
      <w:r>
        <w:rPr/>
        <w:object w:dxaOrig="7229" w:dyaOrig="4949">
          <v:shape id="ole_rId18" style="width:361.45pt;height:247.45pt" o:ole="">
            <v:imagedata r:id="rId19" o:title=""/>
          </v:shape>
          <o:OLEObject Type="Embed" ProgID="" ShapeID="ole_rId18" DrawAspect="Content" ObjectID="_1396745090" r:id="rId18"/>
        </w:object>
      </w:r>
    </w:p>
    <w:p>
      <w:pPr>
        <w:pStyle w:val="TF"/>
        <w:rPr/>
      </w:pPr>
      <w:r>
        <w:rPr/>
        <w:t>Figure 4.4: GUP Server acting as a Redirect Server.</w:t>
      </w:r>
    </w:p>
    <w:p>
      <w:pPr>
        <w:pStyle w:val="Heading4"/>
        <w:bidi w:val="0"/>
        <w:ind w:start="1418" w:hanging="1418"/>
        <w:jc w:val="start"/>
        <w:rPr/>
      </w:pPr>
      <w:bookmarkStart w:id="42" w:name="__RefHeading___Toc287964550"/>
      <w:bookmarkEnd w:id="42"/>
      <w:r>
        <w:rPr/>
        <w:t>4.2.1.1</w:t>
        <w:tab/>
        <w:t>Single point of access</w:t>
      </w:r>
    </w:p>
    <w:p>
      <w:pPr>
        <w:pStyle w:val="B1"/>
        <w:ind w:start="0" w:hanging="0"/>
        <w:rPr/>
      </w:pPr>
      <w:r>
        <w:rPr/>
        <w:t>The GUP Server shall accept data management related requests from the applications via the Rg reference point, and either convey the corresponding GUP component specific requests to GUP Data Repositories via Rp reference point or redirect the Application to convey the requests to the GUP Data Repositories. Note that one data request from an application to the GUP Server can cause sending of several GUP Data Repository requests by the GUP Server or Application. Also mapping to proprietary interfaces instead of Rp is possible in implementations.</w:t>
      </w:r>
    </w:p>
    <w:p>
      <w:pPr>
        <w:pStyle w:val="B1"/>
        <w:ind w:start="0" w:hanging="0"/>
        <w:rPr/>
      </w:pPr>
      <w:r>
        <w:rPr/>
        <w:t>In Proxy mode the GUP Server shall receive the results of the requests from GUP Data Repositories and deliver the results back to the requestor (Application). In case of responses from several GUP Data Repositories the GUP Server shall combine separate XML documents received from the repositories and deliver the composed information to the requestor. In redirect mode the Application will receive the results of the requests from the GUP Data Repositories.</w:t>
      </w:r>
    </w:p>
    <w:p>
      <w:pPr>
        <w:pStyle w:val="Heading4"/>
        <w:bidi w:val="0"/>
        <w:ind w:start="1418" w:hanging="1418"/>
        <w:jc w:val="start"/>
        <w:rPr/>
      </w:pPr>
      <w:bookmarkStart w:id="43" w:name="__RefHeading___Toc287964551"/>
      <w:bookmarkEnd w:id="43"/>
      <w:r>
        <w:rPr/>
        <w:t>4.2.1.2</w:t>
        <w:tab/>
        <w:t>Location of profile components</w:t>
      </w:r>
    </w:p>
    <w:p>
      <w:pPr>
        <w:pStyle w:val="Normal"/>
        <w:rPr/>
      </w:pPr>
      <w:r>
        <w:rPr/>
        <w:t>The GUP Server stores information about the GUP Components and the locations of data repositories of GUP Components related to each subscriber. Thus e.g. the separate GUP components composing the whole User Profile of a certain subscriber can be located and identified. The application shall be able to affect where a new GUP Component is created by the GUP Server.</w:t>
      </w:r>
      <w:r>
        <w:rPr>
          <w:lang w:eastAsia="ko-KR"/>
        </w:rPr>
        <w:t xml:space="preserve"> </w:t>
      </w:r>
      <w:r>
        <w:rPr/>
        <w:t>It is beyond this specification how the GUP server gets the component locations in the cases when it is not involved in the creation of those components.</w:t>
      </w:r>
    </w:p>
    <w:p>
      <w:pPr>
        <w:pStyle w:val="Heading4"/>
        <w:bidi w:val="0"/>
        <w:ind w:start="1418" w:hanging="1418"/>
        <w:jc w:val="start"/>
        <w:rPr/>
      </w:pPr>
      <w:bookmarkStart w:id="44" w:name="__RefHeading___Toc287964552"/>
      <w:bookmarkEnd w:id="44"/>
      <w:r>
        <w:rPr/>
        <w:t>4.2.1.3</w:t>
        <w:tab/>
        <w:t>Authentication of profile request</w:t>
      </w:r>
    </w:p>
    <w:p>
      <w:pPr>
        <w:pStyle w:val="Normal"/>
        <w:rPr/>
      </w:pPr>
      <w:r>
        <w:rPr/>
        <w:t>The GUP Server shall make sure that the application requesting user profile data is properly authenticated. The authentication is based on the identification of the requesting application and/or the identification of the possible subscriber requesting the user profile data. The GUP Server may rely on the authentication made by other trusted entities.</w:t>
      </w:r>
    </w:p>
    <w:p>
      <w:pPr>
        <w:pStyle w:val="Heading4"/>
        <w:bidi w:val="0"/>
        <w:ind w:start="1418" w:hanging="1418"/>
        <w:jc w:val="start"/>
        <w:rPr/>
      </w:pPr>
      <w:bookmarkStart w:id="45" w:name="__RefHeading___Toc287964553"/>
      <w:bookmarkEnd w:id="45"/>
      <w:r>
        <w:rPr/>
        <w:t>4.2.1.4</w:t>
        <w:tab/>
        <w:t>Authorization of profile request</w:t>
      </w:r>
    </w:p>
    <w:p>
      <w:pPr>
        <w:pStyle w:val="Normal"/>
        <w:rPr>
          <w:lang w:eastAsia="ko-KR"/>
        </w:rPr>
      </w:pPr>
      <w:r>
        <w:rPr/>
        <w:t>The GUP Server shall take care of the authorization of the access to the user profile data. The authorization itself may be handled by a separate entity in the network, or alternatively by the RAF or GUP Data Repository. The authorization shall be based on the requestor information, the requested data, the target subscriber and the performed operation, or some of them. The authorization rules of the requested data shall be defined at least in the GUP Component level in GUP Server. (Note that the authorization may be based on also on finer granularity of the data content.) It shall be possible to manage the authorization data via the Rg and Rp reference points.</w:t>
      </w:r>
    </w:p>
    <w:p>
      <w:pPr>
        <w:pStyle w:val="Heading4"/>
        <w:bidi w:val="0"/>
        <w:ind w:start="1418" w:hanging="1418"/>
        <w:jc w:val="start"/>
        <w:rPr/>
      </w:pPr>
      <w:bookmarkStart w:id="46" w:name="__RefHeading___Toc287964554"/>
      <w:bookmarkEnd w:id="46"/>
      <w:r>
        <w:rPr/>
        <w:t>4.2.1.5</w:t>
        <w:tab/>
        <w:t>Synchronization of profile components</w:t>
      </w:r>
    </w:p>
    <w:p>
      <w:pPr>
        <w:pStyle w:val="Normal"/>
        <w:rPr/>
      </w:pPr>
      <w:r>
        <w:rPr/>
        <w:t>In proxy mode, the GUP Server shall convey the data synchronization requests from the applications to the RAFs in the same way as the other profile requests. Also the related change notifications from the RAFs are passed on to the requesting application. This requires that some kind of book keeping about the synchronization requests implemented. In redirect mode the GUP server shall redirect the Application to the RAFs in the same way as the other profile requests.</w:t>
      </w:r>
    </w:p>
    <w:p>
      <w:pPr>
        <w:pStyle w:val="Normal"/>
        <w:rPr/>
      </w:pPr>
      <w:r>
        <w:rPr/>
        <w:t>The GUP Server may store a copy of the actual data from the GUP Data Repository, but it is up to the local policy of the GUP Server.</w:t>
      </w:r>
    </w:p>
    <w:p>
      <w:pPr>
        <w:pStyle w:val="Heading4"/>
        <w:bidi w:val="0"/>
        <w:ind w:start="1418" w:hanging="1418"/>
        <w:jc w:val="start"/>
        <w:rPr/>
      </w:pPr>
      <w:bookmarkStart w:id="47" w:name="__RefHeading___Toc287964555"/>
      <w:bookmarkEnd w:id="47"/>
      <w:r>
        <w:rPr/>
        <w:t>4.2.1.6</w:t>
        <w:tab/>
        <w:t>Additional functionality</w:t>
      </w:r>
    </w:p>
    <w:p>
      <w:pPr>
        <w:pStyle w:val="Normal"/>
        <w:rPr/>
      </w:pPr>
      <w:r>
        <w:rPr/>
        <w:t>The GUP Server may take part in the charging of the data management operations concerning the profile.</w:t>
      </w:r>
    </w:p>
    <w:p>
      <w:pPr>
        <w:pStyle w:val="Normal"/>
        <w:rPr>
          <w:lang w:eastAsia="ko-KR"/>
        </w:rPr>
      </w:pPr>
      <w:r>
        <w:rPr/>
        <w:t>The GUP Server may take part in the rate and/or size limiting of the data operations towards the profile.</w:t>
      </w:r>
    </w:p>
    <w:p>
      <w:pPr>
        <w:pStyle w:val="Normal"/>
        <w:rPr>
          <w:lang w:eastAsia="ko-KR"/>
        </w:rPr>
      </w:pPr>
      <w:r>
        <w:rPr/>
        <w:t>The GUP Server may utilise a discovery service to register its contact reference information.</w:t>
      </w:r>
    </w:p>
    <w:p>
      <w:pPr>
        <w:pStyle w:val="Heading3"/>
        <w:bidi w:val="0"/>
        <w:jc w:val="start"/>
        <w:rPr/>
      </w:pPr>
      <w:bookmarkStart w:id="48" w:name="__RefHeading___Toc287964556"/>
      <w:bookmarkEnd w:id="48"/>
      <w:r>
        <w:rPr/>
        <w:t>4.2.2</w:t>
        <w:tab/>
        <w:t>Repository Access Function (RAF)</w:t>
      </w:r>
    </w:p>
    <w:p>
      <w:pPr>
        <w:pStyle w:val="Normal"/>
        <w:keepNext w:val="true"/>
        <w:keepLines/>
        <w:rPr/>
      </w:pPr>
      <w:r>
        <w:rPr/>
        <w:t>The Repository Access Function (RAF) realizes the harmonized access interface. It hides the implementation details of the data repositories from the GUP infrastructure. The RAF performs protocol and data transformation where needed.</w:t>
      </w:r>
    </w:p>
    <w:p>
      <w:pPr>
        <w:pStyle w:val="Normal"/>
        <w:rPr>
          <w:lang w:eastAsia="ko-KR"/>
        </w:rPr>
      </w:pPr>
      <w:r>
        <w:rPr/>
        <w:t>The protocol between the RAF and the GUP data repository is out of the standardization scope. It is recommended that the protocol used should support GUP requirements.</w:t>
      </w:r>
    </w:p>
    <w:p>
      <w:pPr>
        <w:pStyle w:val="Normal"/>
        <w:rPr>
          <w:lang w:eastAsia="ko-KR"/>
        </w:rPr>
      </w:pPr>
      <w:r>
        <w:rPr/>
        <w:t>The RAF may take part in the authorization of access to such GUP information, which are under the control of the RAF. In addition, the authorization data may be managed via the Rp reference point.</w:t>
      </w:r>
    </w:p>
    <w:p>
      <w:pPr>
        <w:pStyle w:val="Heading3"/>
        <w:bidi w:val="0"/>
        <w:jc w:val="start"/>
        <w:rPr/>
      </w:pPr>
      <w:bookmarkStart w:id="49" w:name="__RefHeading___Toc287964557"/>
      <w:bookmarkEnd w:id="49"/>
      <w:r>
        <w:rPr/>
        <w:t>4.2.3</w:t>
        <w:tab/>
        <w:t>GUP Data Repository</w:t>
      </w:r>
    </w:p>
    <w:p>
      <w:pPr>
        <w:pStyle w:val="Normal"/>
        <w:rPr>
          <w:lang w:eastAsia="ko-KR"/>
        </w:rPr>
      </w:pPr>
      <w:r>
        <w:rPr/>
        <w:t>Each GUP Data Repository stores the primary master copy of one or several profile components. The RAF provides for the standardized access to the GUP Data Repository. The storage formats or the interface between the RAF and GUP Data Repository are not specified by GUP. It is presumed that the RAF and the GUP Data Repository are usually co-located in the same network element.</w:t>
      </w:r>
    </w:p>
    <w:p>
      <w:pPr>
        <w:pStyle w:val="Normal"/>
        <w:rPr>
          <w:lang w:eastAsia="ko-KR"/>
        </w:rPr>
      </w:pPr>
      <w:r>
        <w:rPr/>
        <w:t>The GUP Data Repository may contain also the authorization data depending on the authorization model and architecture.</w:t>
      </w:r>
    </w:p>
    <w:p>
      <w:pPr>
        <w:pStyle w:val="Heading3"/>
        <w:bidi w:val="0"/>
        <w:jc w:val="start"/>
        <w:rPr/>
      </w:pPr>
      <w:bookmarkStart w:id="50" w:name="__RefHeading___Toc287964558"/>
      <w:bookmarkEnd w:id="50"/>
      <w:r>
        <w:rPr/>
        <w:t>4.2.4</w:t>
        <w:tab/>
        <w:t>Reference Points</w:t>
      </w:r>
    </w:p>
    <w:p>
      <w:pPr>
        <w:pStyle w:val="Normal"/>
        <w:rPr/>
      </w:pPr>
      <w:r>
        <w:rPr/>
        <w:t>Reference Points in the GUP Reference Architecture:</w:t>
      </w:r>
    </w:p>
    <w:p>
      <w:pPr>
        <w:pStyle w:val="Normal"/>
        <w:rPr>
          <w:lang w:eastAsia="ko-KR"/>
        </w:rPr>
      </w:pPr>
      <w:r>
        <w:rPr/>
        <w:t>1. Reference point Rg</w:t>
        <w:br/>
        <w:t>This reference point shall allow applications to create, read, modify and delete any user profile data using the harmonized access interface. The GUP Server locates the data repositories responsible of the storage of the requested profile component(s) and in case of proxy mode carries out the requested operation on the data.</w:t>
      </w:r>
      <w:r>
        <w:rPr>
          <w:lang w:eastAsia="ko-KR"/>
        </w:rPr>
        <w:t xml:space="preserve"> </w:t>
      </w:r>
      <w:r>
        <w:rPr/>
        <w:t>The reference point Rg shall support interworking to other mechanisms that support parts of the user profile outside the scope of 3GPP e.g. Liberty ID-WSF SOAP Binding Specification [3] and Liberty ID-WSF Data Service</w:t>
      </w:r>
      <w:r>
        <w:rPr>
          <w:lang w:eastAsia="ko-KR"/>
        </w:rPr>
        <w:t>s</w:t>
      </w:r>
      <w:r>
        <w:rPr/>
        <w:t xml:space="preserve"> Template [4].</w:t>
      </w:r>
    </w:p>
    <w:p>
      <w:pPr>
        <w:pStyle w:val="Normal"/>
        <w:rPr/>
      </w:pPr>
      <w:r>
        <w:rPr/>
        <w:t>In the redirect mode, the GUP Server returns the locations of the GUP Data Repositories and the application can then send the requested operations via reference point Rp directly to the corresponding GUP Data Repositories.</w:t>
      </w:r>
    </w:p>
    <w:p>
      <w:pPr>
        <w:pStyle w:val="Normal"/>
        <w:rPr/>
      </w:pPr>
      <w:r>
        <w:rPr/>
        <w:t>The reference point Rg carries user related data, and therefore shall be protected by security mechanisms.</w:t>
      </w:r>
    </w:p>
    <w:p>
      <w:pPr>
        <w:pStyle w:val="Normal"/>
        <w:rPr/>
      </w:pPr>
      <w:r>
        <w:rPr/>
        <w:t>2. Reference point Rp</w:t>
        <w:br/>
        <w:t>This reference point shall allow the GUP Server or applications, excluding external applications (e.g. located in a third party application or in the UE), to create, read, modify and delete user profile data using the harmonized access interface. Rp is an intra-operator reference point. External applications and third party GUP data repositories shall be connected to the GUP Server only using the Rg reference point.</w:t>
      </w:r>
    </w:p>
    <w:p>
      <w:pPr>
        <w:pStyle w:val="Normal"/>
        <w:rPr/>
      </w:pPr>
      <w:r>
        <w:rPr/>
        <w:t>The reference point Rp carries user related data, and therefore shall be protected by security mechanisms.</w:t>
      </w:r>
    </w:p>
    <w:p>
      <w:pPr>
        <w:pStyle w:val="Heading3"/>
        <w:bidi w:val="0"/>
        <w:jc w:val="start"/>
        <w:rPr/>
      </w:pPr>
      <w:bookmarkStart w:id="51" w:name="__RefHeading___Toc287964559"/>
      <w:bookmarkEnd w:id="51"/>
      <w:r>
        <w:rPr/>
        <w:t>4.2.5</w:t>
        <w:tab/>
        <w:t>Applications</w:t>
      </w:r>
    </w:p>
    <w:p>
      <w:pPr>
        <w:pStyle w:val="Normal"/>
        <w:rPr>
          <w:lang w:eastAsia="ko-KR"/>
        </w:rPr>
      </w:pPr>
      <w:r>
        <w:rPr/>
        <w:t>The applications that may apply GUP reference points Rg and Rp may be targeted for different purposes e.g. for value added services or subscription management. Both operator's own applications and third party applications are covered. The latter ones shall apply Rg reference point.</w:t>
      </w:r>
    </w:p>
    <w:p>
      <w:pPr>
        <w:pStyle w:val="Normal"/>
        <w:rPr/>
      </w:pPr>
      <w:r>
        <w:rPr/>
        <w:t>Additionally the applications may utilise a discovery service to discover the contact reference information if not found out by other means. A discovery service e.g., as specified in Liberty Discovery Service Specification [2], may also act as Trusted Authority providing essential security related information (e.g. preferences in terms of peer entity and message authentication mechanism to be used and authentication and/or authorization assertions). Different policies may be followed in the use of discovery service. It may be used by different applications in different ways: per each operation, occasionally or not at all. In general terms, third party applications belonging to external security domains shall use a discovery service as a normal step, but in operator’s services it may not be needed at all.</w:t>
      </w:r>
    </w:p>
    <w:p>
      <w:pPr>
        <w:pStyle w:val="Normal"/>
        <w:rPr/>
      </w:pPr>
      <w:r>
        <w:rPr/>
        <w:t>Applications have different authorization rights to the GUP data of different subscribers as agreed between the parties.</w:t>
      </w:r>
    </w:p>
    <w:p>
      <w:pPr>
        <w:pStyle w:val="Heading3"/>
        <w:bidi w:val="0"/>
        <w:jc w:val="start"/>
        <w:rPr/>
      </w:pPr>
      <w:bookmarkStart w:id="52" w:name="__RefHeading___Toc287964560"/>
      <w:bookmarkEnd w:id="52"/>
      <w:r>
        <w:rPr/>
        <w:t>4.2.6</w:t>
        <w:tab/>
        <w:t>Message flow of using GUP</w:t>
      </w:r>
    </w:p>
    <w:p>
      <w:pPr>
        <w:pStyle w:val="Normal"/>
        <w:rPr/>
      </w:pPr>
      <w:r>
        <w:rPr/>
        <w:t>For an application requesting GUP data component(s) a message flow is described in the following:</w:t>
      </w:r>
    </w:p>
    <w:p>
      <w:pPr>
        <w:pStyle w:val="B1"/>
        <w:ind w:start="567" w:hanging="283"/>
        <w:rPr/>
      </w:pPr>
      <w:r>
        <w:rPr/>
        <w:t>-</w:t>
        <w:tab/>
        <w:t>The application requests a GUP component(s) via Single Point of Access (Rg) from</w:t>
      </w:r>
      <w:r>
        <w:rPr>
          <w:color w:val="0000FF"/>
        </w:rPr>
        <w:t xml:space="preserve"> </w:t>
      </w:r>
      <w:r>
        <w:rPr>
          <w:color w:val="000000"/>
        </w:rPr>
        <w:t>the GUP server. The application will indicate if it can support the Redirect mode.</w:t>
      </w:r>
    </w:p>
    <w:p>
      <w:pPr>
        <w:pStyle w:val="B1"/>
        <w:ind w:start="567" w:hanging="283"/>
        <w:rPr/>
      </w:pPr>
      <w:r>
        <w:rPr/>
        <w:t>-</w:t>
        <w:tab/>
        <w:t>The GUP server authenticates the application. Note that also separate authentication services may be applied.</w:t>
      </w:r>
    </w:p>
    <w:p>
      <w:pPr>
        <w:pStyle w:val="B1"/>
        <w:ind w:start="567" w:hanging="283"/>
        <w:rPr/>
      </w:pPr>
      <w:r>
        <w:rPr/>
        <w:t>-</w:t>
        <w:tab/>
        <w:t>The GUP Server identifies the level of authorization the Application is allowed to access the GUP data.</w:t>
      </w:r>
    </w:p>
    <w:p>
      <w:pPr>
        <w:pStyle w:val="B1"/>
        <w:ind w:start="567" w:hanging="283"/>
        <w:rPr/>
      </w:pPr>
      <w:r>
        <w:rPr/>
        <w:t>-</w:t>
        <w:tab/>
        <w:t>The GUP Server identifies the location of the GUP component(s).</w:t>
      </w:r>
    </w:p>
    <w:p>
      <w:pPr>
        <w:pStyle w:val="Normal"/>
        <w:rPr/>
      </w:pPr>
      <w:r>
        <w:rPr/>
        <w:t>At this point the GUP Server may (see figure 4.5 below)</w:t>
      </w:r>
    </w:p>
    <w:p>
      <w:pPr>
        <w:pStyle w:val="B1"/>
        <w:ind w:start="567" w:hanging="283"/>
        <w:rPr/>
      </w:pPr>
      <w:r>
        <w:rPr/>
        <w:t>-</w:t>
        <w:tab/>
        <w:t xml:space="preserve">Access the GUP component(s) by means of the Harmonized Access Interface (Rp) or by other means outside the scope of GUP. </w:t>
      </w:r>
    </w:p>
    <w:p>
      <w:pPr>
        <w:pStyle w:val="B1"/>
        <w:ind w:start="567" w:hanging="283"/>
        <w:rPr/>
      </w:pPr>
      <w:r>
        <w:rPr/>
        <w:t>-</w:t>
        <w:tab/>
        <w:t>Respond to the application with the result of the request, optionally combining results from different GUP data repositories.</w:t>
      </w:r>
    </w:p>
    <w:p>
      <w:pPr>
        <w:pStyle w:val="Normal"/>
        <w:rPr/>
      </w:pPr>
      <w:r>
        <w:rPr/>
        <w:t>Or, depending on GUP data repositories choice and if the application has indicated that it can support the Redirect mode (see figure 4.6 below)</w:t>
      </w:r>
    </w:p>
    <w:p>
      <w:pPr>
        <w:pStyle w:val="B1"/>
        <w:ind w:start="567" w:hanging="283"/>
        <w:rPr/>
      </w:pPr>
      <w:r>
        <w:rPr/>
        <w:t>-</w:t>
        <w:tab/>
        <w:t>Respond to the application with reference(s) to the component(s) and additionally authorization credentials with limited lifetime. Note that authorization credentials from other sources are not excluded.</w:t>
      </w:r>
    </w:p>
    <w:p>
      <w:pPr>
        <w:pStyle w:val="B1"/>
        <w:ind w:start="567" w:hanging="283"/>
        <w:rPr/>
      </w:pPr>
      <w:r>
        <w:rPr/>
        <w:t>-</w:t>
        <w:tab/>
        <w:t>The application uses the reference(s) and the authorization credentials to access GUP data repositories by means of the Rp reference point.</w:t>
      </w:r>
    </w:p>
    <w:p>
      <w:pPr>
        <w:pStyle w:val="Normal"/>
        <w:rPr/>
      </w:pPr>
      <w:r>
        <w:rPr/>
        <w:t>Privacy rules may stay together with the data it applies to at the data repository where the data is stored. In this case this privacy rules shall apply. Optionally, the GUP Server may apply additional privacy rules. However the GUP Server must never "bypass" existing privacy rules.</w:t>
      </w:r>
    </w:p>
    <w:p>
      <w:pPr>
        <w:pStyle w:val="Normal"/>
        <w:rPr/>
      </w:pPr>
      <w:r>
        <w:rPr/>
        <w:t>The following figures show the message flows for both cases as described.</w:t>
      </w:r>
    </w:p>
    <w:p>
      <w:pPr>
        <w:pStyle w:val="TH"/>
        <w:rPr/>
      </w:pPr>
      <w:bookmarkStart w:id="53" w:name="_1290841446"/>
      <w:bookmarkEnd w:id="53"/>
      <w:r>
        <w:rPr/>
        <w:drawing>
          <wp:inline distT="0" distB="0" distL="0" distR="0">
            <wp:extent cx="5686425" cy="484759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20"/>
                    <a:srcRect l="-6" t="-7" r="-6" b="-7"/>
                    <a:stretch>
                      <a:fillRect/>
                    </a:stretch>
                  </pic:blipFill>
                  <pic:spPr bwMode="auto">
                    <a:xfrm>
                      <a:off x="0" y="0"/>
                      <a:ext cx="5686425" cy="4847590"/>
                    </a:xfrm>
                    <a:prstGeom prst="rect">
                      <a:avLst/>
                    </a:prstGeom>
                  </pic:spPr>
                </pic:pic>
              </a:graphicData>
            </a:graphic>
          </wp:inline>
        </w:drawing>
      </w:r>
    </w:p>
    <w:p>
      <w:pPr>
        <w:pStyle w:val="TF"/>
        <w:rPr>
          <w:sz w:val="22"/>
        </w:rPr>
      </w:pPr>
      <w:r>
        <w:rPr/>
        <w:t>Figure 4.5: An Example of Application requesting GUP data component(s) message flow (Proxy mode)</w:t>
      </w:r>
    </w:p>
    <w:p>
      <w:pPr>
        <w:pStyle w:val="TH"/>
        <w:rPr/>
      </w:pPr>
      <w:bookmarkStart w:id="54" w:name="_1290841521"/>
      <w:bookmarkEnd w:id="54"/>
      <w:r>
        <w:rPr/>
        <w:drawing>
          <wp:inline distT="0" distB="0" distL="0" distR="0">
            <wp:extent cx="5686425" cy="521906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21"/>
                    <a:srcRect l="-6" t="-7" r="-6" b="-7"/>
                    <a:stretch>
                      <a:fillRect/>
                    </a:stretch>
                  </pic:blipFill>
                  <pic:spPr bwMode="auto">
                    <a:xfrm>
                      <a:off x="0" y="0"/>
                      <a:ext cx="5686425" cy="5219065"/>
                    </a:xfrm>
                    <a:prstGeom prst="rect">
                      <a:avLst/>
                    </a:prstGeom>
                  </pic:spPr>
                </pic:pic>
              </a:graphicData>
            </a:graphic>
          </wp:inline>
        </w:drawing>
      </w:r>
    </w:p>
    <w:p>
      <w:pPr>
        <w:pStyle w:val="TF"/>
        <w:rPr/>
      </w:pPr>
      <w:r>
        <w:rPr/>
        <w:t>Figure 4.6: An Application requesting GUP data component(s) message flow (Redirect mode)</w:t>
      </w:r>
    </w:p>
    <w:p>
      <w:pPr>
        <w:pStyle w:val="Heading2"/>
        <w:bidi w:val="0"/>
        <w:jc w:val="start"/>
        <w:rPr/>
      </w:pPr>
      <w:bookmarkStart w:id="55" w:name="__RefHeading___Toc287964561"/>
      <w:bookmarkEnd w:id="55"/>
      <w:r>
        <w:rPr/>
        <w:t>4.3</w:t>
        <w:tab/>
        <w:t>Rg reference point procedures</w:t>
      </w:r>
    </w:p>
    <w:p>
      <w:pPr>
        <w:pStyle w:val="Normal"/>
        <w:rPr/>
      </w:pPr>
      <w:r>
        <w:rPr/>
        <w:t>This subclause defines the procedures applied in the Rg reference point between the applications and the GUP Server. This reference point supports also third party profile access. Rg can be used e.g. to create the whole user profile or some components in it, to read any piece of data in the profile or to modify those. There are means to authorise all requests and protect the user's privacy in all operations. Rg is applied to control the data stored in the different GUP components identified by a resource identity and the component type. The resource identity contains either a subscriber identity or a generic component identification, which is given to components that are not bound to a single subscriber.</w:t>
      </w:r>
    </w:p>
    <w:p>
      <w:pPr>
        <w:pStyle w:val="Normal"/>
        <w:rPr/>
      </w:pPr>
      <w:r>
        <w:rPr/>
        <w:t>There are the following procedures:</w:t>
      </w:r>
    </w:p>
    <w:p>
      <w:pPr>
        <w:pStyle w:val="B1"/>
        <w:rPr/>
      </w:pPr>
      <w:r>
        <w:rPr/>
        <w:t>-</w:t>
        <w:tab/>
        <w:t xml:space="preserve">Create </w:t>
      </w:r>
    </w:p>
    <w:p>
      <w:pPr>
        <w:pStyle w:val="B1"/>
        <w:rPr/>
      </w:pPr>
      <w:r>
        <w:rPr/>
        <w:t>-</w:t>
        <w:tab/>
        <w:t xml:space="preserve">Delete </w:t>
      </w:r>
    </w:p>
    <w:p>
      <w:pPr>
        <w:pStyle w:val="B1"/>
        <w:rPr>
          <w:lang w:eastAsia="ko-KR"/>
        </w:rPr>
      </w:pPr>
      <w:r>
        <w:rPr/>
        <w:t>-</w:t>
        <w:tab/>
        <w:t>Modify</w:t>
      </w:r>
    </w:p>
    <w:p>
      <w:pPr>
        <w:pStyle w:val="B1"/>
        <w:rPr>
          <w:lang w:eastAsia="ko-KR"/>
        </w:rPr>
      </w:pPr>
      <w:r>
        <w:rPr>
          <w:lang w:eastAsia="ko-KR"/>
        </w:rPr>
        <w:t>-</w:t>
        <w:tab/>
        <w:t>List</w:t>
      </w:r>
    </w:p>
    <w:p>
      <w:pPr>
        <w:pStyle w:val="B1"/>
        <w:rPr/>
      </w:pPr>
      <w:r>
        <w:rPr/>
        <w:t>-</w:t>
        <w:tab/>
        <w:t>Query</w:t>
      </w:r>
    </w:p>
    <w:p>
      <w:pPr>
        <w:pStyle w:val="B1"/>
        <w:rPr/>
      </w:pPr>
      <w:r>
        <w:rPr/>
        <w:t>-</w:t>
        <w:tab/>
        <w:t xml:space="preserve">Subscribe </w:t>
      </w:r>
    </w:p>
    <w:p>
      <w:pPr>
        <w:pStyle w:val="B1"/>
        <w:rPr>
          <w:lang w:eastAsia="ko-KR"/>
        </w:rPr>
      </w:pPr>
      <w:r>
        <w:rPr/>
        <w:t>-</w:t>
        <w:tab/>
        <w:t>Unsubscribe</w:t>
      </w:r>
    </w:p>
    <w:p>
      <w:pPr>
        <w:pStyle w:val="B1"/>
        <w:rPr>
          <w:lang w:eastAsia="ko-KR"/>
        </w:rPr>
      </w:pPr>
      <w:r>
        <w:rPr>
          <w:lang w:eastAsia="ko-KR"/>
        </w:rPr>
        <w:t>-</w:t>
        <w:tab/>
      </w:r>
      <w:r>
        <w:rPr/>
        <w:t>Notify</w:t>
      </w:r>
    </w:p>
    <w:p>
      <w:pPr>
        <w:pStyle w:val="Normal"/>
        <w:rPr>
          <w:lang w:eastAsia="ko-KR"/>
        </w:rPr>
      </w:pPr>
      <w:r>
        <w:rPr/>
        <w:t>Instead of proxying the requests (or handling them by itself) the GUP Server may also apply the redirect mode of operation for applications that support redirect mode, which implies that the GUP Server responds to the request with the redirection information such as redirection address and authorisation assertions. Redirection can be made with Create, Delete, Modify, Query and Subscribe procedures.</w:t>
      </w:r>
    </w:p>
    <w:p>
      <w:pPr>
        <w:pStyle w:val="Heading3"/>
        <w:bidi w:val="0"/>
        <w:jc w:val="start"/>
        <w:rPr/>
      </w:pPr>
      <w:bookmarkStart w:id="56" w:name="__RefHeading___Toc287964562"/>
      <w:bookmarkEnd w:id="56"/>
      <w:r>
        <w:rPr/>
        <w:t>4.3.1</w:t>
        <w:tab/>
        <w:t>Create procedure</w:t>
      </w:r>
    </w:p>
    <w:p>
      <w:pPr>
        <w:pStyle w:val="Normal"/>
        <w:rPr/>
      </w:pPr>
      <w:r>
        <w:rPr/>
        <w:t xml:space="preserve">Create procedure is used by the application to create a new user profile or new components to an existing profile. The procedure is always related to a single </w:t>
      </w:r>
      <w:r>
        <w:rPr>
          <w:lang w:eastAsia="ko-KR"/>
        </w:rPr>
        <w:t xml:space="preserve">resource </w:t>
      </w:r>
      <w:r>
        <w:rPr/>
        <w:t>identity which is given in the request. Additionally the Create procedure shall carry the component types and the data to be created to each component. At least one component shall be provided. Creation of the first component implies profile creation. The component type identifies what data are concerned i.e. not just the data typing. It is presumed that the profile data structure is already known by the both parties. No new type of data can be defined by this procedure, only the data contents are provided. Furthermore the application shall provide the necessary data for authentication and authorization of this create function (e.g. credentials, assertions and identifications).</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4.1: Request data of Create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data</w:t>
            </w:r>
          </w:p>
        </w:tc>
        <w:tc>
          <w:tcPr>
            <w:tcW w:w="4619" w:type="dxa"/>
            <w:tcBorders>
              <w:top w:val="single" w:sz="4" w:space="0" w:color="000000"/>
              <w:start w:val="single" w:sz="4" w:space="0" w:color="000000"/>
              <w:bottom w:val="single" w:sz="4" w:space="0" w:color="000000"/>
            </w:tcBorders>
          </w:tcPr>
          <w:p>
            <w:pPr>
              <w:pStyle w:val="TAL"/>
              <w:rPr/>
            </w:pPr>
            <w:r>
              <w:rPr/>
              <w:t>Specifies which components are addressed and provides the data for those. There may be several Component data elements corresponding to several created components. At least one element must be present. See the table below for the more detailed contents.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 xml:space="preserve">Specifies the data related to the requestor. These data may be used as input in the authentication and authorization process. E.g. end user and application identification, credentials or privacy policy information.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 xml:space="preserve">Table 4.2: Contents of Component data parameter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Specifies the type of the created component. The Component type identifies the applied component data definitions.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Data</w:t>
            </w:r>
          </w:p>
        </w:tc>
        <w:tc>
          <w:tcPr>
            <w:tcW w:w="4619" w:type="dxa"/>
            <w:tcBorders>
              <w:top w:val="single" w:sz="4" w:space="0" w:color="000000"/>
              <w:start w:val="single" w:sz="4" w:space="0" w:color="000000"/>
              <w:bottom w:val="single" w:sz="4" w:space="0" w:color="000000"/>
            </w:tcBorders>
          </w:tcPr>
          <w:p>
            <w:pPr>
              <w:pStyle w:val="TAL"/>
              <w:rPr/>
            </w:pPr>
            <w:r>
              <w:rPr/>
              <w:t>Specifies the GUP component data according to the specified Component type.</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Table 4.3: Response data of Create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Redirection data</w:t>
            </w:r>
          </w:p>
        </w:tc>
        <w:tc>
          <w:tcPr>
            <w:tcW w:w="4619" w:type="dxa"/>
            <w:tcBorders>
              <w:top w:val="single" w:sz="4" w:space="0" w:color="000000"/>
              <w:start w:val="single" w:sz="4" w:space="0" w:color="000000"/>
              <w:bottom w:val="single" w:sz="4" w:space="0" w:color="000000"/>
            </w:tcBorders>
          </w:tcPr>
          <w:p>
            <w:pPr>
              <w:pStyle w:val="TAL"/>
              <w:rPr/>
            </w:pPr>
            <w:r>
              <w:rPr/>
              <w:t>Specifies the redirection instructions and assertions.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tabs>
          <w:tab w:val="clear" w:pos="284"/>
          <w:tab w:val="left" w:pos="1140" w:leader="none"/>
        </w:tabs>
        <w:bidi w:val="0"/>
        <w:ind w:start="1140" w:hanging="1140"/>
        <w:jc w:val="start"/>
        <w:rPr/>
      </w:pPr>
      <w:bookmarkStart w:id="57" w:name="__RefHeading___Toc287964563"/>
      <w:bookmarkEnd w:id="57"/>
      <w:r>
        <w:rPr/>
        <w:t>4.3.2</w:t>
        <w:tab/>
        <w:t>Delete procedure</w:t>
      </w:r>
    </w:p>
    <w:p>
      <w:pPr>
        <w:pStyle w:val="Normal"/>
        <w:rPr/>
      </w:pPr>
      <w:r>
        <w:rPr/>
        <w:t xml:space="preserve">Delete procedure is used by the application to remove a profile or selected GUP components from the repository. The attached </w:t>
      </w:r>
      <w:r>
        <w:rPr>
          <w:lang w:eastAsia="ko-KR"/>
        </w:rPr>
        <w:t>resource</w:t>
      </w:r>
      <w:r>
        <w:rPr/>
        <w:t xml:space="preserve"> identity and the component type are specified. If no component type is provided, the whole user profile identified by the </w:t>
      </w:r>
      <w:r>
        <w:rPr>
          <w:lang w:eastAsia="ko-KR"/>
        </w:rPr>
        <w:t>resource</w:t>
      </w:r>
      <w:r>
        <w:rPr/>
        <w:t xml:space="preserve"> identity will be deleted. The application shall provide the necessary data for authentication and authorization purposes (e.g. credentials, assertions and identifications).</w:t>
      </w:r>
    </w:p>
    <w:p>
      <w:pPr>
        <w:pStyle w:val="Normal"/>
        <w:rPr>
          <w:lang w:eastAsia="ko-KR"/>
        </w:rPr>
      </w:pPr>
      <w:r>
        <w:rPr/>
        <w:t>The outcome of the procedure shall be provided in a separate response message. 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4.4: Request data of Delete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types</w:t>
            </w:r>
          </w:p>
        </w:tc>
        <w:tc>
          <w:tcPr>
            <w:tcW w:w="4619" w:type="dxa"/>
            <w:tcBorders>
              <w:top w:val="single" w:sz="4" w:space="0" w:color="000000"/>
              <w:start w:val="single" w:sz="4" w:space="0" w:color="000000"/>
              <w:bottom w:val="single" w:sz="4" w:space="0" w:color="000000"/>
            </w:tcBorders>
          </w:tcPr>
          <w:p>
            <w:pPr>
              <w:pStyle w:val="TAL"/>
              <w:rPr/>
            </w:pPr>
            <w:r>
              <w:rPr/>
              <w:t xml:space="preserve">Specifies the types of the components.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4.5: Response data of Delete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Redirection data</w:t>
            </w:r>
          </w:p>
        </w:tc>
        <w:tc>
          <w:tcPr>
            <w:tcW w:w="4619" w:type="dxa"/>
            <w:tcBorders>
              <w:top w:val="single" w:sz="4" w:space="0" w:color="000000"/>
              <w:start w:val="single" w:sz="4" w:space="0" w:color="000000"/>
              <w:bottom w:val="single" w:sz="4" w:space="0" w:color="000000"/>
            </w:tcBorders>
          </w:tcPr>
          <w:p>
            <w:pPr>
              <w:pStyle w:val="TAL"/>
              <w:rPr/>
            </w:pPr>
            <w:r>
              <w:rPr/>
              <w:t>Specifies the redirection instructions and assertions.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lang w:eastAsia="ko-KR"/>
        </w:rPr>
      </w:pPr>
      <w:r>
        <w:rPr>
          <w:lang w:eastAsia="ko-KR"/>
        </w:rPr>
      </w:r>
    </w:p>
    <w:p>
      <w:pPr>
        <w:pStyle w:val="Heading3"/>
        <w:bidi w:val="0"/>
        <w:jc w:val="start"/>
        <w:rPr/>
      </w:pPr>
      <w:bookmarkStart w:id="58" w:name="__RefHeading___Toc287964564"/>
      <w:bookmarkEnd w:id="58"/>
      <w:r>
        <w:rPr/>
        <w:t>4.3.2a</w:t>
        <w:tab/>
        <w:t>List procedure</w:t>
      </w:r>
    </w:p>
    <w:p>
      <w:pPr>
        <w:pStyle w:val="Normal"/>
        <w:rPr/>
      </w:pPr>
      <w:r>
        <w:rPr/>
        <w:t>List procedure is used by the application to list the existing profile items in the various GUP Data Repositories, and it is needed to handle large number of items. Different search criteria may be given as input. Only the references (i.e. resource identities and component types) are returned by the procedure. The listing may optionally operate sequentially, and then only a selected number of items is returned in one listing. The application shall provide the necessary data for authentication and authorization purposes (e.g. credentials, assertions and identifications).</w:t>
      </w:r>
    </w:p>
    <w:p>
      <w:pPr>
        <w:pStyle w:val="Normal"/>
        <w:rPr/>
      </w:pPr>
      <w:r>
        <w:rPr/>
        <w:t>The outcome of the procedure shall be provided in a separate response message.</w:t>
      </w:r>
    </w:p>
    <w:p>
      <w:pPr>
        <w:pStyle w:val="TH"/>
        <w:rPr/>
      </w:pPr>
      <w:r>
        <w:rPr/>
        <w:t>Table 4.</w:t>
      </w:r>
      <w:r>
        <w:rPr>
          <w:lang w:eastAsia="ko-KR"/>
        </w:rPr>
        <w:t>5a</w:t>
      </w:r>
      <w:r>
        <w:rPr/>
        <w:t>: Request data of List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Search criteria</w:t>
            </w:r>
          </w:p>
        </w:tc>
        <w:tc>
          <w:tcPr>
            <w:tcW w:w="4619" w:type="dxa"/>
            <w:tcBorders>
              <w:top w:val="single" w:sz="4" w:space="0" w:color="000000"/>
              <w:start w:val="single" w:sz="4" w:space="0" w:color="000000"/>
              <w:bottom w:val="single" w:sz="4" w:space="0" w:color="000000"/>
            </w:tcBorders>
          </w:tcPr>
          <w:p>
            <w:pPr>
              <w:pStyle w:val="TAL"/>
              <w:rPr/>
            </w:pPr>
            <w:r>
              <w:rPr/>
              <w:t>Specifies which profiles are to be listed. The criteria may include at least resource identity (or part of it) and/or component type.</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w:t>
      </w:r>
      <w:r>
        <w:rPr>
          <w:lang w:eastAsia="ko-KR"/>
        </w:rPr>
        <w:t>5b</w:t>
      </w:r>
      <w:r>
        <w:rPr/>
        <w:t>: Response data of List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Listing data</w:t>
            </w:r>
          </w:p>
        </w:tc>
        <w:tc>
          <w:tcPr>
            <w:tcW w:w="4619" w:type="dxa"/>
            <w:tcBorders>
              <w:top w:val="single" w:sz="4" w:space="0" w:color="000000"/>
              <w:start w:val="single" w:sz="4" w:space="0" w:color="000000"/>
              <w:bottom w:val="single" w:sz="4" w:space="0" w:color="000000"/>
            </w:tcBorders>
          </w:tcPr>
          <w:p>
            <w:pPr>
              <w:pStyle w:val="TAL"/>
              <w:rPr/>
            </w:pPr>
            <w:r>
              <w:rPr/>
              <w:t>Provides the listed data (several elements). See the table below for the contents of a single element.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End indication</w:t>
            </w:r>
          </w:p>
        </w:tc>
        <w:tc>
          <w:tcPr>
            <w:tcW w:w="4619" w:type="dxa"/>
            <w:tcBorders>
              <w:top w:val="single" w:sz="4" w:space="0" w:color="000000"/>
              <w:start w:val="single" w:sz="4" w:space="0" w:color="000000"/>
              <w:bottom w:val="single" w:sz="4" w:space="0" w:color="000000"/>
            </w:tcBorders>
          </w:tcPr>
          <w:p>
            <w:pPr>
              <w:pStyle w:val="TAL"/>
              <w:rPr/>
            </w:pPr>
            <w:r>
              <w:rPr/>
              <w:t>Indicates that the end of list has been reached.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bl>
    <w:p>
      <w:pPr>
        <w:pStyle w:val="FP"/>
        <w:rPr/>
      </w:pPr>
      <w:r>
        <w:rPr/>
      </w:r>
    </w:p>
    <w:p>
      <w:pPr>
        <w:pStyle w:val="TH"/>
        <w:rPr/>
      </w:pPr>
      <w:r>
        <w:rPr/>
        <w:t>Table 4.</w:t>
      </w:r>
      <w:r>
        <w:rPr>
          <w:lang w:eastAsia="ko-KR"/>
        </w:rPr>
        <w:t>5c</w:t>
      </w:r>
      <w:r>
        <w:rPr/>
        <w:t>: Contents of Listing data parameter</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Resource identity</w:t>
            </w:r>
          </w:p>
        </w:tc>
        <w:tc>
          <w:tcPr>
            <w:tcW w:w="4619" w:type="dxa"/>
            <w:tcBorders>
              <w:top w:val="single" w:sz="4" w:space="0" w:color="000000"/>
              <w:start w:val="single" w:sz="4" w:space="0" w:color="000000"/>
              <w:bottom w:val="single" w:sz="4" w:space="0" w:color="000000"/>
            </w:tcBorders>
          </w:tcPr>
          <w:p>
            <w:pPr>
              <w:pStyle w:val="TAL"/>
              <w:rPr/>
            </w:pPr>
            <w:r>
              <w:rPr/>
              <w:t>Specifies the resource identity with its type (e.g. SIP URI public ID).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types</w:t>
            </w:r>
          </w:p>
        </w:tc>
        <w:tc>
          <w:tcPr>
            <w:tcW w:w="4619" w:type="dxa"/>
            <w:tcBorders>
              <w:top w:val="single" w:sz="4" w:space="0" w:color="000000"/>
              <w:start w:val="single" w:sz="4" w:space="0" w:color="000000"/>
              <w:bottom w:val="single" w:sz="4" w:space="0" w:color="000000"/>
            </w:tcBorders>
          </w:tcPr>
          <w:p>
            <w:pPr>
              <w:pStyle w:val="TAL"/>
              <w:rPr/>
            </w:pPr>
            <w:r>
              <w:rPr/>
              <w:t>Specifies the component types which are linked to the Resource identity and match with the search criteria.</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Heading3"/>
        <w:bidi w:val="0"/>
        <w:jc w:val="start"/>
        <w:rPr/>
      </w:pPr>
      <w:bookmarkStart w:id="59" w:name="__RefHeading___Toc287964565"/>
      <w:bookmarkEnd w:id="59"/>
      <w:r>
        <w:rPr/>
        <w:t>4.3.3</w:t>
        <w:tab/>
        <w:t>Modify procedure</w:t>
      </w:r>
    </w:p>
    <w:p>
      <w:pPr>
        <w:pStyle w:val="Normal"/>
        <w:rPr/>
      </w:pPr>
      <w:r>
        <w:rPr/>
        <w:t xml:space="preserve">Modify procedure is used by the application to change the data in the GUP components. Also adding and deleting data is possible by Modify procedure, but it cannot create a new component. The modified data are identified by the </w:t>
      </w:r>
      <w:r>
        <w:rPr>
          <w:lang w:eastAsia="ko-KR"/>
        </w:rPr>
        <w:t>resource</w:t>
      </w:r>
      <w:r>
        <w:rPr/>
        <w:t xml:space="preserve"> identity and the data reference. The modification may concern the whole component or any lower level piece of data referenced in the procedure invocation. The contents for the entire referenced data shall be provided. Several individual changes to different components can be made with one procedure invocation. It must be noted that if modification of one component fails, the other changes cannot always be rolled back (implementation specific feature). However the response data shall specify which modifications were not accomplished. It is also possible to add more similar type of data elements to an existing array type of element. The requestor shall provide the necessary data for authentication and authorization purposes (e.g. credentials, assertions and identifications).</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4.6: Request data of Modify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Modification data</w:t>
            </w:r>
          </w:p>
        </w:tc>
        <w:tc>
          <w:tcPr>
            <w:tcW w:w="4619" w:type="dxa"/>
            <w:tcBorders>
              <w:top w:val="single" w:sz="4" w:space="0" w:color="000000"/>
              <w:start w:val="single" w:sz="4" w:space="0" w:color="000000"/>
              <w:bottom w:val="single" w:sz="4" w:space="0" w:color="000000"/>
            </w:tcBorders>
          </w:tcPr>
          <w:p>
            <w:pPr>
              <w:pStyle w:val="TAL"/>
              <w:rPr/>
            </w:pPr>
            <w:r>
              <w:rPr/>
              <w:t xml:space="preserve">Specifies which data are addressed and how those are changed. There may be several Modification data items corresponding to several individual modifications. These modifications may concern the same or different components. See the table below for the contents of one modification.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 xml:space="preserve">Specifies the data related to the requestor. These data may be used as input in the authentication and authorization process. E.g. end user and application identification, credentials or privacy policy information.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 xml:space="preserve">Table 4.7: Contents of Modification data parameter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Data reference</w:t>
            </w:r>
          </w:p>
        </w:tc>
        <w:tc>
          <w:tcPr>
            <w:tcW w:w="4619" w:type="dxa"/>
            <w:tcBorders>
              <w:top w:val="single" w:sz="4" w:space="0" w:color="000000"/>
              <w:start w:val="single" w:sz="4" w:space="0" w:color="000000"/>
              <w:bottom w:val="single" w:sz="4" w:space="0" w:color="000000"/>
            </w:tcBorders>
          </w:tcPr>
          <w:p>
            <w:pPr>
              <w:pStyle w:val="TAL"/>
              <w:rPr>
                <w:b/>
                <w:b/>
                <w:bCs/>
              </w:rPr>
            </w:pPr>
            <w:r>
              <w:rPr/>
              <w:t>Specifies which data are modified or expanded. The reference identifies both the component type and the possible deeper level data reference. The reference must be unique in a way that it refers only to one data item.</w:t>
            </w:r>
          </w:p>
        </w:tc>
        <w:tc>
          <w:tcPr>
            <w:tcW w:w="3046" w:type="dxa"/>
            <w:tcBorders>
              <w:top w:val="single" w:sz="4" w:space="0" w:color="000000"/>
              <w:start w:val="single" w:sz="4" w:space="0" w:color="000000"/>
              <w:bottom w:val="single" w:sz="4" w:space="0" w:color="000000"/>
              <w:end w:val="single" w:sz="4" w:space="0" w:color="000000"/>
            </w:tcBorders>
          </w:tcPr>
          <w:p>
            <w:pPr>
              <w:pStyle w:val="TAL"/>
              <w:rPr>
                <w:b/>
                <w:b/>
                <w:bCs/>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New data</w:t>
            </w:r>
          </w:p>
        </w:tc>
        <w:tc>
          <w:tcPr>
            <w:tcW w:w="4619" w:type="dxa"/>
            <w:tcBorders>
              <w:top w:val="single" w:sz="4" w:space="0" w:color="000000"/>
              <w:start w:val="single" w:sz="4" w:space="0" w:color="000000"/>
              <w:bottom w:val="single" w:sz="4" w:space="0" w:color="000000"/>
            </w:tcBorders>
          </w:tcPr>
          <w:p>
            <w:pPr>
              <w:pStyle w:val="TAL"/>
              <w:rPr/>
            </w:pPr>
            <w:r>
              <w:rPr/>
              <w:t>Specifies the data to be stored in the GUP component. It is expected that all the data elements in the referenced data structure are given.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Overwrite indication</w:t>
            </w:r>
          </w:p>
        </w:tc>
        <w:tc>
          <w:tcPr>
            <w:tcW w:w="4619" w:type="dxa"/>
            <w:tcBorders>
              <w:top w:val="single" w:sz="4" w:space="0" w:color="000000"/>
              <w:start w:val="single" w:sz="4" w:space="0" w:color="000000"/>
              <w:bottom w:val="single" w:sz="4" w:space="0" w:color="000000"/>
            </w:tcBorders>
          </w:tcPr>
          <w:p>
            <w:pPr>
              <w:pStyle w:val="TAL"/>
              <w:rPr/>
            </w:pPr>
            <w:r>
              <w:rPr/>
              <w:t>Specifies if the data are added to the existing data or replaces those. Default action is "insert".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Optional </w:t>
            </w:r>
          </w:p>
        </w:tc>
      </w:tr>
    </w:tbl>
    <w:p>
      <w:pPr>
        <w:pStyle w:val="FP"/>
        <w:rPr/>
      </w:pPr>
      <w:r>
        <w:rPr/>
      </w:r>
    </w:p>
    <w:p>
      <w:pPr>
        <w:pStyle w:val="TH"/>
        <w:rPr/>
      </w:pPr>
      <w:r>
        <w:rPr/>
        <w:t>Table 4.8: Response data of Modify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Redirection data</w:t>
            </w:r>
          </w:p>
        </w:tc>
        <w:tc>
          <w:tcPr>
            <w:tcW w:w="4619" w:type="dxa"/>
            <w:tcBorders>
              <w:top w:val="single" w:sz="4" w:space="0" w:color="000000"/>
              <w:start w:val="single" w:sz="4" w:space="0" w:color="000000"/>
              <w:bottom w:val="single" w:sz="4" w:space="0" w:color="000000"/>
            </w:tcBorders>
          </w:tcPr>
          <w:p>
            <w:pPr>
              <w:pStyle w:val="TAL"/>
              <w:rPr/>
            </w:pPr>
            <w:r>
              <w:rPr/>
              <w:t>Specifies the redirection instructions and assertions.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60" w:name="__RefHeading___Toc287964566"/>
      <w:bookmarkEnd w:id="60"/>
      <w:r>
        <w:rPr/>
        <w:t>4.3.4</w:t>
        <w:tab/>
        <w:t>Query procedure</w:t>
      </w:r>
    </w:p>
    <w:p>
      <w:pPr>
        <w:pStyle w:val="Normal"/>
        <w:rPr/>
      </w:pPr>
      <w:r>
        <w:rPr/>
        <w:t xml:space="preserve">Query procedure is used by the application to retrieve the data in the user profile or its specific components. The queried data are identified by the </w:t>
      </w:r>
      <w:r>
        <w:rPr>
          <w:lang w:eastAsia="ko-KR"/>
        </w:rPr>
        <w:t>resource</w:t>
      </w:r>
      <w:r>
        <w:rPr/>
        <w:t xml:space="preserve"> identity and the data reference. The data retrieval may concern the whole profile, component or any parts of a component as referenced in the invocation. The requestor shall provide the necessary data for authentication and authorization purposes (e.g. credentials, assertions and identifications). </w:t>
      </w:r>
    </w:p>
    <w:p>
      <w:pPr>
        <w:pStyle w:val="Normal"/>
        <w:rPr>
          <w:lang w:eastAsia="ko-KR"/>
        </w:rPr>
      </w:pPr>
      <w:r>
        <w:rPr/>
        <w:t>The retrieved data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4.9: Request data of Query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r>
        <w:trPr/>
        <w:tc>
          <w:tcPr>
            <w:tcW w:w="1701" w:type="dxa"/>
            <w:tcBorders>
              <w:top w:val="single" w:sz="4" w:space="0" w:color="000000"/>
              <w:start w:val="single" w:sz="4" w:space="0" w:color="000000"/>
              <w:bottom w:val="single" w:sz="4" w:space="0" w:color="000000"/>
            </w:tcBorders>
          </w:tcPr>
          <w:p>
            <w:pPr>
              <w:pStyle w:val="TAL"/>
              <w:rPr/>
            </w:pPr>
            <w:r>
              <w:rPr/>
              <w:t>Data references</w:t>
            </w:r>
          </w:p>
        </w:tc>
        <w:tc>
          <w:tcPr>
            <w:tcW w:w="4619" w:type="dxa"/>
            <w:tcBorders>
              <w:top w:val="single" w:sz="4" w:space="0" w:color="000000"/>
              <w:start w:val="single" w:sz="4" w:space="0" w:color="000000"/>
              <w:bottom w:val="single" w:sz="4" w:space="0" w:color="000000"/>
            </w:tcBorders>
          </w:tcPr>
          <w:p>
            <w:pPr>
              <w:pStyle w:val="TAL"/>
              <w:rPr/>
            </w:pPr>
            <w:r>
              <w:rPr/>
              <w:t>Specifies which data are read. The data reference identifies the component type and the deeper level reference (if the whole component is not meant to be read). Multiple references may be given. It is also possible to refer to the profile root which implies that the whole profile data are queried.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4.10: Response data of Query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Data</w:t>
            </w:r>
          </w:p>
        </w:tc>
        <w:tc>
          <w:tcPr>
            <w:tcW w:w="4619" w:type="dxa"/>
            <w:tcBorders>
              <w:top w:val="single" w:sz="4" w:space="0" w:color="000000"/>
              <w:start w:val="single" w:sz="4" w:space="0" w:color="000000"/>
              <w:bottom w:val="single" w:sz="4" w:space="0" w:color="000000"/>
            </w:tcBorders>
          </w:tcPr>
          <w:p>
            <w:pPr>
              <w:pStyle w:val="TAL"/>
              <w:rPr/>
            </w:pPr>
            <w:r>
              <w:rPr/>
              <w:t xml:space="preserve">Contains the retrieved data as indicated by the Data references.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Redirection data</w:t>
            </w:r>
          </w:p>
        </w:tc>
        <w:tc>
          <w:tcPr>
            <w:tcW w:w="4619" w:type="dxa"/>
            <w:tcBorders>
              <w:top w:val="single" w:sz="4" w:space="0" w:color="000000"/>
              <w:start w:val="single" w:sz="4" w:space="0" w:color="000000"/>
              <w:bottom w:val="single" w:sz="4" w:space="0" w:color="000000"/>
            </w:tcBorders>
          </w:tcPr>
          <w:p>
            <w:pPr>
              <w:pStyle w:val="TAL"/>
              <w:rPr/>
            </w:pPr>
            <w:r>
              <w:rPr/>
              <w:t>Specifies the redirection instructions and assertions.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bl>
    <w:p>
      <w:pPr>
        <w:pStyle w:val="FP"/>
        <w:rPr/>
      </w:pPr>
      <w:r>
        <w:rPr/>
      </w:r>
    </w:p>
    <w:p>
      <w:pPr>
        <w:pStyle w:val="Heading3"/>
        <w:bidi w:val="0"/>
        <w:jc w:val="start"/>
        <w:rPr/>
      </w:pPr>
      <w:bookmarkStart w:id="61" w:name="__RefHeading___Toc287964567"/>
      <w:bookmarkEnd w:id="61"/>
      <w:r>
        <w:rPr/>
        <w:t>4.3.5</w:t>
        <w:tab/>
        <w:t>Subscribe procedure</w:t>
      </w:r>
    </w:p>
    <w:p>
      <w:pPr>
        <w:pStyle w:val="Normal"/>
        <w:rPr/>
      </w:pPr>
      <w:r>
        <w:rPr/>
        <w:t xml:space="preserve">Subscribe procedure is used by the application to request notifications about changes in the GUP component data. The subscribed data are identified by the </w:t>
      </w:r>
      <w:r>
        <w:rPr>
          <w:lang w:eastAsia="ko-KR"/>
        </w:rPr>
        <w:t>resource</w:t>
      </w:r>
      <w:r>
        <w:rPr/>
        <w:t xml:space="preserve"> identity and the data reference. Furthermore the application can identify which elements are to be monitored for changes if it is not interested in all changes. Data synchronization can be performed by Subscribe and Notify procedures. The GUP Server returns the identification of the subscription request to provide means for the application to link the notifications of Notify procedure to the related subscribe requests. With Subscribe procedure an application can also request a list of all its subscriptions to notifications from the GUP Server. The GUP Server shall provide all the application’s subscriptions to notifications in the response message.</w:t>
      </w:r>
    </w:p>
    <w:p>
      <w:pPr>
        <w:pStyle w:val="Normal"/>
        <w:rPr/>
      </w:pPr>
      <w:r>
        <w:rPr/>
        <w:t xml:space="preserve">A filtering data parameter is defined to facilitate performance optimization. This may be left partly vendor/operator specific. The requestor shall provide the necessary data for authentication and authorization purposes (e.g. credentials, assertions and identifications). </w:t>
      </w:r>
    </w:p>
    <w:p>
      <w:pPr>
        <w:pStyle w:val="Normal"/>
        <w:rPr>
          <w:lang w:eastAsia="ko-KR"/>
        </w:rPr>
      </w:pPr>
      <w:r>
        <w:rPr/>
        <w:t>The outcome of the procedure shall be provided in a separate response message.</w:t>
      </w:r>
      <w:r>
        <w:rPr>
          <w:lang w:eastAsia="ko-KR"/>
        </w:rPr>
        <w:t xml:space="preserve"> </w:t>
      </w:r>
      <w:r>
        <w:rPr/>
        <w:t>If the requestor data indicated that the application is able to receive redirect instructions, the GUP server may decide to return redirect instructions based on policies set by the operator in the GUP server. After this response the procedure is terminated without any other specified results or retained information in the GUP Server.</w:t>
      </w:r>
    </w:p>
    <w:p>
      <w:pPr>
        <w:pStyle w:val="TH"/>
        <w:rPr/>
      </w:pPr>
      <w:r>
        <w:rPr/>
        <w:t>Table 4.11: Request data of Subscribe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lang w:eastAsia="ko-KR"/>
              </w:rPr>
            </w:pPr>
            <w:r>
              <w:rPr/>
              <w:t xml:space="preserve">Specifies the </w:t>
            </w:r>
            <w:r>
              <w:rPr>
                <w:lang w:eastAsia="ko-KR"/>
              </w:rPr>
              <w:t>resource</w:t>
            </w:r>
            <w:r>
              <w:rPr/>
              <w:t xml:space="preserve"> identity with its type (e.g. SIP URI public ID).</w:t>
            </w:r>
          </w:p>
          <w:p>
            <w:pPr>
              <w:pStyle w:val="TAL"/>
              <w:rPr>
                <w:lang w:eastAsia="ko-KR"/>
              </w:rPr>
            </w:pPr>
            <w:r>
              <w:rPr/>
              <w:t>This parameter may be absent only when List of subscriptions parameter is present, otherwise this parameter shall always be present.</w:t>
            </w:r>
          </w:p>
        </w:tc>
        <w:tc>
          <w:tcPr>
            <w:tcW w:w="3046" w:type="dxa"/>
            <w:tcBorders>
              <w:top w:val="single" w:sz="4" w:space="0" w:color="000000"/>
              <w:start w:val="single" w:sz="4" w:space="0" w:color="000000"/>
              <w:bottom w:val="single" w:sz="4" w:space="0" w:color="000000"/>
              <w:end w:val="single" w:sz="4" w:space="0" w:color="000000"/>
            </w:tcBorders>
          </w:tcPr>
          <w:p>
            <w:pPr>
              <w:pStyle w:val="TAL"/>
              <w:rPr>
                <w:lang w:eastAsia="ko-KR"/>
              </w:rPr>
            </w:pPr>
            <w:r>
              <w:rPr>
                <w:lang w:eastAsia="ko-KR"/>
              </w:rPr>
              <w:t>Conditional</w:t>
            </w:r>
          </w:p>
        </w:tc>
      </w:tr>
      <w:tr>
        <w:trPr/>
        <w:tc>
          <w:tcPr>
            <w:tcW w:w="1701" w:type="dxa"/>
            <w:tcBorders>
              <w:top w:val="single" w:sz="4" w:space="0" w:color="000000"/>
              <w:start w:val="single" w:sz="4" w:space="0" w:color="000000"/>
              <w:bottom w:val="single" w:sz="4" w:space="0" w:color="000000"/>
            </w:tcBorders>
          </w:tcPr>
          <w:p>
            <w:pPr>
              <w:pStyle w:val="TAL"/>
              <w:rPr/>
            </w:pPr>
            <w:r>
              <w:rPr/>
              <w:t>Notification Reference</w:t>
            </w:r>
          </w:p>
        </w:tc>
        <w:tc>
          <w:tcPr>
            <w:tcW w:w="4619" w:type="dxa"/>
            <w:tcBorders>
              <w:top w:val="single" w:sz="4" w:space="0" w:color="000000"/>
              <w:start w:val="single" w:sz="4" w:space="0" w:color="000000"/>
              <w:bottom w:val="single" w:sz="4" w:space="0" w:color="000000"/>
            </w:tcBorders>
          </w:tcPr>
          <w:p>
            <w:pPr>
              <w:pStyle w:val="TAL"/>
              <w:rPr/>
            </w:pPr>
            <w:r>
              <w:rPr/>
              <w:t>Specifies the call-back address of the Requestor.  The GUP server shall send the notifications to this address.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List of subscriptions</w:t>
            </w:r>
          </w:p>
        </w:tc>
        <w:tc>
          <w:tcPr>
            <w:tcW w:w="4619" w:type="dxa"/>
            <w:tcBorders>
              <w:top w:val="single" w:sz="4" w:space="0" w:color="000000"/>
              <w:start w:val="single" w:sz="4" w:space="0" w:color="000000"/>
              <w:bottom w:val="single" w:sz="4" w:space="0" w:color="000000"/>
            </w:tcBorders>
          </w:tcPr>
          <w:p>
            <w:pPr>
              <w:pStyle w:val="TAL"/>
              <w:rPr/>
            </w:pPr>
            <w:r>
              <w:rPr/>
              <w:t xml:space="preserve">Indicates that the application requests the list of all its subscriptions from the GUP server.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Data references</w:t>
            </w:r>
          </w:p>
        </w:tc>
        <w:tc>
          <w:tcPr>
            <w:tcW w:w="4619" w:type="dxa"/>
            <w:tcBorders>
              <w:top w:val="single" w:sz="4" w:space="0" w:color="000000"/>
              <w:start w:val="single" w:sz="4" w:space="0" w:color="000000"/>
              <w:bottom w:val="single" w:sz="4" w:space="0" w:color="000000"/>
            </w:tcBorders>
          </w:tcPr>
          <w:p>
            <w:pPr>
              <w:pStyle w:val="TAL"/>
              <w:rPr/>
            </w:pPr>
            <w:r>
              <w:rPr/>
              <w:t>Specifies which data are monitored for changes. The reference identifies both the component type and the possible deeper level data reference. Multiple references may be given. Any change within the referenced data structure causes a notification to be sent. If the parameter is absent, all modifications are notified.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Filter data</w:t>
            </w:r>
          </w:p>
        </w:tc>
        <w:tc>
          <w:tcPr>
            <w:tcW w:w="4619" w:type="dxa"/>
            <w:tcBorders>
              <w:top w:val="single" w:sz="4" w:space="0" w:color="000000"/>
              <w:start w:val="single" w:sz="4" w:space="0" w:color="000000"/>
              <w:bottom w:val="single" w:sz="4" w:space="0" w:color="000000"/>
            </w:tcBorders>
          </w:tcPr>
          <w:p>
            <w:pPr>
              <w:pStyle w:val="TAL"/>
              <w:rPr/>
            </w:pPr>
            <w:r>
              <w:rPr/>
              <w:t>Specifies additional conditions for sending notifications to optimi</w:t>
            </w:r>
            <w:r>
              <w:rPr>
                <w:lang w:eastAsia="ko-KR"/>
              </w:rPr>
              <w:t>z</w:t>
            </w:r>
            <w:r>
              <w:rPr/>
              <w:t>e the performance e.g. when immediate synchronization is not required. The parameter specifies also whether the initial data values are requested to be reported.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 xml:space="preserve">Table 4.12: Response data of Subscribe procedure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Invoke identification</w:t>
            </w:r>
            <w:r>
              <w:rPr>
                <w:lang w:eastAsia="ko-KR"/>
              </w:rPr>
              <w:t>s</w:t>
            </w:r>
          </w:p>
        </w:tc>
        <w:tc>
          <w:tcPr>
            <w:tcW w:w="4619" w:type="dxa"/>
            <w:tcBorders>
              <w:top w:val="single" w:sz="4" w:space="0" w:color="000000"/>
              <w:start w:val="single" w:sz="4" w:space="0" w:color="000000"/>
              <w:bottom w:val="single" w:sz="4" w:space="0" w:color="000000"/>
            </w:tcBorders>
          </w:tcPr>
          <w:p>
            <w:pPr>
              <w:pStyle w:val="TAL"/>
              <w:rPr>
                <w:lang w:eastAsia="ko-KR"/>
              </w:rPr>
            </w:pPr>
            <w:r>
              <w:rPr/>
              <w:t>Contains the invoke identification assigned by the GUP Server for this request.</w:t>
            </w:r>
          </w:p>
          <w:p>
            <w:pPr>
              <w:pStyle w:val="TAL"/>
              <w:rPr>
                <w:lang w:eastAsia="ko-KR"/>
              </w:rPr>
            </w:pPr>
            <w:r>
              <w:rPr/>
              <w:t>When the application has requested the list of all its subscriptions, this parameter will contain all the invoke identifications assigned by the GUP Server to the application.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r>
              <w:rPr>
                <w:lang w:eastAsia="ko-KR"/>
              </w:rPr>
              <w:t xml:space="preserve"> </w:t>
            </w:r>
            <w:r>
              <w:rPr/>
              <w:t>(unless the request is redirected or fails)</w:t>
            </w:r>
          </w:p>
        </w:tc>
      </w:tr>
      <w:tr>
        <w:trPr/>
        <w:tc>
          <w:tcPr>
            <w:tcW w:w="1701" w:type="dxa"/>
            <w:tcBorders>
              <w:top w:val="single" w:sz="4" w:space="0" w:color="000000"/>
              <w:start w:val="single" w:sz="4" w:space="0" w:color="000000"/>
              <w:bottom w:val="single" w:sz="4" w:space="0" w:color="000000"/>
            </w:tcBorders>
          </w:tcPr>
          <w:p>
            <w:pPr>
              <w:pStyle w:val="TAL"/>
              <w:rPr/>
            </w:pPr>
            <w:r>
              <w:rPr/>
              <w:t>Redirection data</w:t>
            </w:r>
          </w:p>
        </w:tc>
        <w:tc>
          <w:tcPr>
            <w:tcW w:w="4619" w:type="dxa"/>
            <w:tcBorders>
              <w:top w:val="single" w:sz="4" w:space="0" w:color="000000"/>
              <w:start w:val="single" w:sz="4" w:space="0" w:color="000000"/>
              <w:bottom w:val="single" w:sz="4" w:space="0" w:color="000000"/>
            </w:tcBorders>
          </w:tcPr>
          <w:p>
            <w:pPr>
              <w:pStyle w:val="TAL"/>
              <w:rPr/>
            </w:pPr>
            <w:r>
              <w:rPr/>
              <w:t>Specifies the redirection instructions and assertions.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w:t>
            </w:r>
          </w:p>
          <w:p>
            <w:pPr>
              <w:pStyle w:val="TAL"/>
              <w:rPr/>
            </w:pPr>
            <w:r>
              <w:rPr/>
              <w:t>1. The procedure was carried out successfully,</w:t>
            </w:r>
          </w:p>
          <w:p>
            <w:pPr>
              <w:pStyle w:val="TAL"/>
              <w:rPr/>
            </w:pPr>
            <w:r>
              <w:rPr/>
              <w:t>2. The request was redirected, or</w:t>
            </w:r>
          </w:p>
          <w:p>
            <w:pPr>
              <w:pStyle w:val="TAL"/>
              <w:rPr/>
            </w:pPr>
            <w:r>
              <w:rPr/>
              <w:t>3. A failure was detected.</w:t>
            </w:r>
          </w:p>
          <w:p>
            <w:pPr>
              <w:pStyle w:val="TAL"/>
              <w:rPr/>
            </w:pPr>
            <w:r>
              <w:rPr/>
              <w:t>For the proxy mode 1 or 3 can be indicated. For the redirect mode 2 or 3 can be indicated. The possible failure is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62" w:name="__RefHeading___Toc287964568"/>
      <w:bookmarkEnd w:id="62"/>
      <w:r>
        <w:rPr/>
        <w:t>4.3.6</w:t>
        <w:tab/>
        <w:t>Unsubscribe procedure</w:t>
      </w:r>
    </w:p>
    <w:p>
      <w:pPr>
        <w:pStyle w:val="Normal"/>
        <w:rPr>
          <w:highlight w:val="yellow"/>
        </w:rPr>
      </w:pPr>
      <w:r>
        <w:rPr/>
        <w:t>Unsubscribe procedure is used by the application to cancel one or several existing subscriptions. The outcome of the procedure shall be provided in a separate response message.</w:t>
      </w:r>
    </w:p>
    <w:p>
      <w:pPr>
        <w:pStyle w:val="TH"/>
        <w:rPr/>
      </w:pPr>
      <w:r>
        <w:rPr/>
        <w:t>Table 4.13: Request data of Unsubscribe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Invoke identifications</w:t>
            </w:r>
          </w:p>
        </w:tc>
        <w:tc>
          <w:tcPr>
            <w:tcW w:w="4619" w:type="dxa"/>
            <w:tcBorders>
              <w:top w:val="single" w:sz="4" w:space="0" w:color="000000"/>
              <w:start w:val="single" w:sz="4" w:space="0" w:color="000000"/>
              <w:bottom w:val="single" w:sz="4" w:space="0" w:color="000000"/>
            </w:tcBorders>
          </w:tcPr>
          <w:p>
            <w:pPr>
              <w:pStyle w:val="TAL"/>
              <w:rPr/>
            </w:pPr>
            <w:r>
              <w:rPr/>
              <w:t>Specifies one or several invoke identifications assigned by the GUP Server for the subscriptions.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 xml:space="preserve">Table 4.14: Response data of Unsubscribe procedure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63" w:name="__RefHeading___Toc287964569"/>
      <w:bookmarkEnd w:id="63"/>
      <w:r>
        <w:rPr/>
        <w:t>4.3.7</w:t>
        <w:tab/>
        <w:t>Notify procedure</w:t>
      </w:r>
    </w:p>
    <w:p>
      <w:pPr>
        <w:pStyle w:val="Normal"/>
        <w:rPr/>
      </w:pPr>
      <w:r>
        <w:rPr/>
        <w:t xml:space="preserve">Notify procedure is invoked by the GUP Server when the data which was identified in Subscribe procedure changes or when the invoked Subscribe procedure requested sending of all the initial values of the referenced data. The procedure identifies the changed data and provides the new values. </w:t>
      </w:r>
    </w:p>
    <w:p>
      <w:pPr>
        <w:pStyle w:val="Normal"/>
        <w:rPr/>
      </w:pPr>
      <w:r>
        <w:rPr/>
        <w:t>The outcome of the procedure shall be provided in a separate response message.</w:t>
      </w:r>
    </w:p>
    <w:p>
      <w:pPr>
        <w:pStyle w:val="TH"/>
        <w:rPr/>
      </w:pPr>
      <w:r>
        <w:rPr/>
        <w:t>Table 4.15: Request data of Notify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Invoke identification</w:t>
            </w:r>
          </w:p>
        </w:tc>
        <w:tc>
          <w:tcPr>
            <w:tcW w:w="4619" w:type="dxa"/>
            <w:tcBorders>
              <w:top w:val="single" w:sz="4" w:space="0" w:color="000000"/>
              <w:start w:val="single" w:sz="4" w:space="0" w:color="000000"/>
              <w:bottom w:val="single" w:sz="4" w:space="0" w:color="000000"/>
            </w:tcBorders>
          </w:tcPr>
          <w:p>
            <w:pPr>
              <w:pStyle w:val="TAL"/>
              <w:rPr/>
            </w:pPr>
            <w:r>
              <w:rPr/>
              <w:t>Specifies the invoke identification assigned by the GUP Server for this subscription.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Notified data</w:t>
            </w:r>
          </w:p>
        </w:tc>
        <w:tc>
          <w:tcPr>
            <w:tcW w:w="4619" w:type="dxa"/>
            <w:tcBorders>
              <w:top w:val="single" w:sz="4" w:space="0" w:color="000000"/>
              <w:start w:val="single" w:sz="4" w:space="0" w:color="000000"/>
              <w:bottom w:val="single" w:sz="4" w:space="0" w:color="000000"/>
            </w:tcBorders>
          </w:tcPr>
          <w:p>
            <w:pPr>
              <w:pStyle w:val="TAL"/>
              <w:rPr/>
            </w:pPr>
            <w:r>
              <w:rPr/>
              <w:t>Specifies which data are reported together with the data itself. Multiple pieces of data may be provided.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Table 4.16: Response data of Notify procedure (optional)</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(however the whole response is optional)</w:t>
            </w:r>
          </w:p>
        </w:tc>
      </w:tr>
    </w:tbl>
    <w:p>
      <w:pPr>
        <w:pStyle w:val="FP"/>
        <w:rPr/>
      </w:pPr>
      <w:r>
        <w:rPr/>
      </w:r>
    </w:p>
    <w:p>
      <w:pPr>
        <w:pStyle w:val="Heading3"/>
        <w:bidi w:val="0"/>
        <w:jc w:val="start"/>
        <w:rPr/>
      </w:pPr>
      <w:bookmarkStart w:id="64" w:name="__RefHeading___Toc287964570"/>
      <w:bookmarkEnd w:id="64"/>
      <w:r>
        <w:rPr/>
        <w:t>4.3.8</w:t>
        <w:tab/>
        <w:t>Common information definitions</w:t>
      </w:r>
    </w:p>
    <w:p>
      <w:pPr>
        <w:pStyle w:val="Normal"/>
        <w:keepNext w:val="true"/>
        <w:keepLines/>
        <w:rPr/>
      </w:pPr>
      <w:r>
        <w:rPr/>
        <w:t xml:space="preserve">The information elements that are applied in several procedures of Rg reference point are described in this subclause. </w:t>
      </w:r>
    </w:p>
    <w:p>
      <w:pPr>
        <w:pStyle w:val="Heading4"/>
        <w:bidi w:val="0"/>
        <w:ind w:start="1418" w:hanging="1418"/>
        <w:jc w:val="start"/>
        <w:rPr/>
      </w:pPr>
      <w:bookmarkStart w:id="65" w:name="__RefHeading___Toc287964571"/>
      <w:bookmarkEnd w:id="65"/>
      <w:r>
        <w:rPr/>
        <w:t>4.3.8.1</w:t>
        <w:tab/>
        <w:t>Requestor data</w:t>
      </w:r>
    </w:p>
    <w:p>
      <w:pPr>
        <w:pStyle w:val="Normal"/>
        <w:rPr/>
      </w:pPr>
      <w:r>
        <w:rPr/>
        <w:t>The Requestor data contain the information that the sender of the request provides in order to facilitate the authentication and authorization functions. The access control and user privacy functions work based on these data. Also an unspecified Additional info parameter is defined to carry data e.g. for monitoring or accounting purposes. All the elements are optional. However at least one shall be present if the parameter is applied.</w:t>
      </w:r>
    </w:p>
    <w:p>
      <w:pPr>
        <w:pStyle w:val="TH"/>
        <w:rPr/>
      </w:pPr>
      <w:r>
        <w:rPr/>
        <w:t>Table 4.17: Requestor data</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Element</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Subscriber identification</w:t>
            </w:r>
          </w:p>
        </w:tc>
        <w:tc>
          <w:tcPr>
            <w:tcW w:w="4619" w:type="dxa"/>
            <w:tcBorders>
              <w:top w:val="single" w:sz="4" w:space="0" w:color="000000"/>
              <w:start w:val="single" w:sz="4" w:space="0" w:color="000000"/>
              <w:bottom w:val="single" w:sz="4" w:space="0" w:color="000000"/>
            </w:tcBorders>
          </w:tcPr>
          <w:p>
            <w:pPr>
              <w:pStyle w:val="TAL"/>
              <w:rPr/>
            </w:pPr>
            <w:r>
              <w:rPr/>
              <w:t>Specifies the end user being served.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Application identification</w:t>
            </w:r>
          </w:p>
        </w:tc>
        <w:tc>
          <w:tcPr>
            <w:tcW w:w="4619" w:type="dxa"/>
            <w:tcBorders>
              <w:top w:val="single" w:sz="4" w:space="0" w:color="000000"/>
              <w:start w:val="single" w:sz="4" w:space="0" w:color="000000"/>
              <w:bottom w:val="single" w:sz="4" w:space="0" w:color="000000"/>
            </w:tcBorders>
          </w:tcPr>
          <w:p>
            <w:pPr>
              <w:pStyle w:val="TAL"/>
              <w:rPr/>
            </w:pPr>
            <w:r>
              <w:rPr/>
              <w:t>Specifies the application being served. The GUP Server has to link the Application identification to the actual sender of the request by the appropriate means taking into account the applied security measures and domains.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Credentials</w:t>
            </w:r>
          </w:p>
        </w:tc>
        <w:tc>
          <w:tcPr>
            <w:tcW w:w="4619" w:type="dxa"/>
            <w:tcBorders>
              <w:top w:val="single" w:sz="4" w:space="0" w:color="000000"/>
              <w:start w:val="single" w:sz="4" w:space="0" w:color="000000"/>
              <w:bottom w:val="single" w:sz="4" w:space="0" w:color="000000"/>
            </w:tcBorders>
          </w:tcPr>
          <w:p>
            <w:pPr>
              <w:pStyle w:val="TAL"/>
              <w:rPr/>
            </w:pPr>
            <w:r>
              <w:rPr/>
              <w:t xml:space="preserve">Contains authentication information.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Authorization assertion</w:t>
            </w:r>
          </w:p>
        </w:tc>
        <w:tc>
          <w:tcPr>
            <w:tcW w:w="4619" w:type="dxa"/>
            <w:tcBorders>
              <w:top w:val="single" w:sz="4" w:space="0" w:color="000000"/>
              <w:start w:val="single" w:sz="4" w:space="0" w:color="000000"/>
              <w:bottom w:val="single" w:sz="4" w:space="0" w:color="000000"/>
            </w:tcBorders>
          </w:tcPr>
          <w:p>
            <w:pPr>
              <w:pStyle w:val="TAL"/>
              <w:rPr/>
            </w:pPr>
            <w:r>
              <w:rPr/>
              <w:t xml:space="preserve">Contains the assertion for authorization. The nature of the assertion must be for one time use to prevent replay and cut-and-paste attacks. E.g. digest or signature mechanisms may be applied.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 xml:space="preserve">Privacy policy </w:t>
            </w:r>
          </w:p>
        </w:tc>
        <w:tc>
          <w:tcPr>
            <w:tcW w:w="4619" w:type="dxa"/>
            <w:tcBorders>
              <w:top w:val="single" w:sz="4" w:space="0" w:color="000000"/>
              <w:start w:val="single" w:sz="4" w:space="0" w:color="000000"/>
              <w:bottom w:val="single" w:sz="4" w:space="0" w:color="000000"/>
            </w:tcBorders>
          </w:tcPr>
          <w:p>
            <w:pPr>
              <w:pStyle w:val="TAL"/>
              <w:rPr/>
            </w:pPr>
            <w:r>
              <w:rPr/>
              <w:t>Information about the applied privacy policy.</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Redirection indications</w:t>
            </w:r>
          </w:p>
        </w:tc>
        <w:tc>
          <w:tcPr>
            <w:tcW w:w="4619" w:type="dxa"/>
            <w:tcBorders>
              <w:top w:val="single" w:sz="4" w:space="0" w:color="000000"/>
              <w:start w:val="single" w:sz="4" w:space="0" w:color="000000"/>
              <w:bottom w:val="single" w:sz="4" w:space="0" w:color="000000"/>
            </w:tcBorders>
          </w:tcPr>
          <w:p>
            <w:pPr>
              <w:pStyle w:val="TAL"/>
              <w:rPr/>
            </w:pPr>
            <w:r>
              <w:rPr/>
              <w:t>Specifies if the application being served is able to handle returned redirect requests or if it specifically desires to apply the redirect mode. However the GUP Server decides which mode is used. If the parameter is missing, it is presumed that no such capability exists with the application.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Additional info</w:t>
            </w:r>
          </w:p>
        </w:tc>
        <w:tc>
          <w:tcPr>
            <w:tcW w:w="4619" w:type="dxa"/>
            <w:tcBorders>
              <w:top w:val="single" w:sz="4" w:space="0" w:color="000000"/>
              <w:start w:val="single" w:sz="4" w:space="0" w:color="000000"/>
              <w:bottom w:val="single" w:sz="4" w:space="0" w:color="000000"/>
            </w:tcBorders>
          </w:tcPr>
          <w:p>
            <w:pPr>
              <w:pStyle w:val="TAL"/>
              <w:rPr/>
            </w:pPr>
            <w:r>
              <w:rPr/>
              <w:t>Additional unspecified information related to the requestor or request.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lang w:eastAsia="ko-KR"/>
        </w:rPr>
      </w:pPr>
      <w:r>
        <w:rPr>
          <w:lang w:eastAsia="ko-KR"/>
        </w:rPr>
      </w:r>
    </w:p>
    <w:p>
      <w:pPr>
        <w:pStyle w:val="Heading4"/>
        <w:bidi w:val="0"/>
        <w:ind w:start="1418" w:hanging="1418"/>
        <w:jc w:val="start"/>
        <w:rPr/>
      </w:pPr>
      <w:bookmarkStart w:id="66" w:name="__RefHeading___Toc287964572"/>
      <w:bookmarkEnd w:id="66"/>
      <w:r>
        <w:rPr/>
        <w:t>4.3.8.2</w:t>
        <w:tab/>
        <w:t>Redirection data</w:t>
      </w:r>
    </w:p>
    <w:p>
      <w:pPr>
        <w:pStyle w:val="Normal"/>
        <w:rPr/>
      </w:pPr>
      <w:r>
        <w:rPr/>
        <w:t xml:space="preserve">The Redirection data is returned to the requester if redirection is called for. These data contain the address where the request is to be redirected to and the authorisation assertions optionally provided by the GUP Server, which may this way carry out at least part of the authorisation on behalf of the RAF (or Data Repository). The RAF (or the GUP Data Repository) takes the final decision whether the authorisation is accepted or not. </w:t>
      </w:r>
    </w:p>
    <w:p>
      <w:pPr>
        <w:pStyle w:val="TH"/>
        <w:rPr/>
      </w:pPr>
      <w:r>
        <w:rPr/>
        <w:t>Table 4.17a: Redirection data</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Element</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Redirection address</w:t>
            </w:r>
          </w:p>
        </w:tc>
        <w:tc>
          <w:tcPr>
            <w:tcW w:w="4619" w:type="dxa"/>
            <w:tcBorders>
              <w:top w:val="single" w:sz="4" w:space="0" w:color="000000"/>
              <w:start w:val="single" w:sz="4" w:space="0" w:color="000000"/>
              <w:bottom w:val="single" w:sz="4" w:space="0" w:color="000000"/>
            </w:tcBorders>
          </w:tcPr>
          <w:p>
            <w:pPr>
              <w:pStyle w:val="TAL"/>
              <w:rPr/>
            </w:pPr>
            <w:r>
              <w:rPr/>
              <w:t>Specifies the address (e.g. URI) where the request is to be redirected.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Authorisation assertion</w:t>
            </w:r>
          </w:p>
        </w:tc>
        <w:tc>
          <w:tcPr>
            <w:tcW w:w="4619" w:type="dxa"/>
            <w:tcBorders>
              <w:top w:val="single" w:sz="4" w:space="0" w:color="000000"/>
              <w:start w:val="single" w:sz="4" w:space="0" w:color="000000"/>
              <w:bottom w:val="single" w:sz="4" w:space="0" w:color="000000"/>
            </w:tcBorders>
          </w:tcPr>
          <w:p>
            <w:pPr>
              <w:pStyle w:val="TAL"/>
              <w:rPr/>
            </w:pPr>
            <w:r>
              <w:rPr/>
              <w:t xml:space="preserve">Contains the assertion for authorisation. This may be placed in the Requestor data item in the subsequent requests over Rp reference point.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lang w:eastAsia="ko-KR"/>
        </w:rPr>
      </w:pPr>
      <w:r>
        <w:rPr>
          <w:lang w:eastAsia="ko-KR"/>
        </w:rPr>
      </w:r>
    </w:p>
    <w:p>
      <w:pPr>
        <w:pStyle w:val="Heading3"/>
        <w:bidi w:val="0"/>
        <w:jc w:val="start"/>
        <w:rPr/>
      </w:pPr>
      <w:bookmarkStart w:id="67" w:name="__RefHeading___Toc287964573"/>
      <w:bookmarkEnd w:id="67"/>
      <w:r>
        <w:rPr/>
        <w:t>4.3.9</w:t>
        <w:tab/>
        <w:t>Error handling and common error types</w:t>
      </w:r>
    </w:p>
    <w:p>
      <w:pPr>
        <w:pStyle w:val="Normal"/>
        <w:rPr/>
      </w:pPr>
      <w:r>
        <w:rPr/>
        <w:t xml:space="preserve">The basic principle in error handling is that all errors in carrying out the procedures lead to complete abortion of the requested operation. However if e.g. multiple modifications with separate data references are made with one procedure invocation, it is possible that part of these are completed even if some would fail. The procedure error responses identify the error type together with more detailed information about the cause of the error. </w:t>
      </w:r>
    </w:p>
    <w:p>
      <w:pPr>
        <w:pStyle w:val="Normal"/>
        <w:rPr/>
      </w:pPr>
      <w:r>
        <w:rPr/>
        <w:t>The common error types which can be applied to all procedures contain:</w:t>
      </w:r>
    </w:p>
    <w:p>
      <w:pPr>
        <w:pStyle w:val="TH"/>
        <w:rPr/>
      </w:pPr>
      <w:r>
        <w:rPr/>
        <w:t>Table 4.18: Common error types</w:t>
      </w:r>
    </w:p>
    <w:tbl>
      <w:tblPr>
        <w:tblW w:w="9366" w:type="dxa"/>
        <w:jc w:val="start"/>
        <w:tblInd w:w="245" w:type="dxa"/>
        <w:tblCellMar>
          <w:top w:w="0" w:type="dxa"/>
          <w:start w:w="108" w:type="dxa"/>
          <w:bottom w:w="0" w:type="dxa"/>
          <w:end w:w="108" w:type="dxa"/>
        </w:tblCellMar>
      </w:tblPr>
      <w:tblGrid>
        <w:gridCol w:w="2693"/>
        <w:gridCol w:w="6673"/>
      </w:tblGrid>
      <w:tr>
        <w:trPr/>
        <w:tc>
          <w:tcPr>
            <w:tcW w:w="2693" w:type="dxa"/>
            <w:tcBorders>
              <w:top w:val="single" w:sz="4" w:space="0" w:color="000000"/>
              <w:start w:val="single" w:sz="4" w:space="0" w:color="000000"/>
              <w:bottom w:val="single" w:sz="4" w:space="0" w:color="000000"/>
            </w:tcBorders>
          </w:tcPr>
          <w:p>
            <w:pPr>
              <w:pStyle w:val="TAH"/>
              <w:rPr/>
            </w:pPr>
            <w:r>
              <w:rPr/>
              <w:t>Error</w:t>
            </w:r>
          </w:p>
        </w:tc>
        <w:tc>
          <w:tcPr>
            <w:tcW w:w="6673" w:type="dxa"/>
            <w:tcBorders>
              <w:top w:val="single" w:sz="4" w:space="0" w:color="000000"/>
              <w:start w:val="single" w:sz="4" w:space="0" w:color="000000"/>
              <w:bottom w:val="single" w:sz="4" w:space="0" w:color="000000"/>
              <w:end w:val="single" w:sz="4" w:space="0" w:color="000000"/>
            </w:tcBorders>
          </w:tcPr>
          <w:p>
            <w:pPr>
              <w:pStyle w:val="TAH"/>
              <w:rPr>
                <w:b w:val="false"/>
                <w:b w:val="false"/>
              </w:rPr>
            </w:pPr>
            <w:r>
              <w:rPr>
                <w:b w:val="false"/>
              </w:rPr>
              <w:t>Description</w:t>
            </w:r>
          </w:p>
        </w:tc>
      </w:tr>
      <w:tr>
        <w:trPr/>
        <w:tc>
          <w:tcPr>
            <w:tcW w:w="2693" w:type="dxa"/>
            <w:tcBorders>
              <w:top w:val="single" w:sz="4" w:space="0" w:color="000000"/>
              <w:start w:val="single" w:sz="4" w:space="0" w:color="000000"/>
              <w:bottom w:val="single" w:sz="4" w:space="0" w:color="000000"/>
            </w:tcBorders>
          </w:tcPr>
          <w:p>
            <w:pPr>
              <w:pStyle w:val="TAL"/>
              <w:rPr/>
            </w:pPr>
            <w:r>
              <w:rPr/>
              <w:t>Invalid operation</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The operation is invalid or unsupported.</w:t>
            </w:r>
          </w:p>
        </w:tc>
      </w:tr>
      <w:tr>
        <w:trPr/>
        <w:tc>
          <w:tcPr>
            <w:tcW w:w="2693" w:type="dxa"/>
            <w:tcBorders>
              <w:top w:val="single" w:sz="4" w:space="0" w:color="000000"/>
              <w:start w:val="single" w:sz="4" w:space="0" w:color="000000"/>
              <w:bottom w:val="single" w:sz="4" w:space="0" w:color="000000"/>
            </w:tcBorders>
          </w:tcPr>
          <w:p>
            <w:pPr>
              <w:pStyle w:val="TAL"/>
              <w:rPr/>
            </w:pPr>
            <w:r>
              <w:rPr/>
              <w:t>Invalid parameter</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The given parameter of the operation is invalid.</w:t>
            </w:r>
          </w:p>
        </w:tc>
      </w:tr>
      <w:tr>
        <w:trPr/>
        <w:tc>
          <w:tcPr>
            <w:tcW w:w="2693" w:type="dxa"/>
            <w:tcBorders>
              <w:top w:val="single" w:sz="4" w:space="0" w:color="000000"/>
              <w:start w:val="single" w:sz="4" w:space="0" w:color="000000"/>
              <w:bottom w:val="single" w:sz="4" w:space="0" w:color="000000"/>
            </w:tcBorders>
          </w:tcPr>
          <w:p>
            <w:pPr>
              <w:pStyle w:val="TAL"/>
              <w:rPr/>
            </w:pPr>
            <w:r>
              <w:rPr/>
              <w:t>Unauthorized operation</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There was no authority for the requested operation.</w:t>
            </w:r>
          </w:p>
        </w:tc>
      </w:tr>
      <w:tr>
        <w:trPr/>
        <w:tc>
          <w:tcPr>
            <w:tcW w:w="2693" w:type="dxa"/>
            <w:tcBorders>
              <w:top w:val="single" w:sz="4" w:space="0" w:color="000000"/>
              <w:start w:val="single" w:sz="4" w:space="0" w:color="000000"/>
              <w:bottom w:val="single" w:sz="4" w:space="0" w:color="000000"/>
            </w:tcBorders>
          </w:tcPr>
          <w:p>
            <w:pPr>
              <w:pStyle w:val="TAL"/>
              <w:rPr/>
            </w:pPr>
            <w:r>
              <w:rPr/>
              <w:t>Data unavailable</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The requested data were not available.</w:t>
            </w:r>
          </w:p>
        </w:tc>
      </w:tr>
      <w:tr>
        <w:trPr/>
        <w:tc>
          <w:tcPr>
            <w:tcW w:w="2693" w:type="dxa"/>
            <w:tcBorders>
              <w:top w:val="single" w:sz="4" w:space="0" w:color="000000"/>
              <w:start w:val="single" w:sz="4" w:space="0" w:color="000000"/>
              <w:bottom w:val="single" w:sz="4" w:space="0" w:color="000000"/>
            </w:tcBorders>
          </w:tcPr>
          <w:p>
            <w:pPr>
              <w:pStyle w:val="TAL"/>
              <w:rPr/>
            </w:pPr>
            <w:r>
              <w:rPr/>
              <w:t>Unexpected error</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An unexpected error condition was met.</w:t>
            </w:r>
          </w:p>
        </w:tc>
      </w:tr>
      <w:tr>
        <w:trPr/>
        <w:tc>
          <w:tcPr>
            <w:tcW w:w="2693" w:type="dxa"/>
            <w:tcBorders>
              <w:top w:val="single" w:sz="4" w:space="0" w:color="000000"/>
              <w:start w:val="single" w:sz="4" w:space="0" w:color="000000"/>
              <w:bottom w:val="single" w:sz="4" w:space="0" w:color="000000"/>
            </w:tcBorders>
          </w:tcPr>
          <w:p>
            <w:pPr>
              <w:pStyle w:val="TAL"/>
              <w:rPr/>
            </w:pPr>
            <w:r>
              <w:rPr/>
              <w:t>Authentication error</w:t>
            </w:r>
          </w:p>
        </w:tc>
        <w:tc>
          <w:tcPr>
            <w:tcW w:w="6673" w:type="dxa"/>
            <w:tcBorders>
              <w:top w:val="single" w:sz="4" w:space="0" w:color="000000"/>
              <w:start w:val="single" w:sz="4" w:space="0" w:color="000000"/>
              <w:bottom w:val="single" w:sz="4" w:space="0" w:color="000000"/>
              <w:end w:val="single" w:sz="4" w:space="0" w:color="000000"/>
            </w:tcBorders>
          </w:tcPr>
          <w:p>
            <w:pPr>
              <w:pStyle w:val="TAL"/>
              <w:rPr/>
            </w:pPr>
            <w:r>
              <w:rPr/>
              <w:t>The authentication of the requestor has failed.</w:t>
            </w:r>
          </w:p>
        </w:tc>
      </w:tr>
    </w:tbl>
    <w:p>
      <w:pPr>
        <w:pStyle w:val="FP"/>
        <w:rPr>
          <w:lang w:eastAsia="ko-KR"/>
        </w:rPr>
      </w:pPr>
      <w:r>
        <w:rPr>
          <w:lang w:eastAsia="ko-KR"/>
        </w:rPr>
      </w:r>
    </w:p>
    <w:p>
      <w:pPr>
        <w:pStyle w:val="Heading2"/>
        <w:bidi w:val="0"/>
        <w:jc w:val="start"/>
        <w:rPr/>
      </w:pPr>
      <w:bookmarkStart w:id="68" w:name="__RefHeading___Toc287964574"/>
      <w:bookmarkEnd w:id="68"/>
      <w:r>
        <w:rPr/>
        <w:t>4.4</w:t>
        <w:tab/>
        <w:t>Rp reference point procedures</w:t>
      </w:r>
    </w:p>
    <w:p>
      <w:pPr>
        <w:pStyle w:val="Normal"/>
        <w:rPr/>
      </w:pPr>
      <w:r>
        <w:rPr/>
        <w:t>This subclause defines the procedures applied in the Rp reference point. The application or GUP server acts as the active requestor towards the Repository Access Function (RAF) entities e.g. to read or modify the data. It is assumed that the both ends share initially the same data structure definitions. Rp is applied to control the data stored in the different user profile components identified by a resource identity and the component type. The resource identity contains either a subscriber identity or a generic component identification which is given to components that are not bound to a single subscriber.</w:t>
      </w:r>
    </w:p>
    <w:p>
      <w:pPr>
        <w:pStyle w:val="Normal"/>
        <w:rPr/>
      </w:pPr>
      <w:r>
        <w:rPr/>
        <w:t>There are the following procedures:</w:t>
      </w:r>
    </w:p>
    <w:p>
      <w:pPr>
        <w:pStyle w:val="B1"/>
        <w:numPr>
          <w:ilvl w:val="0"/>
          <w:numId w:val="3"/>
        </w:numPr>
        <w:tabs>
          <w:tab w:val="clear" w:pos="284"/>
          <w:tab w:val="left" w:pos="567" w:leader="none"/>
        </w:tabs>
        <w:ind w:start="567" w:hanging="283"/>
        <w:rPr/>
      </w:pPr>
      <w:r>
        <w:rPr/>
        <w:t>Create Component</w:t>
      </w:r>
    </w:p>
    <w:p>
      <w:pPr>
        <w:pStyle w:val="B1"/>
        <w:numPr>
          <w:ilvl w:val="0"/>
          <w:numId w:val="3"/>
        </w:numPr>
        <w:tabs>
          <w:tab w:val="clear" w:pos="284"/>
          <w:tab w:val="left" w:pos="567" w:leader="none"/>
        </w:tabs>
        <w:ind w:start="567" w:hanging="283"/>
        <w:rPr/>
      </w:pPr>
      <w:r>
        <w:rPr/>
        <w:t>Delete Component</w:t>
      </w:r>
    </w:p>
    <w:p>
      <w:pPr>
        <w:pStyle w:val="B1"/>
        <w:numPr>
          <w:ilvl w:val="0"/>
          <w:numId w:val="3"/>
        </w:numPr>
        <w:tabs>
          <w:tab w:val="clear" w:pos="284"/>
          <w:tab w:val="left" w:pos="567" w:leader="none"/>
        </w:tabs>
        <w:ind w:start="567" w:hanging="283"/>
        <w:rPr/>
      </w:pPr>
      <w:r>
        <w:rPr/>
        <w:t>Modify Data</w:t>
      </w:r>
    </w:p>
    <w:p>
      <w:pPr>
        <w:pStyle w:val="B1"/>
        <w:numPr>
          <w:ilvl w:val="0"/>
          <w:numId w:val="3"/>
        </w:numPr>
        <w:tabs>
          <w:tab w:val="clear" w:pos="284"/>
          <w:tab w:val="left" w:pos="567" w:leader="none"/>
        </w:tabs>
        <w:ind w:start="567" w:hanging="283"/>
        <w:rPr>
          <w:lang w:eastAsia="ko-KR"/>
        </w:rPr>
      </w:pPr>
      <w:r>
        <w:rPr>
          <w:lang w:eastAsia="ko-KR"/>
        </w:rPr>
        <w:t>List Data</w:t>
      </w:r>
    </w:p>
    <w:p>
      <w:pPr>
        <w:pStyle w:val="B1"/>
        <w:numPr>
          <w:ilvl w:val="0"/>
          <w:numId w:val="3"/>
        </w:numPr>
        <w:tabs>
          <w:tab w:val="clear" w:pos="284"/>
          <w:tab w:val="left" w:pos="567" w:leader="none"/>
        </w:tabs>
        <w:ind w:start="567" w:hanging="283"/>
        <w:rPr/>
      </w:pPr>
      <w:r>
        <w:rPr/>
        <w:t>Read Data</w:t>
      </w:r>
    </w:p>
    <w:p>
      <w:pPr>
        <w:pStyle w:val="B1"/>
        <w:numPr>
          <w:ilvl w:val="0"/>
          <w:numId w:val="3"/>
        </w:numPr>
        <w:tabs>
          <w:tab w:val="clear" w:pos="284"/>
          <w:tab w:val="left" w:pos="567" w:leader="none"/>
        </w:tabs>
        <w:ind w:start="567" w:hanging="283"/>
        <w:rPr/>
      </w:pPr>
      <w:r>
        <w:rPr/>
        <w:t>Subscribe To Data</w:t>
      </w:r>
    </w:p>
    <w:p>
      <w:pPr>
        <w:pStyle w:val="B1"/>
        <w:numPr>
          <w:ilvl w:val="0"/>
          <w:numId w:val="3"/>
        </w:numPr>
        <w:tabs>
          <w:tab w:val="clear" w:pos="284"/>
          <w:tab w:val="left" w:pos="567" w:leader="none"/>
        </w:tabs>
        <w:ind w:start="567" w:hanging="283"/>
        <w:rPr/>
      </w:pPr>
      <w:r>
        <w:rPr/>
        <w:t>Unsubscribe To Data</w:t>
      </w:r>
    </w:p>
    <w:p>
      <w:pPr>
        <w:pStyle w:val="B1"/>
        <w:numPr>
          <w:ilvl w:val="0"/>
          <w:numId w:val="3"/>
        </w:numPr>
        <w:tabs>
          <w:tab w:val="clear" w:pos="284"/>
          <w:tab w:val="left" w:pos="567" w:leader="none"/>
        </w:tabs>
        <w:ind w:start="567" w:hanging="283"/>
        <w:rPr/>
      </w:pPr>
      <w:r>
        <w:rPr/>
        <w:t>Notify Data</w:t>
      </w:r>
    </w:p>
    <w:p>
      <w:pPr>
        <w:pStyle w:val="B1"/>
        <w:numPr>
          <w:ilvl w:val="0"/>
          <w:numId w:val="3"/>
        </w:numPr>
        <w:tabs>
          <w:tab w:val="clear" w:pos="284"/>
          <w:tab w:val="left" w:pos="567" w:leader="none"/>
        </w:tabs>
        <w:ind w:start="567" w:hanging="283"/>
        <w:rPr/>
      </w:pPr>
      <w:r>
        <w:rPr/>
        <w:t>Define Data</w:t>
      </w:r>
    </w:p>
    <w:p>
      <w:pPr>
        <w:pStyle w:val="Heading3"/>
        <w:bidi w:val="0"/>
        <w:jc w:val="start"/>
        <w:rPr/>
      </w:pPr>
      <w:bookmarkStart w:id="69" w:name="__RefHeading___Toc287964575"/>
      <w:bookmarkEnd w:id="69"/>
      <w:r>
        <w:rPr/>
        <w:t>4.4.1</w:t>
        <w:tab/>
        <w:t>Create Component procedure</w:t>
      </w:r>
    </w:p>
    <w:p>
      <w:pPr>
        <w:pStyle w:val="Normal"/>
        <w:rPr/>
      </w:pPr>
      <w:r>
        <w:rPr/>
        <w:t xml:space="preserve">Create Component procedure is used by the application to add a new profile component in the contacted repository. The attached </w:t>
      </w:r>
      <w:r>
        <w:rPr>
          <w:lang w:eastAsia="ko-KR"/>
        </w:rPr>
        <w:t>resource</w:t>
      </w:r>
      <w:r>
        <w:rPr/>
        <w:t xml:space="preserve"> identity and the created component type are specified along with the created data. The component type identifies what data are concerned i.e. not just the data typing. It is presumed that the profile data structure is already known by the both parties. No new type of data can be defined by this procedure, only the data contents are provided. The requestor shall provide the necessary data for authorization purposes (e.g. assertions and identifications).</w:t>
      </w:r>
    </w:p>
    <w:p>
      <w:pPr>
        <w:pStyle w:val="Normal"/>
        <w:rPr/>
      </w:pPr>
      <w:r>
        <w:rPr/>
        <w:t>This procedure is synchronous in nature but it is also possible to define a separate response message.</w:t>
      </w:r>
    </w:p>
    <w:p>
      <w:pPr>
        <w:pStyle w:val="TH"/>
        <w:rPr/>
      </w:pPr>
      <w:r>
        <w:rPr/>
        <w:t>Table 4.19: Request data of Create Component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 xml:space="preserve">Resource </w:t>
            </w:r>
            <w:r>
              <w:rPr/>
              <w:t>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Specifies the type of the created component. This is needed because several types may be supported by one RAF. The Component type identifies the applied component data definitions.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authorization process. E.g. end user and application identification. See subclause 4.4.9.</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Component data</w:t>
            </w:r>
          </w:p>
        </w:tc>
        <w:tc>
          <w:tcPr>
            <w:tcW w:w="4619" w:type="dxa"/>
            <w:tcBorders>
              <w:top w:val="single" w:sz="4" w:space="0" w:color="000000"/>
              <w:start w:val="single" w:sz="4" w:space="0" w:color="000000"/>
              <w:bottom w:val="single" w:sz="4" w:space="0" w:color="000000"/>
            </w:tcBorders>
          </w:tcPr>
          <w:p>
            <w:pPr>
              <w:pStyle w:val="TAL"/>
              <w:rPr/>
            </w:pPr>
            <w:r>
              <w:rPr/>
              <w:t>Specifies the profile component data according to the specified Component type.</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Table 4.20: Response data of Create Component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successfully or whether some failure was detected. The possible errors are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70" w:name="__RefHeading___Toc287964576"/>
      <w:bookmarkEnd w:id="70"/>
      <w:r>
        <w:rPr/>
        <w:t>4.4.2</w:t>
        <w:tab/>
        <w:t>Delete Component procedure</w:t>
      </w:r>
    </w:p>
    <w:p>
      <w:pPr>
        <w:pStyle w:val="Normal"/>
        <w:rPr/>
      </w:pPr>
      <w:r>
        <w:rPr/>
        <w:t xml:space="preserve">Delete Component procedure is used by the application to remove a profile component from the contacted repository. The attached </w:t>
      </w:r>
      <w:r>
        <w:rPr>
          <w:lang w:eastAsia="ko-KR"/>
        </w:rPr>
        <w:t>resource</w:t>
      </w:r>
      <w:r>
        <w:rPr/>
        <w:t xml:space="preserve"> identity and the component type is specified. The requestor shall provide the necessary data for authorization purposes (e.g. assertions and identifications).</w:t>
      </w:r>
    </w:p>
    <w:p>
      <w:pPr>
        <w:pStyle w:val="Normal"/>
        <w:rPr/>
      </w:pPr>
      <w:r>
        <w:rPr/>
        <w:t xml:space="preserve">This procedure is synchronous in nature but it is also possible to define a separate response message. </w:t>
      </w:r>
    </w:p>
    <w:p>
      <w:pPr>
        <w:pStyle w:val="TH"/>
        <w:rPr/>
      </w:pPr>
      <w:r>
        <w:rPr/>
        <w:t>Table 4.21: Request data of Delete Component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 xml:space="preserve">Specifies the type of the component.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authorization process. E.g. end user and application identification. See subclause 4.4.9.</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4.22: Response data of Delete Component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lang w:eastAsia="ko-KR"/>
        </w:rPr>
      </w:pPr>
      <w:r>
        <w:rPr>
          <w:lang w:eastAsia="ko-KR"/>
        </w:rPr>
      </w:r>
    </w:p>
    <w:p>
      <w:pPr>
        <w:pStyle w:val="Heading3"/>
        <w:bidi w:val="0"/>
        <w:jc w:val="start"/>
        <w:rPr/>
      </w:pPr>
      <w:bookmarkStart w:id="71" w:name="__RefHeading___Toc287964577"/>
      <w:bookmarkEnd w:id="71"/>
      <w:r>
        <w:rPr/>
        <w:t>4.4.2a</w:t>
        <w:tab/>
        <w:t>List Data procedure</w:t>
      </w:r>
    </w:p>
    <w:p>
      <w:pPr>
        <w:pStyle w:val="Normal"/>
        <w:rPr/>
      </w:pPr>
      <w:r>
        <w:rPr/>
        <w:t>List Data procedure is used by the application to list the existing profile items in the various GUP Data Repositories, and it is needed to handle large number of items. Different search criteria may be given as input. Only the references (i.e. resource identities and component types) are returned by the procedure. The listing may optionally operate sequentially, and then only a selected number of items is returned in one listing. The application shall provide the necessary data for authentication and authorization purposes (e.g. credentials, assertions and identifications).</w:t>
      </w:r>
    </w:p>
    <w:p>
      <w:pPr>
        <w:pStyle w:val="Normal"/>
        <w:rPr/>
      </w:pPr>
      <w:r>
        <w:rPr/>
        <w:t>The outcome of the procedure shall be provided in a separate response message.</w:t>
      </w:r>
    </w:p>
    <w:p>
      <w:pPr>
        <w:pStyle w:val="TH"/>
        <w:rPr/>
      </w:pPr>
      <w:r>
        <w:rPr/>
        <w:t>Table 4.</w:t>
      </w:r>
      <w:r>
        <w:rPr>
          <w:lang w:eastAsia="ko-KR"/>
        </w:rPr>
        <w:t>22a</w:t>
      </w:r>
      <w:r>
        <w:rPr/>
        <w:t>: Request data of List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Search criteria</w:t>
            </w:r>
          </w:p>
        </w:tc>
        <w:tc>
          <w:tcPr>
            <w:tcW w:w="4619" w:type="dxa"/>
            <w:tcBorders>
              <w:top w:val="single" w:sz="4" w:space="0" w:color="000000"/>
              <w:start w:val="single" w:sz="4" w:space="0" w:color="000000"/>
              <w:bottom w:val="single" w:sz="4" w:space="0" w:color="000000"/>
            </w:tcBorders>
          </w:tcPr>
          <w:p>
            <w:pPr>
              <w:pStyle w:val="TAL"/>
              <w:rPr/>
            </w:pPr>
            <w:r>
              <w:rPr/>
              <w:t>Specifies which profiles are to be listed. The criteria may include at least resource identity (or part of it) and/or component type.</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authentication and authorization process. E.g. end user and application identification, credentials or privacy policy information.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w:t>
      </w:r>
      <w:r>
        <w:rPr>
          <w:lang w:eastAsia="ko-KR"/>
        </w:rPr>
        <w:t>22b</w:t>
      </w:r>
      <w:r>
        <w:rPr/>
        <w:t>: Response data of List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Listing data</w:t>
            </w:r>
          </w:p>
        </w:tc>
        <w:tc>
          <w:tcPr>
            <w:tcW w:w="4619" w:type="dxa"/>
            <w:tcBorders>
              <w:top w:val="single" w:sz="4" w:space="0" w:color="000000"/>
              <w:start w:val="single" w:sz="4" w:space="0" w:color="000000"/>
              <w:bottom w:val="single" w:sz="4" w:space="0" w:color="000000"/>
            </w:tcBorders>
          </w:tcPr>
          <w:p>
            <w:pPr>
              <w:pStyle w:val="TAL"/>
              <w:rPr/>
            </w:pPr>
            <w:r>
              <w:rPr/>
              <w:t>Provides the listed data (several elements). See the table below for the contents of a single element.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End indication</w:t>
            </w:r>
          </w:p>
        </w:tc>
        <w:tc>
          <w:tcPr>
            <w:tcW w:w="4619" w:type="dxa"/>
            <w:tcBorders>
              <w:top w:val="single" w:sz="4" w:space="0" w:color="000000"/>
              <w:start w:val="single" w:sz="4" w:space="0" w:color="000000"/>
              <w:bottom w:val="single" w:sz="4" w:space="0" w:color="000000"/>
            </w:tcBorders>
          </w:tcPr>
          <w:p>
            <w:pPr>
              <w:pStyle w:val="TAL"/>
              <w:rPr/>
            </w:pPr>
            <w:r>
              <w:rPr/>
              <w:t>Indicates that the end of list has been reached.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successfully or whether some failure was detected. The possible errors are described in sufficient detail.</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bl>
    <w:p>
      <w:pPr>
        <w:pStyle w:val="FP"/>
        <w:rPr/>
      </w:pPr>
      <w:r>
        <w:rPr/>
      </w:r>
    </w:p>
    <w:p>
      <w:pPr>
        <w:pStyle w:val="TH"/>
        <w:rPr/>
      </w:pPr>
      <w:r>
        <w:rPr/>
        <w:t>Table 4.</w:t>
      </w:r>
      <w:r>
        <w:rPr>
          <w:lang w:eastAsia="ko-KR"/>
        </w:rPr>
        <w:t>22c</w:t>
      </w:r>
      <w:r>
        <w:rPr/>
        <w:t>: Contents of Listing data parameter</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Resource identity</w:t>
            </w:r>
          </w:p>
        </w:tc>
        <w:tc>
          <w:tcPr>
            <w:tcW w:w="4619" w:type="dxa"/>
            <w:tcBorders>
              <w:top w:val="single" w:sz="4" w:space="0" w:color="000000"/>
              <w:start w:val="single" w:sz="4" w:space="0" w:color="000000"/>
              <w:bottom w:val="single" w:sz="4" w:space="0" w:color="000000"/>
            </w:tcBorders>
          </w:tcPr>
          <w:p>
            <w:pPr>
              <w:pStyle w:val="TAL"/>
              <w:rPr/>
            </w:pPr>
            <w:r>
              <w:rPr/>
              <w:t>Specifies the resource identity with its type (e.g. SIP URI public ID).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types</w:t>
            </w:r>
          </w:p>
        </w:tc>
        <w:tc>
          <w:tcPr>
            <w:tcW w:w="4619" w:type="dxa"/>
            <w:tcBorders>
              <w:top w:val="single" w:sz="4" w:space="0" w:color="000000"/>
              <w:start w:val="single" w:sz="4" w:space="0" w:color="000000"/>
              <w:bottom w:val="single" w:sz="4" w:space="0" w:color="000000"/>
            </w:tcBorders>
          </w:tcPr>
          <w:p>
            <w:pPr>
              <w:pStyle w:val="TAL"/>
              <w:rPr/>
            </w:pPr>
            <w:r>
              <w:rPr/>
              <w:t>Specifies the component types which are linked to the resource identity and match with the search criteria.</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lang w:eastAsia="ko-KR"/>
        </w:rPr>
      </w:pPr>
      <w:r>
        <w:rPr>
          <w:lang w:eastAsia="ko-KR"/>
        </w:rPr>
      </w:r>
    </w:p>
    <w:p>
      <w:pPr>
        <w:pStyle w:val="Heading3"/>
        <w:bidi w:val="0"/>
        <w:jc w:val="start"/>
        <w:rPr/>
      </w:pPr>
      <w:bookmarkStart w:id="72" w:name="__RefHeading___Toc287964578"/>
      <w:bookmarkEnd w:id="72"/>
      <w:r>
        <w:rPr/>
        <w:t>4.4.3</w:t>
        <w:tab/>
        <w:t>Modify Data procedure</w:t>
      </w:r>
    </w:p>
    <w:p>
      <w:pPr>
        <w:pStyle w:val="Normal"/>
        <w:rPr/>
      </w:pPr>
      <w:r>
        <w:rPr/>
        <w:t xml:space="preserve">Modify Data procedure is used by the application to change the data in a profile component. The component is identified by the </w:t>
      </w:r>
      <w:r>
        <w:rPr>
          <w:lang w:eastAsia="ko-KR"/>
        </w:rPr>
        <w:t>resource</w:t>
      </w:r>
      <w:r>
        <w:rPr/>
        <w:t xml:space="preserve"> identity and the component type. The modification may concern the whole component or any lower level piece of data referenced in the procedure invocation. The contents for the entire referenced data shall be provided. Several individual changes to the component can be made with one procedure invocation. It is also possible to add more similar type of data elements to an existing array type of element. The requestor shall provide the necessary data for authorization purposes (e.g. assertions and identifications).</w:t>
      </w:r>
    </w:p>
    <w:p>
      <w:pPr>
        <w:pStyle w:val="Normal"/>
        <w:rPr/>
      </w:pPr>
      <w:r>
        <w:rPr/>
        <w:t xml:space="preserve">This procedure is synchronous in nature but it is also possible to define a separate response message. </w:t>
      </w:r>
    </w:p>
    <w:p>
      <w:pPr>
        <w:pStyle w:val="TH"/>
        <w:rPr/>
      </w:pPr>
      <w:r>
        <w:rPr/>
        <w:t>Table 4.23: Request data of Modify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 xml:space="preserve">Resource </w:t>
            </w:r>
            <w:r>
              <w:rPr/>
              <w:t>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 xml:space="preserve">Specifies the type of the component.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Modified data</w:t>
            </w:r>
          </w:p>
        </w:tc>
        <w:tc>
          <w:tcPr>
            <w:tcW w:w="4619" w:type="dxa"/>
            <w:tcBorders>
              <w:top w:val="single" w:sz="4" w:space="0" w:color="000000"/>
              <w:start w:val="single" w:sz="4" w:space="0" w:color="000000"/>
              <w:bottom w:val="single" w:sz="4" w:space="0" w:color="000000"/>
            </w:tcBorders>
          </w:tcPr>
          <w:p>
            <w:pPr>
              <w:pStyle w:val="TAL"/>
              <w:rPr/>
            </w:pPr>
            <w:r>
              <w:rPr/>
              <w:t xml:space="preserve">Specifies which data are addressed and how those are changed. There may be several modified data items corresponding to several individual modifications. See the table below for the contents of one modification.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authorization process. E.g. end user and application identification. See subclause 4.4.9.</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 xml:space="preserve">Table 4.24: Contents of Modified data parameter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Data reference</w:t>
            </w:r>
          </w:p>
        </w:tc>
        <w:tc>
          <w:tcPr>
            <w:tcW w:w="4619" w:type="dxa"/>
            <w:tcBorders>
              <w:top w:val="single" w:sz="4" w:space="0" w:color="000000"/>
              <w:start w:val="single" w:sz="4" w:space="0" w:color="000000"/>
              <w:bottom w:val="single" w:sz="4" w:space="0" w:color="000000"/>
            </w:tcBorders>
          </w:tcPr>
          <w:p>
            <w:pPr>
              <w:pStyle w:val="TAL"/>
              <w:rPr>
                <w:b/>
                <w:b/>
                <w:bCs/>
              </w:rPr>
            </w:pPr>
            <w:r>
              <w:rPr/>
              <w:t>Specifies which data are modified or expanded. The reference may indicate the whole component or any deeper level piece of data. The reference must be unique in a way that it refers only to one data item.</w:t>
            </w:r>
          </w:p>
        </w:tc>
        <w:tc>
          <w:tcPr>
            <w:tcW w:w="3046" w:type="dxa"/>
            <w:tcBorders>
              <w:top w:val="single" w:sz="4" w:space="0" w:color="000000"/>
              <w:start w:val="single" w:sz="4" w:space="0" w:color="000000"/>
              <w:bottom w:val="single" w:sz="4" w:space="0" w:color="000000"/>
              <w:end w:val="single" w:sz="4" w:space="0" w:color="000000"/>
            </w:tcBorders>
          </w:tcPr>
          <w:p>
            <w:pPr>
              <w:pStyle w:val="TAL"/>
              <w:rPr>
                <w:b/>
                <w:b/>
                <w:bCs/>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New data</w:t>
            </w:r>
          </w:p>
        </w:tc>
        <w:tc>
          <w:tcPr>
            <w:tcW w:w="4619" w:type="dxa"/>
            <w:tcBorders>
              <w:top w:val="single" w:sz="4" w:space="0" w:color="000000"/>
              <w:start w:val="single" w:sz="4" w:space="0" w:color="000000"/>
              <w:bottom w:val="single" w:sz="4" w:space="0" w:color="000000"/>
            </w:tcBorders>
          </w:tcPr>
          <w:p>
            <w:pPr>
              <w:pStyle w:val="TAL"/>
              <w:rPr/>
            </w:pPr>
            <w:r>
              <w:rPr/>
              <w:t>Specifies the data to be stored in the profile component. It is expected that all the data elements in the referenced data structure are given.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Overwrite indication</w:t>
            </w:r>
          </w:p>
        </w:tc>
        <w:tc>
          <w:tcPr>
            <w:tcW w:w="4619" w:type="dxa"/>
            <w:tcBorders>
              <w:top w:val="single" w:sz="4" w:space="0" w:color="000000"/>
              <w:start w:val="single" w:sz="4" w:space="0" w:color="000000"/>
              <w:bottom w:val="single" w:sz="4" w:space="0" w:color="000000"/>
            </w:tcBorders>
          </w:tcPr>
          <w:p>
            <w:pPr>
              <w:pStyle w:val="TAL"/>
              <w:rPr/>
            </w:pPr>
            <w:r>
              <w:rPr/>
              <w:t>Specifies if the data are added to the existing data or replaces those. Default action is "insert".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Optional </w:t>
            </w:r>
          </w:p>
        </w:tc>
      </w:tr>
    </w:tbl>
    <w:p>
      <w:pPr>
        <w:pStyle w:val="FP"/>
        <w:rPr/>
      </w:pPr>
      <w:r>
        <w:rPr/>
      </w:r>
    </w:p>
    <w:p>
      <w:pPr>
        <w:pStyle w:val="TH"/>
        <w:rPr/>
      </w:pPr>
      <w:r>
        <w:rPr/>
        <w:t>Table 4.25: Response data of Modify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w:t>
            </w:r>
            <w:r>
              <w:rPr>
                <w:lang w:eastAsia="ko-KR"/>
              </w:rPr>
              <w:t>s</w:t>
            </w:r>
            <w:r>
              <w:rPr/>
              <w:t xml:space="preserve">sfully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73" w:name="__RefHeading___Toc287964579"/>
      <w:bookmarkEnd w:id="73"/>
      <w:r>
        <w:rPr/>
        <w:t>4.4.4</w:t>
        <w:tab/>
        <w:t>Read Data procedure</w:t>
      </w:r>
    </w:p>
    <w:p>
      <w:pPr>
        <w:pStyle w:val="Normal"/>
        <w:rPr/>
      </w:pPr>
      <w:r>
        <w:rPr/>
        <w:t xml:space="preserve">Read Data procedure is used by the application to retrieve the data in a profile component. The component is identified by the </w:t>
      </w:r>
      <w:r>
        <w:rPr>
          <w:lang w:eastAsia="ko-KR"/>
        </w:rPr>
        <w:t>resource</w:t>
      </w:r>
      <w:r>
        <w:rPr/>
        <w:t xml:space="preserve"> identity and the component type. The data retrieval may concern the whole component or any parts of it as referenced in the invocation. The requestor shall provide the necessary data for authorization purposes (e.g. assertions and identifications). </w:t>
      </w:r>
    </w:p>
    <w:p>
      <w:pPr>
        <w:pStyle w:val="TH"/>
        <w:rPr/>
      </w:pPr>
      <w:r>
        <w:rPr/>
        <w:t>Table 4.26: Request data of Read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pPr>
            <w:r>
              <w:rPr/>
              <w:t xml:space="preserve">Specifies the </w:t>
            </w:r>
            <w:r>
              <w:rPr>
                <w:lang w:eastAsia="ko-KR"/>
              </w:rPr>
              <w:t>resource</w:t>
            </w:r>
            <w:r>
              <w:rPr/>
              <w:t xml:space="preserve"> identity with its type (e.g. SIP URI public ID).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 xml:space="preserve">Specifies the type of the component.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Data references</w:t>
            </w:r>
          </w:p>
        </w:tc>
        <w:tc>
          <w:tcPr>
            <w:tcW w:w="4619" w:type="dxa"/>
            <w:tcBorders>
              <w:top w:val="single" w:sz="4" w:space="0" w:color="000000"/>
              <w:start w:val="single" w:sz="4" w:space="0" w:color="000000"/>
              <w:bottom w:val="single" w:sz="4" w:space="0" w:color="000000"/>
            </w:tcBorders>
          </w:tcPr>
          <w:p>
            <w:pPr>
              <w:pStyle w:val="TAL"/>
              <w:rPr/>
            </w:pPr>
            <w:r>
              <w:rPr/>
              <w:t>Specifies which data are read. The data reference may point to a piece of data on any level in the data structure (also to the whole component). Multiple references may be given.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authorization process. E.g. end user and application identification. See subclause 4.4.9.</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4.27: Response data of Read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Data</w:t>
            </w:r>
          </w:p>
        </w:tc>
        <w:tc>
          <w:tcPr>
            <w:tcW w:w="4619" w:type="dxa"/>
            <w:tcBorders>
              <w:top w:val="single" w:sz="4" w:space="0" w:color="000000"/>
              <w:start w:val="single" w:sz="4" w:space="0" w:color="000000"/>
              <w:bottom w:val="single" w:sz="4" w:space="0" w:color="000000"/>
            </w:tcBorders>
          </w:tcPr>
          <w:p>
            <w:pPr>
              <w:pStyle w:val="TAL"/>
              <w:rPr/>
            </w:pPr>
            <w:r>
              <w:rPr/>
              <w:t xml:space="preserve">Contains the retrieved data as indicated by the Data references. All the data under the referenced one are returned. Multiple packets of data are given if so requested.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Normal"/>
        <w:rPr/>
      </w:pPr>
      <w:r>
        <w:rPr/>
        <w:t>This procedure is synchronous in nature but it is also possible to define a separate response message.</w:t>
      </w:r>
    </w:p>
    <w:p>
      <w:pPr>
        <w:pStyle w:val="Heading3"/>
        <w:bidi w:val="0"/>
        <w:jc w:val="start"/>
        <w:rPr/>
      </w:pPr>
      <w:bookmarkStart w:id="74" w:name="__RefHeading___Toc287964580"/>
      <w:bookmarkEnd w:id="74"/>
      <w:r>
        <w:rPr/>
        <w:t>4.4.5</w:t>
        <w:tab/>
        <w:t>Subscribe To Data procedure</w:t>
      </w:r>
    </w:p>
    <w:p>
      <w:pPr>
        <w:pStyle w:val="Normal"/>
        <w:rPr/>
      </w:pPr>
      <w:r>
        <w:rPr/>
        <w:t xml:space="preserve">Subscribe To Data procedure is used by the application to request notifications about changes in the profile component data. The component is identified by the </w:t>
      </w:r>
      <w:r>
        <w:rPr>
          <w:lang w:eastAsia="ko-KR"/>
        </w:rPr>
        <w:t>resource</w:t>
      </w:r>
      <w:r>
        <w:rPr/>
        <w:t xml:space="preserve"> identity and the component type. Furthermore the application can identify which elements are to be monitored for changes if it is not interested in all changes. Data synchronization can be performed by Subscribe To Data and Notify Data procedures. The RAF returns the identification of the subscription request to provide means for the application to link the notifications of Notify Data procedure to the related subscribe requests. With Subscribe To Data procedure an application can also request a list of all its subscriptions to notifications from the RAF. The RAF shall provide all the application’s subscriptions to notifications in the response message.</w:t>
      </w:r>
    </w:p>
    <w:p>
      <w:pPr>
        <w:pStyle w:val="Normal"/>
        <w:rPr/>
      </w:pPr>
      <w:r>
        <w:rPr/>
        <w:t xml:space="preserve">A filtering data parameter is defined to facilitate performance optimization. This may be left partly vendor/operator specific. The requestor shall provide the necessary data for authorization purposes (e.g. assertions and identifications). </w:t>
      </w:r>
    </w:p>
    <w:p>
      <w:pPr>
        <w:pStyle w:val="TH"/>
        <w:rPr/>
      </w:pPr>
      <w:r>
        <w:rPr/>
        <w:t>Table 4.28: Request data of Subscribe To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lang w:eastAsia="ko-KR"/>
              </w:rPr>
              <w:t>Resource</w:t>
            </w:r>
            <w:r>
              <w:rPr/>
              <w:t xml:space="preserve"> identity</w:t>
            </w:r>
          </w:p>
        </w:tc>
        <w:tc>
          <w:tcPr>
            <w:tcW w:w="4619" w:type="dxa"/>
            <w:tcBorders>
              <w:top w:val="single" w:sz="4" w:space="0" w:color="000000"/>
              <w:start w:val="single" w:sz="4" w:space="0" w:color="000000"/>
              <w:bottom w:val="single" w:sz="4" w:space="0" w:color="000000"/>
            </w:tcBorders>
          </w:tcPr>
          <w:p>
            <w:pPr>
              <w:pStyle w:val="TAL"/>
              <w:rPr>
                <w:lang w:eastAsia="ko-KR"/>
              </w:rPr>
            </w:pPr>
            <w:r>
              <w:rPr/>
              <w:t xml:space="preserve">Specifies the </w:t>
            </w:r>
            <w:r>
              <w:rPr>
                <w:lang w:eastAsia="ko-KR"/>
              </w:rPr>
              <w:t>resource</w:t>
            </w:r>
            <w:r>
              <w:rPr/>
              <w:t xml:space="preserve"> identity with its type (e.g. SIP URI public ID).</w:t>
            </w:r>
          </w:p>
          <w:p>
            <w:pPr>
              <w:pStyle w:val="TAL"/>
              <w:rPr>
                <w:lang w:eastAsia="ko-KR"/>
              </w:rPr>
            </w:pPr>
            <w:r>
              <w:rPr/>
              <w:t>This parameter may be absent only when List of subscriptions parameter is present, otherwise this parameter shall always be present.</w:t>
            </w:r>
          </w:p>
        </w:tc>
        <w:tc>
          <w:tcPr>
            <w:tcW w:w="3046" w:type="dxa"/>
            <w:tcBorders>
              <w:top w:val="single" w:sz="4" w:space="0" w:color="000000"/>
              <w:start w:val="single" w:sz="4" w:space="0" w:color="000000"/>
              <w:bottom w:val="single" w:sz="4" w:space="0" w:color="000000"/>
              <w:end w:val="single" w:sz="4" w:space="0" w:color="000000"/>
            </w:tcBorders>
          </w:tcPr>
          <w:p>
            <w:pPr>
              <w:pStyle w:val="TAL"/>
              <w:rPr>
                <w:lang w:eastAsia="ko-KR"/>
              </w:rPr>
            </w:pPr>
            <w:r>
              <w:rPr>
                <w:lang w:eastAsia="ko-KR"/>
              </w:rPr>
              <w:t>Conditional</w:t>
            </w:r>
          </w:p>
        </w:tc>
      </w:tr>
      <w:tr>
        <w:trPr/>
        <w:tc>
          <w:tcPr>
            <w:tcW w:w="1701" w:type="dxa"/>
            <w:tcBorders>
              <w:top w:val="single" w:sz="4" w:space="0" w:color="000000"/>
              <w:start w:val="single" w:sz="4" w:space="0" w:color="000000"/>
              <w:bottom w:val="single" w:sz="4" w:space="0" w:color="000000"/>
            </w:tcBorders>
          </w:tcPr>
          <w:p>
            <w:pPr>
              <w:pStyle w:val="TAL"/>
              <w:rPr/>
            </w:pPr>
            <w:r>
              <w:rPr/>
              <w:t>Notification Reference</w:t>
            </w:r>
          </w:p>
        </w:tc>
        <w:tc>
          <w:tcPr>
            <w:tcW w:w="4619" w:type="dxa"/>
            <w:tcBorders>
              <w:top w:val="single" w:sz="4" w:space="0" w:color="000000"/>
              <w:start w:val="single" w:sz="4" w:space="0" w:color="000000"/>
              <w:bottom w:val="single" w:sz="4" w:space="0" w:color="000000"/>
            </w:tcBorders>
          </w:tcPr>
          <w:p>
            <w:pPr>
              <w:pStyle w:val="TAL"/>
              <w:rPr/>
            </w:pPr>
            <w:r>
              <w:rPr/>
              <w:t>Specifies the call-back address of the Requestor.  The RAF shall send the notifications to this address.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List of subscriptions</w:t>
            </w:r>
          </w:p>
        </w:tc>
        <w:tc>
          <w:tcPr>
            <w:tcW w:w="4619" w:type="dxa"/>
            <w:tcBorders>
              <w:top w:val="single" w:sz="4" w:space="0" w:color="000000"/>
              <w:start w:val="single" w:sz="4" w:space="0" w:color="000000"/>
              <w:bottom w:val="single" w:sz="4" w:space="0" w:color="000000"/>
            </w:tcBorders>
          </w:tcPr>
          <w:p>
            <w:pPr>
              <w:pStyle w:val="TAL"/>
              <w:rPr/>
            </w:pPr>
            <w:r>
              <w:rPr/>
              <w:t>Indicates that the application requests the list of all its subscriptions from the RAF.</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Component type</w:t>
            </w:r>
          </w:p>
        </w:tc>
        <w:tc>
          <w:tcPr>
            <w:tcW w:w="4619" w:type="dxa"/>
            <w:tcBorders>
              <w:top w:val="single" w:sz="4" w:space="0" w:color="000000"/>
              <w:start w:val="single" w:sz="4" w:space="0" w:color="000000"/>
              <w:bottom w:val="single" w:sz="4" w:space="0" w:color="000000"/>
            </w:tcBorders>
          </w:tcPr>
          <w:p>
            <w:pPr>
              <w:pStyle w:val="TAL"/>
              <w:rPr/>
            </w:pPr>
            <w:r>
              <w:rPr/>
              <w:t xml:space="preserve">Specifies the type of the component.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 xml:space="preserve">Mandatory </w:t>
            </w:r>
          </w:p>
        </w:tc>
      </w:tr>
      <w:tr>
        <w:trPr/>
        <w:tc>
          <w:tcPr>
            <w:tcW w:w="1701" w:type="dxa"/>
            <w:tcBorders>
              <w:top w:val="single" w:sz="4" w:space="0" w:color="000000"/>
              <w:start w:val="single" w:sz="4" w:space="0" w:color="000000"/>
              <w:bottom w:val="single" w:sz="4" w:space="0" w:color="000000"/>
            </w:tcBorders>
          </w:tcPr>
          <w:p>
            <w:pPr>
              <w:pStyle w:val="TAL"/>
              <w:rPr/>
            </w:pPr>
            <w:r>
              <w:rPr/>
              <w:t>Data references</w:t>
            </w:r>
          </w:p>
        </w:tc>
        <w:tc>
          <w:tcPr>
            <w:tcW w:w="4619" w:type="dxa"/>
            <w:tcBorders>
              <w:top w:val="single" w:sz="4" w:space="0" w:color="000000"/>
              <w:start w:val="single" w:sz="4" w:space="0" w:color="000000"/>
              <w:bottom w:val="single" w:sz="4" w:space="0" w:color="000000"/>
            </w:tcBorders>
          </w:tcPr>
          <w:p>
            <w:pPr>
              <w:pStyle w:val="TAL"/>
              <w:rPr/>
            </w:pPr>
            <w:r>
              <w:rPr/>
              <w:t>Specifies which data are monitored for changes. Multiple references may be given. Any change within the referenced data structure causes a notification to be sent. If the parameter is absent, all modifications are notified.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Requestor data</w:t>
            </w:r>
          </w:p>
        </w:tc>
        <w:tc>
          <w:tcPr>
            <w:tcW w:w="4619" w:type="dxa"/>
            <w:tcBorders>
              <w:top w:val="single" w:sz="4" w:space="0" w:color="000000"/>
              <w:start w:val="single" w:sz="4" w:space="0" w:color="000000"/>
              <w:bottom w:val="single" w:sz="4" w:space="0" w:color="000000"/>
            </w:tcBorders>
          </w:tcPr>
          <w:p>
            <w:pPr>
              <w:pStyle w:val="TAL"/>
              <w:rPr/>
            </w:pPr>
            <w:r>
              <w:rPr/>
              <w:t>Specifies the data related to the requestor. These data may be used as input in the authorization process. E.g. end user and application identification. See subclause 4.4.9.</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Filter data</w:t>
            </w:r>
          </w:p>
        </w:tc>
        <w:tc>
          <w:tcPr>
            <w:tcW w:w="4619" w:type="dxa"/>
            <w:tcBorders>
              <w:top w:val="single" w:sz="4" w:space="0" w:color="000000"/>
              <w:start w:val="single" w:sz="4" w:space="0" w:color="000000"/>
              <w:bottom w:val="single" w:sz="4" w:space="0" w:color="000000"/>
            </w:tcBorders>
          </w:tcPr>
          <w:p>
            <w:pPr>
              <w:pStyle w:val="TAL"/>
              <w:rPr/>
            </w:pPr>
            <w:r>
              <w:rPr/>
              <w:t>Specifies additional conditions for sending notifications to optimi</w:t>
            </w:r>
            <w:r>
              <w:rPr>
                <w:lang w:eastAsia="ko-KR"/>
              </w:rPr>
              <w:t>z</w:t>
            </w:r>
            <w:r>
              <w:rPr/>
              <w:t>e the performance e.g. when immediate synchronization is not required. The parameter specifies also whether the initial data values are requested to be reported.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TH"/>
        <w:rPr/>
      </w:pPr>
      <w:r>
        <w:rPr/>
        <w:t>Table 4.29: Response data of Subscribe To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Invoke identification</w:t>
            </w:r>
            <w:r>
              <w:rPr>
                <w:lang w:eastAsia="ko-KR"/>
              </w:rPr>
              <w:t>s</w:t>
            </w:r>
          </w:p>
        </w:tc>
        <w:tc>
          <w:tcPr>
            <w:tcW w:w="4619" w:type="dxa"/>
            <w:tcBorders>
              <w:top w:val="single" w:sz="4" w:space="0" w:color="000000"/>
              <w:start w:val="single" w:sz="4" w:space="0" w:color="000000"/>
              <w:bottom w:val="single" w:sz="4" w:space="0" w:color="000000"/>
            </w:tcBorders>
          </w:tcPr>
          <w:p>
            <w:pPr>
              <w:pStyle w:val="TAL"/>
              <w:rPr>
                <w:lang w:eastAsia="ko-KR"/>
              </w:rPr>
            </w:pPr>
            <w:r>
              <w:rPr/>
              <w:t>Contains the invoke identification assigned by the RAF for this request.</w:t>
            </w:r>
          </w:p>
          <w:p>
            <w:pPr>
              <w:pStyle w:val="TAL"/>
              <w:rPr>
                <w:lang w:eastAsia="ko-KR"/>
              </w:rPr>
            </w:pPr>
            <w:r>
              <w:rPr/>
              <w:t>When the application has requested the list of all its subscriptions, this parameter will contain all the invoke identifications assigned by the RAF to the application.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Indicates whether the procedure was carried out succes</w:t>
            </w:r>
            <w:r>
              <w:rPr>
                <w:lang w:eastAsia="ko-KR"/>
              </w:rPr>
              <w:t>s</w:t>
            </w:r>
            <w:r>
              <w:rPr/>
              <w:t xml:space="preserve">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75" w:name="__RefHeading___Toc287964581"/>
      <w:bookmarkEnd w:id="75"/>
      <w:r>
        <w:rPr/>
        <w:t>4.4.6</w:t>
        <w:tab/>
        <w:t>Unsubscribe To Data procedure</w:t>
      </w:r>
    </w:p>
    <w:p>
      <w:pPr>
        <w:pStyle w:val="Normal"/>
        <w:rPr>
          <w:highlight w:val="yellow"/>
        </w:rPr>
      </w:pPr>
      <w:r>
        <w:rPr/>
        <w:t>Unsubscribe To Data procedure is used by the application to cancel one or several existing subscriptions.</w:t>
      </w:r>
    </w:p>
    <w:p>
      <w:pPr>
        <w:pStyle w:val="TH"/>
        <w:rPr/>
      </w:pPr>
      <w:r>
        <w:rPr/>
        <w:t>Table 4.30: Request data of Unsubscribe To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Invoke identifications</w:t>
            </w:r>
          </w:p>
        </w:tc>
        <w:tc>
          <w:tcPr>
            <w:tcW w:w="4619" w:type="dxa"/>
            <w:tcBorders>
              <w:top w:val="single" w:sz="4" w:space="0" w:color="000000"/>
              <w:start w:val="single" w:sz="4" w:space="0" w:color="000000"/>
              <w:bottom w:val="single" w:sz="4" w:space="0" w:color="000000"/>
            </w:tcBorders>
          </w:tcPr>
          <w:p>
            <w:pPr>
              <w:pStyle w:val="TAL"/>
              <w:rPr/>
            </w:pPr>
            <w:r>
              <w:rPr/>
              <w:t>Specifies one or several invoke identifications assigned by the RAF for the subscriptions.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 xml:space="preserve">Table 4.31: Response data of Unsubscribe To Data procedure </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(like the response itself)</w:t>
            </w:r>
          </w:p>
        </w:tc>
      </w:tr>
    </w:tbl>
    <w:p>
      <w:pPr>
        <w:pStyle w:val="FP"/>
        <w:rPr/>
      </w:pPr>
      <w:r>
        <w:rPr/>
      </w:r>
    </w:p>
    <w:p>
      <w:pPr>
        <w:pStyle w:val="Heading3"/>
        <w:bidi w:val="0"/>
        <w:jc w:val="start"/>
        <w:rPr/>
      </w:pPr>
      <w:bookmarkStart w:id="76" w:name="__RefHeading___Toc287964582"/>
      <w:bookmarkEnd w:id="76"/>
      <w:r>
        <w:rPr/>
        <w:t>4.4.7</w:t>
        <w:tab/>
        <w:t>Notify Data procedure</w:t>
      </w:r>
    </w:p>
    <w:p>
      <w:pPr>
        <w:pStyle w:val="Normal"/>
        <w:rPr/>
      </w:pPr>
      <w:r>
        <w:rPr/>
        <w:t xml:space="preserve">Notify Data procedure is invoked by the RAF when the data which was identified in Subscribe To Data procedure changes or when the invoked Subscribe To Data procedure requested sending of all the initial values of the referenced data. The procedure identifies the changed data and provides the new values. </w:t>
      </w:r>
    </w:p>
    <w:p>
      <w:pPr>
        <w:pStyle w:val="TH"/>
        <w:rPr/>
      </w:pPr>
      <w:r>
        <w:rPr/>
        <w:t>Table 4.32: Request data of Notify Data procedure</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b/>
                <w:b/>
                <w:bCs/>
              </w:rPr>
            </w:pPr>
            <w:r>
              <w:rPr/>
              <w:t>Invoke identification</w:t>
            </w:r>
          </w:p>
        </w:tc>
        <w:tc>
          <w:tcPr>
            <w:tcW w:w="4619" w:type="dxa"/>
            <w:tcBorders>
              <w:top w:val="single" w:sz="4" w:space="0" w:color="000000"/>
              <w:start w:val="single" w:sz="4" w:space="0" w:color="000000"/>
              <w:bottom w:val="single" w:sz="4" w:space="0" w:color="000000"/>
            </w:tcBorders>
          </w:tcPr>
          <w:p>
            <w:pPr>
              <w:pStyle w:val="TAL"/>
              <w:rPr/>
            </w:pPr>
            <w:r>
              <w:rPr/>
              <w:t>Specifies the invoke identification assigned by the RAF for this subscription.</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r>
        <w:trPr/>
        <w:tc>
          <w:tcPr>
            <w:tcW w:w="1701" w:type="dxa"/>
            <w:tcBorders>
              <w:top w:val="single" w:sz="4" w:space="0" w:color="000000"/>
              <w:start w:val="single" w:sz="4" w:space="0" w:color="000000"/>
              <w:bottom w:val="single" w:sz="4" w:space="0" w:color="000000"/>
            </w:tcBorders>
          </w:tcPr>
          <w:p>
            <w:pPr>
              <w:pStyle w:val="TAL"/>
              <w:rPr/>
            </w:pPr>
            <w:r>
              <w:rPr/>
              <w:t>Notified data</w:t>
            </w:r>
          </w:p>
        </w:tc>
        <w:tc>
          <w:tcPr>
            <w:tcW w:w="4619" w:type="dxa"/>
            <w:tcBorders>
              <w:top w:val="single" w:sz="4" w:space="0" w:color="000000"/>
              <w:start w:val="single" w:sz="4" w:space="0" w:color="000000"/>
              <w:bottom w:val="single" w:sz="4" w:space="0" w:color="000000"/>
            </w:tcBorders>
          </w:tcPr>
          <w:p>
            <w:pPr>
              <w:pStyle w:val="TAL"/>
              <w:rPr/>
            </w:pPr>
            <w:r>
              <w:rPr/>
              <w:t>Specifies which data are reported together with the data itself. Multiple pieces of data may be provided.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w:t>
            </w:r>
          </w:p>
        </w:tc>
      </w:tr>
    </w:tbl>
    <w:p>
      <w:pPr>
        <w:pStyle w:val="FP"/>
        <w:rPr/>
      </w:pPr>
      <w:r>
        <w:rPr/>
      </w:r>
    </w:p>
    <w:p>
      <w:pPr>
        <w:pStyle w:val="TH"/>
        <w:rPr/>
      </w:pPr>
      <w:r>
        <w:rPr/>
        <w:t>Table 4.33: Response data of Notify Data procedure (optional)</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Parameter</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Status</w:t>
            </w:r>
          </w:p>
        </w:tc>
        <w:tc>
          <w:tcPr>
            <w:tcW w:w="4619" w:type="dxa"/>
            <w:tcBorders>
              <w:top w:val="single" w:sz="4" w:space="0" w:color="000000"/>
              <w:start w:val="single" w:sz="4" w:space="0" w:color="000000"/>
              <w:bottom w:val="single" w:sz="4" w:space="0" w:color="000000"/>
            </w:tcBorders>
          </w:tcPr>
          <w:p>
            <w:pPr>
              <w:pStyle w:val="TAL"/>
              <w:rPr/>
            </w:pPr>
            <w:r>
              <w:rPr/>
              <w:t xml:space="preserve">Indicates whether the procedure was carried out successfully or whether some failure was detected. The possible errors are described in sufficient detail. </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Mandatory (however the whole response is optional)</w:t>
            </w:r>
          </w:p>
        </w:tc>
      </w:tr>
    </w:tbl>
    <w:p>
      <w:pPr>
        <w:pStyle w:val="FP"/>
        <w:rPr/>
      </w:pPr>
      <w:r>
        <w:rPr/>
      </w:r>
    </w:p>
    <w:p>
      <w:pPr>
        <w:pStyle w:val="Heading3"/>
        <w:bidi w:val="0"/>
        <w:jc w:val="start"/>
        <w:rPr/>
      </w:pPr>
      <w:bookmarkStart w:id="77" w:name="__RefHeading___Toc287964583"/>
      <w:bookmarkEnd w:id="77"/>
      <w:r>
        <w:rPr/>
        <w:t>4.4.8</w:t>
        <w:tab/>
        <w:t>Define Data procedure</w:t>
      </w:r>
    </w:p>
    <w:p>
      <w:pPr>
        <w:pStyle w:val="Normal"/>
        <w:rPr/>
      </w:pPr>
      <w:r>
        <w:rPr/>
        <w:t>Define Data procedure is used by the application to define new data elements to the profile component data structure. The names and types for the new data are specified. This procedure facilitates extension of the profile data with new, proprietary data. Subsequently these data can be handled by the above described procedures e.g. modified by the Modify Data procedure.</w:t>
      </w:r>
    </w:p>
    <w:p>
      <w:pPr>
        <w:pStyle w:val="Heading3"/>
        <w:bidi w:val="0"/>
        <w:jc w:val="start"/>
        <w:rPr/>
      </w:pPr>
      <w:bookmarkStart w:id="78" w:name="__RefHeading___Toc287964584"/>
      <w:bookmarkEnd w:id="78"/>
      <w:r>
        <w:rPr/>
        <w:t>4.4.9</w:t>
        <w:tab/>
        <w:t>Common information definitions</w:t>
      </w:r>
    </w:p>
    <w:p>
      <w:pPr>
        <w:pStyle w:val="Normal"/>
        <w:rPr/>
      </w:pPr>
      <w:r>
        <w:rPr/>
        <w:t>The information elements that are applied in several procedures are described in this subclause.</w:t>
      </w:r>
    </w:p>
    <w:p>
      <w:pPr>
        <w:pStyle w:val="Heading4"/>
        <w:bidi w:val="0"/>
        <w:ind w:start="1418" w:hanging="1418"/>
        <w:jc w:val="start"/>
        <w:rPr/>
      </w:pPr>
      <w:bookmarkStart w:id="79" w:name="__RefHeading___Toc287964585"/>
      <w:bookmarkEnd w:id="79"/>
      <w:r>
        <w:rPr/>
        <w:t>4.4.9.1</w:t>
        <w:tab/>
        <w:t>Requestor data</w:t>
      </w:r>
    </w:p>
    <w:p>
      <w:pPr>
        <w:pStyle w:val="Normal"/>
        <w:rPr/>
      </w:pPr>
      <w:r>
        <w:rPr/>
        <w:t>The Requestor data contain the information that the sender of the request provides in order to facilitate the authorization functions. The access control and user privacy functions work based on these data. Also an unspecified Additional info parameter is defined to carry data e.g. for monitoring or accounting purposes. All the elements are optional. However at least one shall be present if the parameter is applied.</w:t>
      </w:r>
    </w:p>
    <w:p>
      <w:pPr>
        <w:pStyle w:val="TH"/>
        <w:rPr/>
      </w:pPr>
      <w:r>
        <w:rPr/>
        <w:t>Table 4.34: Requestor data</w:t>
      </w:r>
    </w:p>
    <w:tbl>
      <w:tblPr>
        <w:tblW w:w="9366" w:type="dxa"/>
        <w:jc w:val="start"/>
        <w:tblInd w:w="245" w:type="dxa"/>
        <w:tblCellMar>
          <w:top w:w="0" w:type="dxa"/>
          <w:start w:w="108" w:type="dxa"/>
          <w:bottom w:w="0" w:type="dxa"/>
          <w:end w:w="108" w:type="dxa"/>
        </w:tblCellMar>
      </w:tblPr>
      <w:tblGrid>
        <w:gridCol w:w="1701"/>
        <w:gridCol w:w="4619"/>
        <w:gridCol w:w="3046"/>
      </w:tblGrid>
      <w:tr>
        <w:trPr/>
        <w:tc>
          <w:tcPr>
            <w:tcW w:w="1701" w:type="dxa"/>
            <w:tcBorders>
              <w:top w:val="single" w:sz="4" w:space="0" w:color="000000"/>
              <w:start w:val="single" w:sz="4" w:space="0" w:color="000000"/>
              <w:bottom w:val="single" w:sz="4" w:space="0" w:color="000000"/>
            </w:tcBorders>
          </w:tcPr>
          <w:p>
            <w:pPr>
              <w:pStyle w:val="TAH"/>
              <w:rPr/>
            </w:pPr>
            <w:r>
              <w:rPr/>
              <w:t>Element</w:t>
            </w:r>
          </w:p>
        </w:tc>
        <w:tc>
          <w:tcPr>
            <w:tcW w:w="4619" w:type="dxa"/>
            <w:tcBorders>
              <w:top w:val="single" w:sz="4" w:space="0" w:color="000000"/>
              <w:start w:val="single" w:sz="4" w:space="0" w:color="000000"/>
              <w:bottom w:val="single" w:sz="4" w:space="0" w:color="000000"/>
            </w:tcBorders>
          </w:tcPr>
          <w:p>
            <w:pPr>
              <w:pStyle w:val="TAH"/>
              <w:rPr/>
            </w:pPr>
            <w:r>
              <w:rPr/>
              <w:t>Description</w:t>
            </w:r>
          </w:p>
        </w:tc>
        <w:tc>
          <w:tcPr>
            <w:tcW w:w="3046" w:type="dxa"/>
            <w:tcBorders>
              <w:top w:val="single" w:sz="4" w:space="0" w:color="000000"/>
              <w:start w:val="single" w:sz="4" w:space="0" w:color="000000"/>
              <w:bottom w:val="single" w:sz="4" w:space="0" w:color="000000"/>
              <w:end w:val="single" w:sz="4" w:space="0" w:color="000000"/>
            </w:tcBorders>
          </w:tcPr>
          <w:p>
            <w:pPr>
              <w:pStyle w:val="TAH"/>
              <w:rPr/>
            </w:pPr>
            <w:r>
              <w:rPr/>
              <w:t>Use</w:t>
            </w:r>
          </w:p>
        </w:tc>
      </w:tr>
      <w:tr>
        <w:trPr/>
        <w:tc>
          <w:tcPr>
            <w:tcW w:w="1701" w:type="dxa"/>
            <w:tcBorders>
              <w:top w:val="single" w:sz="4" w:space="0" w:color="000000"/>
              <w:start w:val="single" w:sz="4" w:space="0" w:color="000000"/>
              <w:bottom w:val="single" w:sz="4" w:space="0" w:color="000000"/>
            </w:tcBorders>
          </w:tcPr>
          <w:p>
            <w:pPr>
              <w:pStyle w:val="TAL"/>
              <w:rPr/>
            </w:pPr>
            <w:r>
              <w:rPr/>
              <w:t>Subscriber identification</w:t>
            </w:r>
          </w:p>
        </w:tc>
        <w:tc>
          <w:tcPr>
            <w:tcW w:w="4619" w:type="dxa"/>
            <w:tcBorders>
              <w:top w:val="single" w:sz="4" w:space="0" w:color="000000"/>
              <w:start w:val="single" w:sz="4" w:space="0" w:color="000000"/>
              <w:bottom w:val="single" w:sz="4" w:space="0" w:color="000000"/>
            </w:tcBorders>
          </w:tcPr>
          <w:p>
            <w:pPr>
              <w:pStyle w:val="TAL"/>
              <w:rPr/>
            </w:pPr>
            <w:r>
              <w:rPr/>
              <w:t>Specifies the end user being served.</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Application identification</w:t>
            </w:r>
          </w:p>
        </w:tc>
        <w:tc>
          <w:tcPr>
            <w:tcW w:w="4619" w:type="dxa"/>
            <w:tcBorders>
              <w:top w:val="single" w:sz="4" w:space="0" w:color="000000"/>
              <w:start w:val="single" w:sz="4" w:space="0" w:color="000000"/>
              <w:bottom w:val="single" w:sz="4" w:space="0" w:color="000000"/>
            </w:tcBorders>
          </w:tcPr>
          <w:p>
            <w:pPr>
              <w:pStyle w:val="TAL"/>
              <w:rPr/>
            </w:pPr>
            <w:r>
              <w:rPr/>
              <w:t>Specifies the application being served. The RAF has to link the Application identification to the actual sender of the request by the appropriate means taking into account the applied security measures and domains.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Authorization assertion</w:t>
            </w:r>
          </w:p>
        </w:tc>
        <w:tc>
          <w:tcPr>
            <w:tcW w:w="4619" w:type="dxa"/>
            <w:tcBorders>
              <w:top w:val="single" w:sz="4" w:space="0" w:color="000000"/>
              <w:start w:val="single" w:sz="4" w:space="0" w:color="000000"/>
              <w:bottom w:val="single" w:sz="4" w:space="0" w:color="000000"/>
            </w:tcBorders>
          </w:tcPr>
          <w:p>
            <w:pPr>
              <w:pStyle w:val="TAL"/>
              <w:rPr/>
            </w:pPr>
            <w:r>
              <w:rPr/>
              <w:t>Contains the assertion for authorization. The nature of the assertion must be for one time use to prevent replay and cut-and-paste attacks. E.g. digest or signature mechanisms may be applied. The provisioning of the assertions or any related shared secrets is beyond Rp reference point specifications.</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r>
        <w:trPr/>
        <w:tc>
          <w:tcPr>
            <w:tcW w:w="1701" w:type="dxa"/>
            <w:tcBorders>
              <w:top w:val="single" w:sz="4" w:space="0" w:color="000000"/>
              <w:start w:val="single" w:sz="4" w:space="0" w:color="000000"/>
              <w:bottom w:val="single" w:sz="4" w:space="0" w:color="000000"/>
            </w:tcBorders>
          </w:tcPr>
          <w:p>
            <w:pPr>
              <w:pStyle w:val="TAL"/>
              <w:rPr/>
            </w:pPr>
            <w:r>
              <w:rPr/>
              <w:t>Additional info</w:t>
            </w:r>
          </w:p>
        </w:tc>
        <w:tc>
          <w:tcPr>
            <w:tcW w:w="4619" w:type="dxa"/>
            <w:tcBorders>
              <w:top w:val="single" w:sz="4" w:space="0" w:color="000000"/>
              <w:start w:val="single" w:sz="4" w:space="0" w:color="000000"/>
              <w:bottom w:val="single" w:sz="4" w:space="0" w:color="000000"/>
            </w:tcBorders>
          </w:tcPr>
          <w:p>
            <w:pPr>
              <w:pStyle w:val="TAL"/>
              <w:rPr/>
            </w:pPr>
            <w:r>
              <w:rPr/>
              <w:t>Additional unspecified information related to the requestor or request.</w:t>
            </w:r>
          </w:p>
        </w:tc>
        <w:tc>
          <w:tcPr>
            <w:tcW w:w="3046" w:type="dxa"/>
            <w:tcBorders>
              <w:top w:val="single" w:sz="4" w:space="0" w:color="000000"/>
              <w:start w:val="single" w:sz="4" w:space="0" w:color="000000"/>
              <w:bottom w:val="single" w:sz="4" w:space="0" w:color="000000"/>
              <w:end w:val="single" w:sz="4" w:space="0" w:color="000000"/>
            </w:tcBorders>
          </w:tcPr>
          <w:p>
            <w:pPr>
              <w:pStyle w:val="TAL"/>
              <w:rPr/>
            </w:pPr>
            <w:r>
              <w:rPr/>
              <w:t>Optional</w:t>
            </w:r>
          </w:p>
        </w:tc>
      </w:tr>
    </w:tbl>
    <w:p>
      <w:pPr>
        <w:pStyle w:val="FP"/>
        <w:rPr/>
      </w:pPr>
      <w:r>
        <w:rPr/>
      </w:r>
    </w:p>
    <w:p>
      <w:pPr>
        <w:pStyle w:val="Heading3"/>
        <w:bidi w:val="0"/>
        <w:jc w:val="start"/>
        <w:rPr/>
      </w:pPr>
      <w:bookmarkStart w:id="80" w:name="__RefHeading___Toc287964586"/>
      <w:bookmarkEnd w:id="80"/>
      <w:r>
        <w:rPr/>
        <w:t>4.4.10</w:t>
        <w:tab/>
        <w:t>Error handling and common error types</w:t>
      </w:r>
    </w:p>
    <w:p>
      <w:pPr>
        <w:pStyle w:val="Normal"/>
        <w:rPr/>
      </w:pPr>
      <w:r>
        <w:rPr/>
        <w:t>The basic principle in error handling is that all errors in carrying out the procedures lead to complete abortion of the requested operation. The procedure error responses identify the error type together with more detailed information about the cause of the error.</w:t>
      </w:r>
    </w:p>
    <w:p>
      <w:pPr>
        <w:pStyle w:val="Normal"/>
        <w:rPr/>
      </w:pPr>
      <w:r>
        <w:rPr/>
        <w:t>The common error types which can be applied to all procedures contain:</w:t>
      </w:r>
    </w:p>
    <w:p>
      <w:pPr>
        <w:pStyle w:val="TH"/>
        <w:rPr/>
      </w:pPr>
      <w:r>
        <w:rPr/>
        <w:t>Table 4.35: Common error types</w:t>
      </w:r>
    </w:p>
    <w:tbl>
      <w:tblPr>
        <w:tblW w:w="9145" w:type="dxa"/>
        <w:jc w:val="start"/>
        <w:tblInd w:w="715" w:type="dxa"/>
        <w:tblCellMar>
          <w:top w:w="0" w:type="dxa"/>
          <w:start w:w="108" w:type="dxa"/>
          <w:bottom w:w="0" w:type="dxa"/>
          <w:end w:w="108" w:type="dxa"/>
        </w:tblCellMar>
      </w:tblPr>
      <w:tblGrid>
        <w:gridCol w:w="2649"/>
        <w:gridCol w:w="6496"/>
      </w:tblGrid>
      <w:tr>
        <w:trPr/>
        <w:tc>
          <w:tcPr>
            <w:tcW w:w="2649" w:type="dxa"/>
            <w:tcBorders>
              <w:top w:val="single" w:sz="4" w:space="0" w:color="000000"/>
              <w:start w:val="single" w:sz="4" w:space="0" w:color="000000"/>
              <w:bottom w:val="single" w:sz="4" w:space="0" w:color="000000"/>
            </w:tcBorders>
          </w:tcPr>
          <w:p>
            <w:pPr>
              <w:pStyle w:val="TAH"/>
              <w:rPr/>
            </w:pPr>
            <w:r>
              <w:rPr/>
              <w:t>Error</w:t>
            </w:r>
          </w:p>
        </w:tc>
        <w:tc>
          <w:tcPr>
            <w:tcW w:w="6496" w:type="dxa"/>
            <w:tcBorders>
              <w:top w:val="single" w:sz="4" w:space="0" w:color="000000"/>
              <w:start w:val="single" w:sz="4" w:space="0" w:color="000000"/>
              <w:bottom w:val="single" w:sz="4" w:space="0" w:color="000000"/>
              <w:end w:val="single" w:sz="4" w:space="0" w:color="000000"/>
            </w:tcBorders>
          </w:tcPr>
          <w:p>
            <w:pPr>
              <w:pStyle w:val="TAH"/>
              <w:rPr>
                <w:b w:val="false"/>
                <w:b w:val="false"/>
              </w:rPr>
            </w:pPr>
            <w:r>
              <w:rPr>
                <w:b w:val="false"/>
              </w:rPr>
              <w:t>Description</w:t>
            </w:r>
          </w:p>
        </w:tc>
      </w:tr>
      <w:tr>
        <w:trPr/>
        <w:tc>
          <w:tcPr>
            <w:tcW w:w="2649" w:type="dxa"/>
            <w:tcBorders>
              <w:top w:val="single" w:sz="4" w:space="0" w:color="000000"/>
              <w:start w:val="single" w:sz="4" w:space="0" w:color="000000"/>
              <w:bottom w:val="single" w:sz="4" w:space="0" w:color="000000"/>
            </w:tcBorders>
          </w:tcPr>
          <w:p>
            <w:pPr>
              <w:pStyle w:val="TAL"/>
              <w:rPr/>
            </w:pPr>
            <w:r>
              <w:rPr/>
              <w:t>Invalid operation</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The operation is invalid or unsupported.</w:t>
            </w:r>
          </w:p>
        </w:tc>
      </w:tr>
      <w:tr>
        <w:trPr/>
        <w:tc>
          <w:tcPr>
            <w:tcW w:w="2649" w:type="dxa"/>
            <w:tcBorders>
              <w:top w:val="single" w:sz="4" w:space="0" w:color="000000"/>
              <w:start w:val="single" w:sz="4" w:space="0" w:color="000000"/>
              <w:bottom w:val="single" w:sz="4" w:space="0" w:color="000000"/>
            </w:tcBorders>
          </w:tcPr>
          <w:p>
            <w:pPr>
              <w:pStyle w:val="TAL"/>
              <w:rPr/>
            </w:pPr>
            <w:r>
              <w:rPr/>
              <w:t>Invalid parameter</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The given parameter of the operation is invalid.</w:t>
            </w:r>
          </w:p>
        </w:tc>
      </w:tr>
      <w:tr>
        <w:trPr/>
        <w:tc>
          <w:tcPr>
            <w:tcW w:w="2649" w:type="dxa"/>
            <w:tcBorders>
              <w:top w:val="single" w:sz="4" w:space="0" w:color="000000"/>
              <w:start w:val="single" w:sz="4" w:space="0" w:color="000000"/>
              <w:bottom w:val="single" w:sz="4" w:space="0" w:color="000000"/>
            </w:tcBorders>
          </w:tcPr>
          <w:p>
            <w:pPr>
              <w:pStyle w:val="TAL"/>
              <w:rPr/>
            </w:pPr>
            <w:r>
              <w:rPr/>
              <w:t>Unauthorized operation</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There was no authority for the requested operation.</w:t>
            </w:r>
          </w:p>
        </w:tc>
      </w:tr>
      <w:tr>
        <w:trPr/>
        <w:tc>
          <w:tcPr>
            <w:tcW w:w="2649" w:type="dxa"/>
            <w:tcBorders>
              <w:top w:val="single" w:sz="4" w:space="0" w:color="000000"/>
              <w:start w:val="single" w:sz="4" w:space="0" w:color="000000"/>
              <w:bottom w:val="single" w:sz="4" w:space="0" w:color="000000"/>
            </w:tcBorders>
          </w:tcPr>
          <w:p>
            <w:pPr>
              <w:pStyle w:val="TAL"/>
              <w:rPr/>
            </w:pPr>
            <w:r>
              <w:rPr/>
              <w:t>Data unavailable</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The requested data were not available.</w:t>
            </w:r>
          </w:p>
        </w:tc>
      </w:tr>
      <w:tr>
        <w:trPr/>
        <w:tc>
          <w:tcPr>
            <w:tcW w:w="2649" w:type="dxa"/>
            <w:tcBorders>
              <w:top w:val="single" w:sz="4" w:space="0" w:color="000000"/>
              <w:start w:val="single" w:sz="4" w:space="0" w:color="000000"/>
              <w:bottom w:val="single" w:sz="4" w:space="0" w:color="000000"/>
            </w:tcBorders>
          </w:tcPr>
          <w:p>
            <w:pPr>
              <w:pStyle w:val="TAL"/>
              <w:rPr/>
            </w:pPr>
            <w:r>
              <w:rPr/>
              <w:t>Unexpected error</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An unexpected error condition was met.</w:t>
            </w:r>
          </w:p>
        </w:tc>
      </w:tr>
      <w:tr>
        <w:trPr/>
        <w:tc>
          <w:tcPr>
            <w:tcW w:w="2649" w:type="dxa"/>
            <w:tcBorders>
              <w:top w:val="single" w:sz="4" w:space="0" w:color="000000"/>
              <w:start w:val="single" w:sz="4" w:space="0" w:color="000000"/>
              <w:bottom w:val="single" w:sz="4" w:space="0" w:color="000000"/>
            </w:tcBorders>
          </w:tcPr>
          <w:p>
            <w:pPr>
              <w:pStyle w:val="TAL"/>
              <w:rPr/>
            </w:pPr>
            <w:r>
              <w:rPr/>
              <w:t>Authentication error</w:t>
            </w:r>
          </w:p>
        </w:tc>
        <w:tc>
          <w:tcPr>
            <w:tcW w:w="6496" w:type="dxa"/>
            <w:tcBorders>
              <w:top w:val="single" w:sz="4" w:space="0" w:color="000000"/>
              <w:start w:val="single" w:sz="4" w:space="0" w:color="000000"/>
              <w:bottom w:val="single" w:sz="4" w:space="0" w:color="000000"/>
              <w:end w:val="single" w:sz="4" w:space="0" w:color="000000"/>
            </w:tcBorders>
          </w:tcPr>
          <w:p>
            <w:pPr>
              <w:pStyle w:val="TAL"/>
              <w:rPr/>
            </w:pPr>
            <w:r>
              <w:rPr/>
              <w:t>The authentication of the requestor has failed.</w:t>
            </w:r>
          </w:p>
        </w:tc>
      </w:tr>
    </w:tbl>
    <w:p>
      <w:pPr>
        <w:pStyle w:val="FP"/>
        <w:rPr>
          <w:lang w:eastAsia="ko-KR"/>
        </w:rPr>
      </w:pPr>
      <w:r>
        <w:rPr>
          <w:lang w:eastAsia="ko-KR"/>
        </w:rPr>
      </w:r>
    </w:p>
    <w:p>
      <w:pPr>
        <w:pStyle w:val="Heading1"/>
        <w:bidi w:val="0"/>
        <w:ind w:start="1134" w:hanging="1134"/>
        <w:jc w:val="start"/>
        <w:rPr/>
      </w:pPr>
      <w:bookmarkStart w:id="81" w:name="__RefHeading___Toc287964587"/>
      <w:bookmarkEnd w:id="81"/>
      <w:r>
        <w:rPr/>
        <w:t>5</w:t>
        <w:tab/>
        <w:t>GUP information model</w:t>
      </w:r>
    </w:p>
    <w:p>
      <w:pPr>
        <w:pStyle w:val="Normal"/>
        <w:rPr>
          <w:lang w:eastAsia="ko-KR"/>
        </w:rPr>
      </w:pPr>
      <w:r>
        <w:rPr/>
        <w:t>A Generic User Profile consists of a number of independent GUP Components. However</w:t>
      </w:r>
      <w:r>
        <w:rPr>
          <w:lang w:eastAsia="ko-KR"/>
        </w:rPr>
        <w:t>,</w:t>
      </w:r>
      <w:r>
        <w:rPr/>
        <w:t xml:space="preserve"> a GUP Component may contain (i.e. reference) other GUP components e.g. to enable reuse of data.</w:t>
      </w:r>
    </w:p>
    <w:p>
      <w:pPr>
        <w:pStyle w:val="Normal"/>
        <w:rPr/>
      </w:pPr>
      <w:r>
        <w:rPr/>
        <w:t>The GUP Component has a unique identity within the Generic User Profile. In addition to the component type the component identity contains either a subscriber identity or more generic identification depending on which kind of component is in question. A GUP Component can be retrieved through one RAF, and it may consist of a number of GUP Components, Data Element Groups and/or Data Elements.</w:t>
      </w:r>
    </w:p>
    <w:p>
      <w:pPr>
        <w:pStyle w:val="Normal"/>
        <w:rPr/>
      </w:pPr>
      <w:r>
        <w:rPr/>
        <w:t>A GUP Component contains zero or more Data Element Groups. The Data Element Group contains indivisible Data Elements and/or Data Element Groups. The nested Data Elements Groups allow deeper hierarchi</w:t>
      </w:r>
      <w:r>
        <w:rPr>
          <w:lang w:eastAsia="ko-KR"/>
        </w:rPr>
        <w:t>c</w:t>
      </w:r>
      <w:r>
        <w:rPr/>
        <w:t>al structures. The Data Element Group in the lowest hierarchical level contains one or more Data Elements. The Data Element Groups inside a GUP Component may be of the same or different types.</w:t>
      </w:r>
    </w:p>
    <w:p>
      <w:pPr>
        <w:pStyle w:val="Normal"/>
        <w:rPr/>
      </w:pPr>
      <w:r>
        <w:rPr/>
        <w:t>Alternatively the GUP Component may contain zero or more Data Elements without the Data Element Groups. A GUP component shall have at least one Data Element Group or Data Element.</w:t>
      </w:r>
    </w:p>
    <w:p>
      <w:pPr>
        <w:pStyle w:val="Normal"/>
        <w:rPr/>
      </w:pPr>
      <w:r>
        <w:rPr/>
        <w:t>A Composite Datatype is used to define the structure of the whole GUP Component. The structure includes definition about what kind of Data Element Groups and/or which Data Elements belong to the defined GUP Component as well as the data types and valid values of the data.</w:t>
      </w:r>
    </w:p>
    <w:p>
      <w:pPr>
        <w:pStyle w:val="Normal"/>
        <w:rPr/>
      </w:pPr>
      <w:r>
        <w:rPr/>
        <w:t>The UML Class Diagram below illustrates the basic concepts of the GUP Information Model.</w:t>
      </w:r>
    </w:p>
    <w:p>
      <w:pPr>
        <w:pStyle w:val="TH"/>
        <w:rPr/>
      </w:pPr>
      <w:bookmarkStart w:id="82" w:name="_1290841618"/>
      <w:bookmarkEnd w:id="82"/>
      <w:r>
        <w:rPr/>
        <w:object w:dxaOrig="9029" w:dyaOrig="4889">
          <v:shape id="ole_rId22" style="width:451.45pt;height:244.45pt" o:ole="">
            <v:imagedata r:id="rId23" o:title=""/>
          </v:shape>
          <o:OLEObject Type="Embed" ProgID="" ShapeID="ole_rId22" DrawAspect="Content" ObjectID="_1362721404" r:id="rId22"/>
        </w:object>
      </w:r>
    </w:p>
    <w:p>
      <w:pPr>
        <w:pStyle w:val="TF"/>
        <w:rPr/>
      </w:pPr>
      <w:r>
        <w:rPr/>
        <w:t>Figure 5.1: The basic concepts of GUP</w:t>
      </w:r>
    </w:p>
    <w:p>
      <w:pPr>
        <w:pStyle w:val="Normal"/>
        <w:rPr/>
      </w:pPr>
      <w:r>
        <w:rPr/>
        <w:t>GUP defines an Authorisation Component, which is just like any other GUP Component.</w:t>
      </w:r>
      <w:r>
        <w:rPr>
          <w:color w:val="008080"/>
        </w:rPr>
        <w:t xml:space="preserve"> </w:t>
      </w:r>
      <w:r>
        <w:rPr/>
        <w:t>This implies that the same capabilities as for any GUP Component (e.g. identities and structure) are also applied to the Authorisation Component. The Authorisation Component is able to reference any element of the GUP Information Model and define the authorisation regarding those elements. The Authorisation Component may be either subscriber specific or common to several subscribers and/or elements of the GUP Information Model.</w:t>
      </w:r>
    </w:p>
    <w:p>
      <w:pPr>
        <w:pStyle w:val="Normal"/>
        <w:rPr/>
      </w:pPr>
      <w:r>
        <w:rPr/>
        <w:t>Note that any GUP Component may include additional data items, which are used (e.g. by RAF) for the authorisation purposes but those are seen as a part of the data specific to a certain GUP Component, and thus not a part of the generic authorisation specified by GUP.</w:t>
      </w:r>
    </w:p>
    <w:p>
      <w:pPr>
        <w:pStyle w:val="Normal"/>
        <w:rPr/>
      </w:pPr>
      <w:r>
        <w:rPr/>
        <w:t>Figure 5.2 presents an example structure of Generic User Profile with the terms used in the UML Class Diagram. Note that the data structure may be also deeper than shown in the example figure, e.g., the Data Element Groups might consist of nested Data Element Groups.</w:t>
      </w:r>
    </w:p>
    <w:p>
      <w:pPr>
        <w:pStyle w:val="TH"/>
        <w:rPr/>
      </w:pPr>
      <w:bookmarkStart w:id="83" w:name="_1290841683"/>
      <w:bookmarkEnd w:id="83"/>
      <w:r>
        <w:rPr/>
        <w:object w:dxaOrig="12014" w:dyaOrig="13935">
          <v:shape id="ole_rId24" style="width:448.7pt;height:520.45pt" o:ole="">
            <v:imagedata r:id="rId25" o:title=""/>
          </v:shape>
          <o:OLEObject Type="Embed" ProgID="" ShapeID="ole_rId24" DrawAspect="Content" ObjectID="_625677454" r:id="rId24"/>
        </w:object>
      </w:r>
    </w:p>
    <w:p>
      <w:pPr>
        <w:pStyle w:val="TF"/>
        <w:rPr/>
      </w:pPr>
      <w:r>
        <w:rPr/>
        <w:t>Figure 5.2: Example structure of GUP information</w:t>
      </w:r>
    </w:p>
    <w:p>
      <w:pPr>
        <w:pStyle w:val="Normal"/>
        <w:rPr/>
      </w:pPr>
      <w:r>
        <w:rPr/>
        <w:t>One purpose of the example structure is to clarify the intended relation between the UML Class Diagram and the hierarchical structure of GUP in terms of XML. Use of XML fulfils the requirements for the architectural structure of the GUP information model.</w:t>
      </w:r>
    </w:p>
    <w:p>
      <w:pPr>
        <w:pStyle w:val="Normal"/>
        <w:rPr/>
      </w:pPr>
      <w:r>
        <w:rPr/>
        <w:t xml:space="preserve">Each Generic User Profile consists of one or several GUP Components depending on the nature of the user related data. GUP Components are independent XML documents. The Generic User Profile is thus formed of a number of XML documents.  </w:t>
      </w:r>
    </w:p>
    <w:p>
      <w:pPr>
        <w:pStyle w:val="Normal"/>
        <w:rPr/>
      </w:pPr>
      <w:r>
        <w:rPr/>
        <w:t>Each GUP Component consists of GUP Components, Data Elements and/or Data Element Groups as defined in the component specific definitions. In XML terms the Data Elements are XML elements. The Data Element Group is a structured XML element with an arbitrarily deep data structure.</w:t>
      </w:r>
      <w:r>
        <w:br w:type="page"/>
      </w:r>
    </w:p>
    <w:p>
      <w:pPr>
        <w:pStyle w:val="Heading8"/>
        <w:bidi w:val="0"/>
        <w:ind w:start="0" w:hanging="0"/>
        <w:jc w:val="start"/>
        <w:rPr/>
      </w:pPr>
      <w:bookmarkStart w:id="84" w:name="__RefHeading___Toc287964588"/>
      <w:bookmarkEnd w:id="84"/>
      <w:r>
        <w:rPr/>
        <w:t>Annex A (informative):</w:t>
        <w:br/>
        <w:t>Examples of 3GPP Generic User Profile usage</w:t>
      </w:r>
    </w:p>
    <w:p>
      <w:pPr>
        <w:pStyle w:val="H6"/>
        <w:bidi w:val="0"/>
        <w:jc w:val="start"/>
        <w:rPr>
          <w:b/>
          <w:b/>
        </w:rPr>
      </w:pPr>
      <w:r>
        <w:rPr>
          <w:b/>
        </w:rPr>
        <w:t>Example 1: GUP Usage with Subscription Management</w:t>
      </w:r>
    </w:p>
    <w:p>
      <w:pPr>
        <w:pStyle w:val="Normal"/>
        <w:rPr/>
      </w:pPr>
      <w:r>
        <w:rPr/>
        <w:t>An application is accessing targeted subscriber’s subscription data (HSS GUP Component) stored in the HSS. It is assumed that RAF is implemented in the HSS and the targeted HSS GUP Component has been created by using the Create Component procedure. The application in this case can be e.g. a Subscription Management application, a service application or any third party application that is interested in the subscription data of a specific subscriber in operator A’s network.</w:t>
      </w:r>
    </w:p>
    <w:p>
      <w:pPr>
        <w:pStyle w:val="Normal"/>
        <w:rPr/>
      </w:pPr>
      <w:r>
        <w:rPr/>
        <w:t>The example of the interworking interface diagram is shown in Figure A.2. In this example GUP Server is working in the proxy mode of operation.</w:t>
      </w:r>
    </w:p>
    <w:p>
      <w:pPr>
        <w:pStyle w:val="TH"/>
        <w:rPr/>
      </w:pPr>
      <w:bookmarkStart w:id="85" w:name="_1290841788"/>
      <w:bookmarkEnd w:id="85"/>
      <w:r>
        <w:rPr/>
        <w:object w:dxaOrig="8669" w:dyaOrig="3974">
          <v:shape id="ole_rId26" style="width:390.1pt;height:178.8pt" o:ole="">
            <v:imagedata r:id="rId27" o:title=""/>
          </v:shape>
          <o:OLEObject Type="Embed" ProgID="" ShapeID="ole_rId26" DrawAspect="Content" ObjectID="_542744639" r:id="rId26"/>
        </w:object>
      </w:r>
    </w:p>
    <w:p>
      <w:pPr>
        <w:pStyle w:val="TF"/>
        <w:rPr/>
      </w:pPr>
      <w:r>
        <w:rPr/>
        <w:t>Figure A.2: An Example of the Interworking Diagram between GUP and an Application</w:t>
      </w:r>
    </w:p>
    <w:p>
      <w:pPr>
        <w:pStyle w:val="Normal"/>
        <w:rPr/>
      </w:pPr>
      <w:r>
        <w:rPr/>
        <w:t>The interworking steps between the Application, GUP Server and HSS are summarised below:</w:t>
      </w:r>
    </w:p>
    <w:p>
      <w:pPr>
        <w:pStyle w:val="Normal"/>
        <w:rPr/>
      </w:pPr>
      <w:r>
        <w:rPr/>
        <w:t>Step 1: Application A invokes a Query procedure to the GUP Server including the targeted subscriber’s public user identity joe.doe@operatorA.com in the Resource Identity parameter. The HSS GUP Component will be included in the Data Reference parameter clarifying the targeted data (component type) that the application is interested in. Also specific data (i.e. XML Data Element) within one GUP Component can be requested. Application A’s identity is included in the Requestor data parameter for the identification and authorisation purposes of the request.</w:t>
      </w:r>
    </w:p>
    <w:p>
      <w:pPr>
        <w:pStyle w:val="Normal"/>
        <w:rPr/>
      </w:pPr>
      <w:r>
        <w:rPr/>
        <w:t xml:space="preserve">Step 2: GUP Server authenticates the application and authorises the request with the result that Application A is allowed to access the HSS GUP Component of the subscriber </w:t>
      </w:r>
      <w:hyperlink r:id="rId28">
        <w:r>
          <w:rPr>
            <w:rStyle w:val="InternetLink"/>
          </w:rPr>
          <w:t>joe.doe@operatorA.com</w:t>
        </w:r>
      </w:hyperlink>
      <w:r>
        <w:rPr/>
        <w:t>.</w:t>
      </w:r>
    </w:p>
    <w:p>
      <w:pPr>
        <w:pStyle w:val="Normal"/>
        <w:rPr/>
      </w:pPr>
      <w:r>
        <w:rPr/>
        <w:t>Step 3: GUP Server locates the target GUP Data Repository (RAF address), i.e. that the HSS GUP Component of the subscriber joe.doe@operatorA.com is located in the HSS 1, and invokes Read data procedure to HSS 1.</w:t>
      </w:r>
    </w:p>
    <w:p>
      <w:pPr>
        <w:pStyle w:val="Normal"/>
        <w:rPr/>
      </w:pPr>
      <w:r>
        <w:rPr/>
        <w:t>Step 4: HSS 1 makes an internal query by using the public user identity joe.doe@operatorA.com and returns a response to Read data procedure to the GUP Server including the requested HSS GUP Component data of the subscriber joe.doe@operatorA.com.</w:t>
      </w:r>
    </w:p>
    <w:p>
      <w:pPr>
        <w:pStyle w:val="Normal"/>
        <w:rPr/>
      </w:pPr>
      <w:r>
        <w:rPr/>
        <w:t>Step 5: GUP Server passes the received response to Query procedure further to Application A.</w:t>
      </w:r>
    </w:p>
    <w:p>
      <w:pPr>
        <w:pStyle w:val="Normal"/>
        <w:rPr/>
      </w:pPr>
      <w:r>
        <w:rPr/>
        <w:t>The GUP Server may retrieve authorisation GUP Components from a RAF, if it does not hold sufficient information by itself to carry out the authorisation.</w:t>
      </w:r>
    </w:p>
    <w:p>
      <w:pPr>
        <w:pStyle w:val="Normal"/>
        <w:rPr>
          <w:lang w:val="en-US" w:eastAsia="en-US"/>
        </w:rPr>
      </w:pPr>
      <w:r>
        <w:rPr/>
        <w:t>If necessary, e.g. when the application requests several GUP Components, or the whole profile including several GUP components in different repositories, GUP Server can invoke several requests to various RAFs and combine responses to one response when returning a response to the application.</w:t>
      </w:r>
      <w:r>
        <w:br w:type="page"/>
      </w:r>
    </w:p>
    <w:p>
      <w:pPr>
        <w:pStyle w:val="Heading8"/>
        <w:bidi w:val="0"/>
        <w:ind w:start="0" w:hanging="0"/>
        <w:jc w:val="start"/>
        <w:rPr/>
      </w:pPr>
      <w:bookmarkStart w:id="86" w:name="__RefHeading___Toc287964589"/>
      <w:bookmarkEnd w:id="86"/>
      <w:r>
        <w:rPr/>
        <w:t>Annex B (informative):</w:t>
        <w:br/>
        <w:t>3GPP Generic User Profile candidates</w:t>
      </w:r>
    </w:p>
    <w:p>
      <w:pPr>
        <w:pStyle w:val="Normal"/>
        <w:keepNext w:val="true"/>
        <w:keepLines/>
        <w:rPr/>
      </w:pPr>
      <w:r>
        <w:rPr/>
        <w:t>This table lists the Generic User Profile candidates grouped per GUP access. It gives for each data access, the supplier, the consumer and the data repository. The applied categorization of the data in the table does not imply similar GUP component structure.</w:t>
      </w:r>
    </w:p>
    <w:p>
      <w:pPr>
        <w:pStyle w:val="TH"/>
        <w:spacing w:before="0" w:after="0"/>
        <w:rPr>
          <w:sz w:val="8"/>
          <w:szCs w:val="8"/>
        </w:rPr>
      </w:pPr>
      <w:r>
        <w:rPr>
          <w:sz w:val="8"/>
          <w:szCs w:val="8"/>
        </w:rPr>
      </w:r>
    </w:p>
    <w:tbl>
      <w:tblPr>
        <w:tblW w:w="9865" w:type="dxa"/>
        <w:jc w:val="start"/>
        <w:tblInd w:w="-5" w:type="dxa"/>
        <w:tblCellMar>
          <w:top w:w="0" w:type="dxa"/>
          <w:start w:w="108" w:type="dxa"/>
          <w:bottom w:w="0" w:type="dxa"/>
          <w:end w:w="108" w:type="dxa"/>
        </w:tblCellMar>
      </w:tblPr>
      <w:tblGrid>
        <w:gridCol w:w="1971"/>
        <w:gridCol w:w="1256"/>
        <w:gridCol w:w="1417"/>
        <w:gridCol w:w="3686"/>
        <w:gridCol w:w="1535"/>
      </w:tblGrid>
      <w:tr>
        <w:trPr/>
        <w:tc>
          <w:tcPr>
            <w:tcW w:w="1971" w:type="dxa"/>
            <w:tcBorders>
              <w:top w:val="single" w:sz="4" w:space="0" w:color="000000"/>
              <w:start w:val="single" w:sz="4" w:space="0" w:color="000000"/>
              <w:bottom w:val="single" w:sz="4" w:space="0" w:color="000000"/>
            </w:tcBorders>
          </w:tcPr>
          <w:p>
            <w:pPr>
              <w:pStyle w:val="TAH"/>
              <w:rPr/>
            </w:pPr>
            <w:r>
              <w:rPr/>
              <w:t>GUP access</w:t>
            </w:r>
          </w:p>
        </w:tc>
        <w:tc>
          <w:tcPr>
            <w:tcW w:w="1256" w:type="dxa"/>
            <w:tcBorders>
              <w:top w:val="single" w:sz="4" w:space="0" w:color="000000"/>
              <w:start w:val="single" w:sz="4" w:space="0" w:color="000000"/>
              <w:bottom w:val="single" w:sz="4" w:space="0" w:color="000000"/>
            </w:tcBorders>
          </w:tcPr>
          <w:p>
            <w:pPr>
              <w:pStyle w:val="TAH"/>
              <w:rPr/>
            </w:pPr>
            <w:r>
              <w:rPr/>
              <w:t>Supplier</w:t>
            </w:r>
          </w:p>
        </w:tc>
        <w:tc>
          <w:tcPr>
            <w:tcW w:w="1417" w:type="dxa"/>
            <w:tcBorders>
              <w:top w:val="single" w:sz="4" w:space="0" w:color="000000"/>
              <w:start w:val="single" w:sz="4" w:space="0" w:color="000000"/>
              <w:bottom w:val="single" w:sz="4" w:space="0" w:color="000000"/>
            </w:tcBorders>
          </w:tcPr>
          <w:p>
            <w:pPr>
              <w:pStyle w:val="TAH"/>
              <w:rPr/>
            </w:pPr>
            <w:r>
              <w:rPr/>
              <w:t>Data repository</w:t>
            </w:r>
          </w:p>
        </w:tc>
        <w:tc>
          <w:tcPr>
            <w:tcW w:w="3686" w:type="dxa"/>
            <w:tcBorders>
              <w:top w:val="single" w:sz="4" w:space="0" w:color="000000"/>
              <w:start w:val="single" w:sz="4" w:space="0" w:color="000000"/>
              <w:bottom w:val="single" w:sz="4" w:space="0" w:color="000000"/>
            </w:tcBorders>
          </w:tcPr>
          <w:p>
            <w:pPr>
              <w:pStyle w:val="TAH"/>
              <w:rPr/>
            </w:pPr>
            <w:r>
              <w:rPr/>
              <w:t>Description of the data</w:t>
            </w:r>
          </w:p>
        </w:tc>
        <w:tc>
          <w:tcPr>
            <w:tcW w:w="1535" w:type="dxa"/>
            <w:tcBorders>
              <w:top w:val="single" w:sz="4" w:space="0" w:color="000000"/>
              <w:start w:val="single" w:sz="4" w:space="0" w:color="000000"/>
              <w:bottom w:val="single" w:sz="4" w:space="0" w:color="000000"/>
              <w:end w:val="single" w:sz="4" w:space="0" w:color="000000"/>
            </w:tcBorders>
          </w:tcPr>
          <w:p>
            <w:pPr>
              <w:pStyle w:val="TAH"/>
              <w:rPr/>
            </w:pPr>
            <w:r>
              <w:rPr/>
              <w:t>Consumer</w:t>
            </w:r>
          </w:p>
        </w:tc>
      </w:tr>
      <w:tr>
        <w:trPr/>
        <w:tc>
          <w:tcPr>
            <w:tcW w:w="1971" w:type="dxa"/>
            <w:tcBorders>
              <w:top w:val="single" w:sz="4" w:space="0" w:color="000000"/>
              <w:start w:val="single" w:sz="4" w:space="0" w:color="000000"/>
              <w:bottom w:val="single" w:sz="4" w:space="0" w:color="000000"/>
            </w:tcBorders>
          </w:tcPr>
          <w:p>
            <w:pPr>
              <w:pStyle w:val="TAL"/>
              <w:rPr/>
            </w:pPr>
            <w:r>
              <w:rPr/>
              <w:t>General user data for IMS</w:t>
            </w:r>
          </w:p>
        </w:tc>
        <w:tc>
          <w:tcPr>
            <w:tcW w:w="1256" w:type="dxa"/>
            <w:tcBorders>
              <w:top w:val="single" w:sz="4" w:space="0" w:color="000000"/>
              <w:start w:val="single" w:sz="4" w:space="0" w:color="000000"/>
              <w:bottom w:val="single" w:sz="4" w:space="0" w:color="000000"/>
            </w:tcBorders>
          </w:tcPr>
          <w:p>
            <w:pPr>
              <w:pStyle w:val="TAL"/>
              <w:rPr/>
            </w:pPr>
            <w:r>
              <w:rPr/>
              <w:t>AS manager</w:t>
            </w:r>
          </w:p>
        </w:tc>
        <w:tc>
          <w:tcPr>
            <w:tcW w:w="1417" w:type="dxa"/>
            <w:tcBorders>
              <w:top w:val="single" w:sz="4" w:space="0" w:color="000000"/>
              <w:start w:val="single" w:sz="4" w:space="0" w:color="000000"/>
              <w:bottom w:val="single" w:sz="4" w:space="0" w:color="000000"/>
            </w:tcBorders>
          </w:tcPr>
          <w:p>
            <w:pPr>
              <w:pStyle w:val="TAL"/>
              <w:rPr/>
            </w:pPr>
            <w:r>
              <w:rPr/>
              <w:t>AS</w:t>
            </w:r>
          </w:p>
        </w:tc>
        <w:tc>
          <w:tcPr>
            <w:tcW w:w="3686" w:type="dxa"/>
            <w:tcBorders>
              <w:top w:val="single" w:sz="4" w:space="0" w:color="000000"/>
              <w:start w:val="single" w:sz="4" w:space="0" w:color="000000"/>
              <w:bottom w:val="single" w:sz="4" w:space="0" w:color="000000"/>
            </w:tcBorders>
          </w:tcPr>
          <w:p>
            <w:pPr>
              <w:pStyle w:val="TAL"/>
              <w:rPr/>
            </w:pPr>
            <w:r>
              <w:rPr/>
              <w:t>ISIM subscriber data for IMS:</w:t>
            </w:r>
          </w:p>
          <w:p>
            <w:pPr>
              <w:pStyle w:val="TAL"/>
              <w:rPr/>
            </w:pPr>
            <w:r>
              <w:rPr/>
              <w:t>- Private &amp; Public SIP URI of the user</w:t>
            </w:r>
          </w:p>
          <w:p>
            <w:pPr>
              <w:pStyle w:val="TAL"/>
              <w:rPr/>
            </w:pPr>
            <w:r>
              <w:rPr/>
              <w:t>- Settings back up/restore</w:t>
            </w:r>
          </w:p>
          <w:p>
            <w:pPr>
              <w:pStyle w:val="TAL"/>
              <w:rPr/>
            </w:pPr>
            <w:r>
              <w:rPr/>
              <w:t>- Preferences (e.g. languages)</w:t>
            </w:r>
          </w:p>
          <w:p>
            <w:pPr>
              <w:pStyle w:val="TAL"/>
              <w:rPr/>
            </w:pPr>
            <w:r>
              <w:rPr/>
              <w:t>- Phone books</w:t>
            </w:r>
          </w:p>
          <w:p>
            <w:pPr>
              <w:pStyle w:val="TAL"/>
              <w:rPr/>
            </w:pPr>
            <w:r>
              <w:rPr/>
              <w:t>- Buddy list</w:t>
            </w:r>
          </w:p>
          <w:p>
            <w:pPr>
              <w:pStyle w:val="TAL"/>
              <w:rPr/>
            </w:pPr>
            <w:r>
              <w:rPr/>
              <w:t>- Available services</w:t>
            </w:r>
          </w:p>
          <w:p>
            <w:pPr>
              <w:pStyle w:val="TAL"/>
              <w:rPr/>
            </w:pPr>
            <w:r>
              <w:rPr/>
              <w:t>- Service capabilities</w:t>
            </w:r>
          </w:p>
          <w:p>
            <w:pPr>
              <w:pStyle w:val="TAL"/>
              <w:rPr/>
            </w:pPr>
            <w:r>
              <w:rPr/>
              <w:t>- Active service profile</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S-CSCF</w:t>
            </w:r>
          </w:p>
          <w:p>
            <w:pPr>
              <w:pStyle w:val="TAL"/>
              <w:rPr/>
            </w:pPr>
            <w:r>
              <w:rPr/>
            </w:r>
          </w:p>
        </w:tc>
      </w:tr>
      <w:tr>
        <w:trPr/>
        <w:tc>
          <w:tcPr>
            <w:tcW w:w="1971" w:type="dxa"/>
            <w:tcBorders>
              <w:top w:val="single" w:sz="4" w:space="0" w:color="000000"/>
              <w:start w:val="single" w:sz="4" w:space="0" w:color="000000"/>
              <w:bottom w:val="single" w:sz="4" w:space="0" w:color="000000"/>
            </w:tcBorders>
          </w:tcPr>
          <w:p>
            <w:pPr>
              <w:pStyle w:val="TAL"/>
              <w:rPr/>
            </w:pPr>
            <w:r>
              <w:rPr/>
              <w:t>MMS VASP applications</w:t>
            </w:r>
          </w:p>
          <w:p>
            <w:pPr>
              <w:pStyle w:val="TAL"/>
              <w:rPr/>
            </w:pPr>
            <w:r>
              <w:rPr/>
            </w:r>
          </w:p>
          <w:p>
            <w:pPr>
              <w:pStyle w:val="TAL"/>
              <w:rPr/>
            </w:pPr>
            <w:r>
              <w:rPr/>
              <w:t>Ref 23.141</w:t>
            </w:r>
          </w:p>
        </w:tc>
        <w:tc>
          <w:tcPr>
            <w:tcW w:w="1256" w:type="dxa"/>
            <w:tcBorders>
              <w:top w:val="single" w:sz="4" w:space="0" w:color="000000"/>
              <w:start w:val="single" w:sz="4" w:space="0" w:color="000000"/>
              <w:bottom w:val="single" w:sz="4" w:space="0" w:color="000000"/>
            </w:tcBorders>
          </w:tcPr>
          <w:p>
            <w:pPr>
              <w:pStyle w:val="TAL"/>
              <w:rPr/>
            </w:pPr>
            <w:r>
              <w:rPr/>
              <w:t>AS manager</w:t>
            </w:r>
          </w:p>
        </w:tc>
        <w:tc>
          <w:tcPr>
            <w:tcW w:w="1417" w:type="dxa"/>
            <w:tcBorders>
              <w:top w:val="single" w:sz="4" w:space="0" w:color="000000"/>
              <w:start w:val="single" w:sz="4" w:space="0" w:color="000000"/>
              <w:bottom w:val="single" w:sz="4" w:space="0" w:color="000000"/>
            </w:tcBorders>
          </w:tcPr>
          <w:p>
            <w:pPr>
              <w:pStyle w:val="TAL"/>
              <w:rPr/>
            </w:pPr>
            <w:r>
              <w:rPr/>
              <w:t>AS</w:t>
            </w:r>
          </w:p>
        </w:tc>
        <w:tc>
          <w:tcPr>
            <w:tcW w:w="3686" w:type="dxa"/>
            <w:tcBorders>
              <w:top w:val="single" w:sz="4" w:space="0" w:color="000000"/>
              <w:start w:val="single" w:sz="4" w:space="0" w:color="000000"/>
              <w:bottom w:val="single" w:sz="4" w:space="0" w:color="000000"/>
            </w:tcBorders>
          </w:tcPr>
          <w:p>
            <w:pPr>
              <w:pStyle w:val="TAL"/>
              <w:rPr/>
            </w:pPr>
            <w:r>
              <w:rPr/>
              <w:t>MMS application specific data:</w:t>
            </w:r>
          </w:p>
          <w:p>
            <w:pPr>
              <w:pStyle w:val="TAL"/>
              <w:rPr/>
            </w:pPr>
            <w:r>
              <w:rPr/>
              <w:t>- Authorization</w:t>
            </w:r>
          </w:p>
          <w:p>
            <w:pPr>
              <w:pStyle w:val="TAL"/>
              <w:rPr/>
            </w:pPr>
            <w:r>
              <w:rPr/>
              <w:t>- Confidentiality</w:t>
            </w:r>
          </w:p>
          <w:p>
            <w:pPr>
              <w:pStyle w:val="TAL"/>
              <w:rPr/>
            </w:pPr>
            <w:r>
              <w:rPr/>
              <w:t>- Charging information</w:t>
            </w:r>
          </w:p>
          <w:p>
            <w:pPr>
              <w:pStyle w:val="TAL"/>
              <w:rPr/>
            </w:pPr>
            <w:r>
              <w:rPr/>
              <w:t>- Message distribution</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MMS server</w:t>
            </w:r>
          </w:p>
        </w:tc>
      </w:tr>
      <w:tr>
        <w:trPr/>
        <w:tc>
          <w:tcPr>
            <w:tcW w:w="1971" w:type="dxa"/>
            <w:tcBorders>
              <w:top w:val="single" w:sz="4" w:space="0" w:color="000000"/>
              <w:start w:val="single" w:sz="4" w:space="0" w:color="000000"/>
              <w:bottom w:val="single" w:sz="4" w:space="0" w:color="000000"/>
            </w:tcBorders>
          </w:tcPr>
          <w:p>
            <w:pPr>
              <w:pStyle w:val="TAL"/>
              <w:rPr/>
            </w:pPr>
            <w:r>
              <w:rPr/>
              <w:t>Privacy control settings of the user</w:t>
            </w:r>
          </w:p>
        </w:tc>
        <w:tc>
          <w:tcPr>
            <w:tcW w:w="1256" w:type="dxa"/>
            <w:tcBorders>
              <w:top w:val="single" w:sz="4" w:space="0" w:color="000000"/>
              <w:start w:val="single" w:sz="4" w:space="0" w:color="000000"/>
              <w:bottom w:val="single" w:sz="4" w:space="0" w:color="000000"/>
            </w:tcBorders>
          </w:tcPr>
          <w:p>
            <w:pPr>
              <w:pStyle w:val="TAL"/>
              <w:rPr/>
            </w:pPr>
            <w:r>
              <w:rPr/>
              <w:t>AS manager</w:t>
            </w:r>
          </w:p>
        </w:tc>
        <w:tc>
          <w:tcPr>
            <w:tcW w:w="1417" w:type="dxa"/>
            <w:tcBorders>
              <w:top w:val="single" w:sz="4" w:space="0" w:color="000000"/>
              <w:start w:val="single" w:sz="4" w:space="0" w:color="000000"/>
              <w:bottom w:val="single" w:sz="4" w:space="0" w:color="000000"/>
            </w:tcBorders>
          </w:tcPr>
          <w:p>
            <w:pPr>
              <w:pStyle w:val="TAL"/>
              <w:rPr/>
            </w:pPr>
            <w:r>
              <w:rPr/>
              <w:t>AS</w:t>
            </w:r>
          </w:p>
        </w:tc>
        <w:tc>
          <w:tcPr>
            <w:tcW w:w="3686" w:type="dxa"/>
            <w:tcBorders>
              <w:top w:val="single" w:sz="4" w:space="0" w:color="000000"/>
              <w:start w:val="single" w:sz="4" w:space="0" w:color="000000"/>
              <w:bottom w:val="single" w:sz="4" w:space="0" w:color="000000"/>
            </w:tcBorders>
          </w:tcPr>
          <w:p>
            <w:pPr>
              <w:pStyle w:val="TAL"/>
              <w:rPr/>
            </w:pPr>
            <w:r>
              <w:rPr/>
              <w:t>Privacy control data of the user:</w:t>
            </w:r>
          </w:p>
          <w:p>
            <w:pPr>
              <w:pStyle w:val="TAL"/>
              <w:rPr/>
            </w:pPr>
            <w:r>
              <w:rPr/>
              <w:t>- Privacy settings for standardized service like Presence</w:t>
            </w:r>
          </w:p>
          <w:p>
            <w:pPr>
              <w:pStyle w:val="TAL"/>
              <w:rPr/>
            </w:pPr>
            <w:r>
              <w:rPr/>
              <w:t>- Privacy setting of non standardized services</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UE-ISIM</w:t>
            </w:r>
          </w:p>
        </w:tc>
      </w:tr>
      <w:tr>
        <w:trPr/>
        <w:tc>
          <w:tcPr>
            <w:tcW w:w="1971" w:type="dxa"/>
            <w:tcBorders>
              <w:top w:val="single" w:sz="4" w:space="0" w:color="000000"/>
              <w:start w:val="single" w:sz="4" w:space="0" w:color="000000"/>
              <w:bottom w:val="single" w:sz="4" w:space="0" w:color="000000"/>
            </w:tcBorders>
          </w:tcPr>
          <w:p>
            <w:pPr>
              <w:pStyle w:val="TAL"/>
              <w:rPr/>
            </w:pPr>
            <w:r>
              <w:rPr/>
              <w:t>PLMN specific user information</w:t>
            </w:r>
          </w:p>
        </w:tc>
        <w:tc>
          <w:tcPr>
            <w:tcW w:w="1256" w:type="dxa"/>
            <w:tcBorders>
              <w:top w:val="single" w:sz="4" w:space="0" w:color="000000"/>
              <w:start w:val="single" w:sz="4" w:space="0" w:color="000000"/>
              <w:bottom w:val="single" w:sz="4" w:space="0" w:color="000000"/>
            </w:tcBorders>
          </w:tcPr>
          <w:p>
            <w:pPr>
              <w:pStyle w:val="TAL"/>
              <w:rPr/>
            </w:pPr>
            <w:r>
              <w:rPr/>
              <w:t>O&amp;M</w:t>
            </w:r>
          </w:p>
        </w:tc>
        <w:tc>
          <w:tcPr>
            <w:tcW w:w="1417" w:type="dxa"/>
            <w:tcBorders>
              <w:top w:val="single" w:sz="4" w:space="0" w:color="000000"/>
              <w:start w:val="single" w:sz="4" w:space="0" w:color="000000"/>
              <w:bottom w:val="single" w:sz="4" w:space="0" w:color="000000"/>
            </w:tcBorders>
          </w:tcPr>
          <w:p>
            <w:pPr>
              <w:pStyle w:val="TAL"/>
              <w:rPr/>
            </w:pPr>
            <w:r>
              <w:rPr/>
              <w:t>HSS</w:t>
            </w:r>
          </w:p>
        </w:tc>
        <w:tc>
          <w:tcPr>
            <w:tcW w:w="3686" w:type="dxa"/>
            <w:tcBorders>
              <w:top w:val="single" w:sz="4" w:space="0" w:color="000000"/>
              <w:start w:val="single" w:sz="4" w:space="0" w:color="000000"/>
              <w:bottom w:val="single" w:sz="4" w:space="0" w:color="000000"/>
            </w:tcBorders>
          </w:tcPr>
          <w:p>
            <w:pPr>
              <w:pStyle w:val="TAL"/>
              <w:rPr/>
            </w:pPr>
            <w:r>
              <w:rPr/>
              <w:t>PLMN specific user information:</w:t>
            </w:r>
          </w:p>
          <w:p>
            <w:pPr>
              <w:pStyle w:val="TAL"/>
              <w:rPr/>
            </w:pPr>
            <w:r>
              <w:rPr/>
              <w:t>- User addresses (e.g. MSISDNs, URLs)</w:t>
            </w:r>
          </w:p>
          <w:p>
            <w:pPr>
              <w:pStyle w:val="TAL"/>
              <w:rPr/>
            </w:pPr>
            <w:r>
              <w:rPr/>
              <w:t>- WAP parameters (e.g. standard WAP gateway)</w:t>
            </w:r>
          </w:p>
          <w:p>
            <w:pPr>
              <w:pStyle w:val="TAL"/>
              <w:rPr/>
            </w:pPr>
            <w:r>
              <w:rPr/>
              <w:t>- GPRS parameters</w:t>
            </w:r>
          </w:p>
          <w:p>
            <w:pPr>
              <w:pStyle w:val="TAL"/>
              <w:rPr/>
            </w:pPr>
            <w:r>
              <w:rPr/>
              <w:t>- Preferred access technologies (e.g. UTRAN, GERAN, WLAN etc…)</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S-CSCF</w:t>
            </w:r>
          </w:p>
          <w:p>
            <w:pPr>
              <w:pStyle w:val="TAL"/>
              <w:rPr/>
            </w:pPr>
            <w:r>
              <w:rPr/>
              <w:t>AS</w:t>
            </w:r>
          </w:p>
        </w:tc>
      </w:tr>
      <w:tr>
        <w:trPr/>
        <w:tc>
          <w:tcPr>
            <w:tcW w:w="1971" w:type="dxa"/>
            <w:tcBorders>
              <w:top w:val="single" w:sz="4" w:space="0" w:color="000000"/>
              <w:start w:val="single" w:sz="4" w:space="0" w:color="000000"/>
              <w:bottom w:val="single" w:sz="4" w:space="0" w:color="000000"/>
            </w:tcBorders>
          </w:tcPr>
          <w:p>
            <w:pPr>
              <w:pStyle w:val="TAL"/>
              <w:rPr/>
            </w:pPr>
            <w:r>
              <w:rPr/>
              <w:t>Authorized and subscribed service information for CS &amp; PS</w:t>
            </w:r>
          </w:p>
        </w:tc>
        <w:tc>
          <w:tcPr>
            <w:tcW w:w="1256" w:type="dxa"/>
            <w:tcBorders>
              <w:top w:val="single" w:sz="4" w:space="0" w:color="000000"/>
              <w:start w:val="single" w:sz="4" w:space="0" w:color="000000"/>
              <w:bottom w:val="single" w:sz="4" w:space="0" w:color="000000"/>
            </w:tcBorders>
          </w:tcPr>
          <w:p>
            <w:pPr>
              <w:pStyle w:val="TAL"/>
              <w:rPr/>
            </w:pPr>
            <w:r>
              <w:rPr/>
              <w:t>O&amp;M</w:t>
            </w:r>
          </w:p>
          <w:p>
            <w:pPr>
              <w:pStyle w:val="TAL"/>
              <w:rPr/>
            </w:pPr>
            <w:r>
              <w:rPr/>
              <w:t>HSS-HLR</w:t>
            </w:r>
          </w:p>
        </w:tc>
        <w:tc>
          <w:tcPr>
            <w:tcW w:w="1417" w:type="dxa"/>
            <w:tcBorders>
              <w:top w:val="single" w:sz="4" w:space="0" w:color="000000"/>
              <w:start w:val="single" w:sz="4" w:space="0" w:color="000000"/>
              <w:bottom w:val="single" w:sz="4" w:space="0" w:color="000000"/>
            </w:tcBorders>
          </w:tcPr>
          <w:p>
            <w:pPr>
              <w:pStyle w:val="TAL"/>
              <w:rPr/>
            </w:pPr>
            <w:r>
              <w:rPr/>
              <w:t>HSS-HLR</w:t>
            </w:r>
          </w:p>
        </w:tc>
        <w:tc>
          <w:tcPr>
            <w:tcW w:w="3686" w:type="dxa"/>
            <w:tcBorders>
              <w:top w:val="single" w:sz="4" w:space="0" w:color="000000"/>
              <w:start w:val="single" w:sz="4" w:space="0" w:color="000000"/>
              <w:bottom w:val="single" w:sz="4" w:space="0" w:color="000000"/>
            </w:tcBorders>
          </w:tcPr>
          <w:p>
            <w:pPr>
              <w:pStyle w:val="TAL"/>
              <w:rPr/>
            </w:pPr>
            <w:r>
              <w:rPr/>
              <w:t>Authorized and subscribed service information:</w:t>
            </w:r>
          </w:p>
          <w:p>
            <w:pPr>
              <w:pStyle w:val="TAL"/>
              <w:rPr/>
            </w:pPr>
            <w:r>
              <w:rPr/>
              <w:t>- Subscriber ID (IMSI, MSISDNs)</w:t>
            </w:r>
          </w:p>
          <w:p>
            <w:pPr>
              <w:pStyle w:val="TAL"/>
              <w:rPr/>
            </w:pPr>
            <w:r>
              <w:rPr/>
              <w:t>- General subscription information</w:t>
            </w:r>
          </w:p>
          <w:p>
            <w:pPr>
              <w:pStyle w:val="TAL"/>
              <w:rPr/>
            </w:pPr>
            <w:r>
              <w:rPr/>
              <w:t>- Subscription restrictions</w:t>
            </w:r>
          </w:p>
          <w:p>
            <w:pPr>
              <w:pStyle w:val="TAL"/>
              <w:rPr/>
            </w:pPr>
            <w:r>
              <w:rPr/>
              <w:t xml:space="preserve">- Basic &amp; Supplementary services </w:t>
            </w:r>
          </w:p>
          <w:p>
            <w:pPr>
              <w:pStyle w:val="TAL"/>
              <w:rPr/>
            </w:pPr>
            <w:r>
              <w:rPr/>
              <w:t>- Charging plans</w:t>
            </w:r>
          </w:p>
          <w:p>
            <w:pPr>
              <w:pStyle w:val="TAL"/>
              <w:rPr/>
            </w:pPr>
            <w:r>
              <w:rPr/>
              <w:t>- Operator determined barring data is FFS</w:t>
            </w:r>
          </w:p>
          <w:p>
            <w:pPr>
              <w:pStyle w:val="TAL"/>
              <w:rPr/>
            </w:pPr>
            <w:r>
              <w:rPr/>
              <w:t>- SMS subscription</w:t>
            </w:r>
          </w:p>
          <w:p>
            <w:pPr>
              <w:pStyle w:val="TAL"/>
              <w:rPr/>
            </w:pPr>
            <w:r>
              <w:rPr/>
              <w:t>- MMS subscription</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MSC/VLR</w:t>
            </w:r>
          </w:p>
          <w:p>
            <w:pPr>
              <w:pStyle w:val="TAL"/>
              <w:rPr/>
            </w:pPr>
            <w:r>
              <w:rPr/>
              <w:t>GMSC</w:t>
            </w:r>
          </w:p>
          <w:p>
            <w:pPr>
              <w:pStyle w:val="TAL"/>
              <w:rPr/>
            </w:pPr>
            <w:r>
              <w:rPr/>
              <w:t>SGSN</w:t>
            </w:r>
          </w:p>
          <w:p>
            <w:pPr>
              <w:pStyle w:val="TAL"/>
              <w:rPr/>
            </w:pPr>
            <w:r>
              <w:rPr/>
              <w:t>GGSN</w:t>
            </w:r>
          </w:p>
          <w:p>
            <w:pPr>
              <w:pStyle w:val="TAL"/>
              <w:rPr/>
            </w:pPr>
            <w:r>
              <w:rPr/>
              <w:t>MMS server</w:t>
            </w:r>
          </w:p>
        </w:tc>
      </w:tr>
      <w:tr>
        <w:trPr/>
        <w:tc>
          <w:tcPr>
            <w:tcW w:w="1971" w:type="dxa"/>
            <w:tcBorders>
              <w:top w:val="single" w:sz="4" w:space="0" w:color="000000"/>
              <w:start w:val="single" w:sz="4" w:space="0" w:color="000000"/>
              <w:bottom w:val="single" w:sz="4" w:space="0" w:color="000000"/>
            </w:tcBorders>
          </w:tcPr>
          <w:p>
            <w:pPr>
              <w:pStyle w:val="TAL"/>
              <w:rPr/>
            </w:pPr>
            <w:r>
              <w:rPr/>
              <w:t xml:space="preserve">CSE handling of user subscriptions for </w:t>
            </w:r>
          </w:p>
          <w:p>
            <w:pPr>
              <w:pStyle w:val="TAL"/>
              <w:rPr/>
            </w:pPr>
            <w:r>
              <w:rPr/>
              <w:t>CS &amp; PS</w:t>
            </w:r>
          </w:p>
        </w:tc>
        <w:tc>
          <w:tcPr>
            <w:tcW w:w="1256" w:type="dxa"/>
            <w:tcBorders>
              <w:top w:val="single" w:sz="4" w:space="0" w:color="000000"/>
              <w:start w:val="single" w:sz="4" w:space="0" w:color="000000"/>
              <w:bottom w:val="single" w:sz="4" w:space="0" w:color="000000"/>
            </w:tcBorders>
          </w:tcPr>
          <w:p>
            <w:pPr>
              <w:pStyle w:val="TAL"/>
              <w:rPr/>
            </w:pPr>
            <w:r>
              <w:rPr/>
              <w:t>CSE</w:t>
            </w:r>
          </w:p>
        </w:tc>
        <w:tc>
          <w:tcPr>
            <w:tcW w:w="1417" w:type="dxa"/>
            <w:tcBorders>
              <w:top w:val="single" w:sz="4" w:space="0" w:color="000000"/>
              <w:start w:val="single" w:sz="4" w:space="0" w:color="000000"/>
              <w:bottom w:val="single" w:sz="4" w:space="0" w:color="000000"/>
            </w:tcBorders>
          </w:tcPr>
          <w:p>
            <w:pPr>
              <w:pStyle w:val="TAL"/>
              <w:rPr/>
            </w:pPr>
            <w:r>
              <w:rPr/>
              <w:t>HSS-HLR</w:t>
            </w:r>
          </w:p>
        </w:tc>
        <w:tc>
          <w:tcPr>
            <w:tcW w:w="3686" w:type="dxa"/>
            <w:tcBorders>
              <w:top w:val="single" w:sz="4" w:space="0" w:color="000000"/>
              <w:start w:val="single" w:sz="4" w:space="0" w:color="000000"/>
              <w:bottom w:val="single" w:sz="4" w:space="0" w:color="000000"/>
            </w:tcBorders>
          </w:tcPr>
          <w:p>
            <w:pPr>
              <w:pStyle w:val="TAL"/>
              <w:rPr/>
            </w:pPr>
            <w:r>
              <w:rPr/>
              <w:t>- Forwarding &amp; barring information</w:t>
            </w:r>
          </w:p>
          <w:p>
            <w:pPr>
              <w:pStyle w:val="TAL"/>
              <w:rPr/>
            </w:pPr>
            <w:r>
              <w:rPr/>
              <w:t>- CAMEL subscription information</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CSE</w:t>
            </w:r>
          </w:p>
        </w:tc>
      </w:tr>
      <w:tr>
        <w:trPr/>
        <w:tc>
          <w:tcPr>
            <w:tcW w:w="1971" w:type="dxa"/>
            <w:tcBorders>
              <w:top w:val="single" w:sz="4" w:space="0" w:color="000000"/>
              <w:start w:val="single" w:sz="4" w:space="0" w:color="000000"/>
              <w:bottom w:val="single" w:sz="4" w:space="0" w:color="000000"/>
            </w:tcBorders>
          </w:tcPr>
          <w:p>
            <w:pPr>
              <w:pStyle w:val="TAL"/>
              <w:rPr/>
            </w:pPr>
            <w:r>
              <w:rPr/>
              <w:t>Authorized and subscribed service information for IMS</w:t>
            </w:r>
          </w:p>
        </w:tc>
        <w:tc>
          <w:tcPr>
            <w:tcW w:w="1256" w:type="dxa"/>
            <w:tcBorders>
              <w:top w:val="single" w:sz="4" w:space="0" w:color="000000"/>
              <w:start w:val="single" w:sz="4" w:space="0" w:color="000000"/>
              <w:bottom w:val="single" w:sz="4" w:space="0" w:color="000000"/>
            </w:tcBorders>
          </w:tcPr>
          <w:p>
            <w:pPr>
              <w:pStyle w:val="TAL"/>
              <w:rPr/>
            </w:pPr>
            <w:r>
              <w:rPr/>
              <w:t>O&amp;M</w:t>
            </w:r>
          </w:p>
        </w:tc>
        <w:tc>
          <w:tcPr>
            <w:tcW w:w="1417" w:type="dxa"/>
            <w:tcBorders>
              <w:top w:val="single" w:sz="4" w:space="0" w:color="000000"/>
              <w:start w:val="single" w:sz="4" w:space="0" w:color="000000"/>
              <w:bottom w:val="single" w:sz="4" w:space="0" w:color="000000"/>
            </w:tcBorders>
          </w:tcPr>
          <w:p>
            <w:pPr>
              <w:pStyle w:val="TAL"/>
              <w:rPr/>
            </w:pPr>
            <w:r>
              <w:rPr/>
              <w:t>HSS</w:t>
            </w:r>
          </w:p>
        </w:tc>
        <w:tc>
          <w:tcPr>
            <w:tcW w:w="3686" w:type="dxa"/>
            <w:tcBorders>
              <w:top w:val="single" w:sz="4" w:space="0" w:color="000000"/>
              <w:start w:val="single" w:sz="4" w:space="0" w:color="000000"/>
              <w:bottom w:val="single" w:sz="4" w:space="0" w:color="000000"/>
            </w:tcBorders>
          </w:tcPr>
          <w:p>
            <w:pPr>
              <w:pStyle w:val="TAL"/>
              <w:rPr/>
            </w:pPr>
            <w:r>
              <w:rPr/>
              <w:t>Authorized and subscribed service information:</w:t>
            </w:r>
          </w:p>
          <w:p>
            <w:pPr>
              <w:pStyle w:val="TAL"/>
              <w:rPr/>
            </w:pPr>
            <w:r>
              <w:rPr/>
              <w:t>- IM Subscriber ID (Private User ID, Public ID)</w:t>
            </w:r>
          </w:p>
          <w:p>
            <w:pPr>
              <w:pStyle w:val="TAL"/>
              <w:rPr/>
            </w:pPr>
            <w:r>
              <w:rPr/>
              <w:t>- Subscribed media</w:t>
            </w:r>
          </w:p>
          <w:p>
            <w:pPr>
              <w:pStyle w:val="TAL"/>
              <w:rPr/>
            </w:pPr>
            <w:r>
              <w:rPr/>
              <w:t>- Billing policy</w:t>
            </w:r>
          </w:p>
          <w:p>
            <w:pPr>
              <w:pStyle w:val="TAL"/>
              <w:rPr/>
            </w:pPr>
            <w:r>
              <w:rPr/>
              <w:t>- Initial filter criteria</w:t>
            </w:r>
          </w:p>
          <w:p>
            <w:pPr>
              <w:pStyle w:val="TAL"/>
              <w:rPr/>
            </w:pPr>
            <w:r>
              <w:rPr/>
              <w:t>- Service keys &amp; triggering aspects</w:t>
            </w:r>
          </w:p>
          <w:p>
            <w:pPr>
              <w:pStyle w:val="TAL"/>
              <w:rPr/>
            </w:pPr>
            <w:r>
              <w:rPr/>
              <w:t>- Authorized services that the subscriber may subscribe to</w:t>
            </w:r>
          </w:p>
          <w:p>
            <w:pPr>
              <w:pStyle w:val="TAL"/>
              <w:rPr/>
            </w:pPr>
            <w:r>
              <w:rPr/>
              <w:t>- Services the subscriber actually has subscribed to</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S-CSCF</w:t>
            </w:r>
          </w:p>
          <w:p>
            <w:pPr>
              <w:pStyle w:val="TAL"/>
              <w:rPr/>
            </w:pPr>
            <w:r>
              <w:rPr/>
              <w:t>AS</w:t>
            </w:r>
          </w:p>
        </w:tc>
      </w:tr>
      <w:tr>
        <w:trPr/>
        <w:tc>
          <w:tcPr>
            <w:tcW w:w="1971" w:type="dxa"/>
            <w:tcBorders>
              <w:top w:val="single" w:sz="4" w:space="0" w:color="000000"/>
              <w:start w:val="single" w:sz="4" w:space="0" w:color="000000"/>
              <w:bottom w:val="single" w:sz="4" w:space="0" w:color="000000"/>
            </w:tcBorders>
          </w:tcPr>
          <w:p>
            <w:pPr>
              <w:pStyle w:val="TAL"/>
              <w:rPr/>
            </w:pPr>
            <w:r>
              <w:rPr/>
              <w:t>CAMEL services for IMS</w:t>
            </w:r>
          </w:p>
        </w:tc>
        <w:tc>
          <w:tcPr>
            <w:tcW w:w="1256" w:type="dxa"/>
            <w:tcBorders>
              <w:top w:val="single" w:sz="4" w:space="0" w:color="000000"/>
              <w:start w:val="single" w:sz="4" w:space="0" w:color="000000"/>
              <w:bottom w:val="single" w:sz="4" w:space="0" w:color="000000"/>
            </w:tcBorders>
          </w:tcPr>
          <w:p>
            <w:pPr>
              <w:pStyle w:val="TAL"/>
              <w:rPr/>
            </w:pPr>
            <w:r>
              <w:rPr/>
              <w:t>O&amp;M</w:t>
            </w:r>
          </w:p>
        </w:tc>
        <w:tc>
          <w:tcPr>
            <w:tcW w:w="1417" w:type="dxa"/>
            <w:tcBorders>
              <w:top w:val="single" w:sz="4" w:space="0" w:color="000000"/>
              <w:start w:val="single" w:sz="4" w:space="0" w:color="000000"/>
              <w:bottom w:val="single" w:sz="4" w:space="0" w:color="000000"/>
            </w:tcBorders>
          </w:tcPr>
          <w:p>
            <w:pPr>
              <w:pStyle w:val="TAL"/>
              <w:rPr/>
            </w:pPr>
            <w:r>
              <w:rPr/>
              <w:t>HSS-HLR</w:t>
            </w:r>
          </w:p>
        </w:tc>
        <w:tc>
          <w:tcPr>
            <w:tcW w:w="3686" w:type="dxa"/>
            <w:tcBorders>
              <w:top w:val="single" w:sz="4" w:space="0" w:color="000000"/>
              <w:start w:val="single" w:sz="4" w:space="0" w:color="000000"/>
              <w:bottom w:val="single" w:sz="4" w:space="0" w:color="000000"/>
            </w:tcBorders>
          </w:tcPr>
          <w:p>
            <w:pPr>
              <w:pStyle w:val="TAL"/>
              <w:rPr/>
            </w:pPr>
            <w:r>
              <w:rPr/>
              <w:t>CAMEL subscription information for IMS</w:t>
            </w:r>
          </w:p>
        </w:tc>
        <w:tc>
          <w:tcPr>
            <w:tcW w:w="1535" w:type="dxa"/>
            <w:tcBorders>
              <w:top w:val="single" w:sz="4" w:space="0" w:color="000000"/>
              <w:start w:val="single" w:sz="4" w:space="0" w:color="000000"/>
              <w:bottom w:val="single" w:sz="4" w:space="0" w:color="000000"/>
              <w:end w:val="single" w:sz="4" w:space="0" w:color="000000"/>
            </w:tcBorders>
          </w:tcPr>
          <w:p>
            <w:pPr>
              <w:pStyle w:val="TAL"/>
              <w:rPr/>
            </w:pPr>
            <w:r>
              <w:rPr/>
              <w:t>IM-SSF</w:t>
            </w:r>
          </w:p>
        </w:tc>
      </w:tr>
    </w:tbl>
    <w:p>
      <w:pPr>
        <w:pStyle w:val="FP"/>
        <w:rPr>
          <w:lang w:val="en-US" w:eastAsia="en-US"/>
        </w:rPr>
      </w:pPr>
      <w:r>
        <w:rPr>
          <w:lang w:val="en-US" w:eastAsia="en-US"/>
        </w:rPr>
      </w:r>
      <w:r>
        <w:br w:type="page"/>
      </w:r>
    </w:p>
    <w:p>
      <w:pPr>
        <w:pStyle w:val="Heading8"/>
        <w:bidi w:val="0"/>
        <w:ind w:start="0" w:hanging="0"/>
        <w:jc w:val="start"/>
        <w:rPr/>
      </w:pPr>
      <w:bookmarkStart w:id="87" w:name="__RefHeading___Toc287964590"/>
      <w:bookmarkStart w:id="88" w:name="historyclause"/>
      <w:bookmarkEnd w:id="87"/>
      <w:bookmarkEnd w:id="88"/>
      <w:r>
        <w:rPr/>
        <w:t>Annex C (informative):</w:t>
        <w:br/>
        <w:t>Change history</w:t>
      </w:r>
    </w:p>
    <w:tbl>
      <w:tblPr>
        <w:tblW w:w="10180" w:type="dxa"/>
        <w:jc w:val="start"/>
        <w:tblInd w:w="40" w:type="dxa"/>
        <w:tblCellMar>
          <w:top w:w="0" w:type="dxa"/>
          <w:start w:w="40" w:type="dxa"/>
          <w:bottom w:w="0" w:type="dxa"/>
          <w:end w:w="40" w:type="dxa"/>
        </w:tblCellMar>
      </w:tblPr>
      <w:tblGrid>
        <w:gridCol w:w="799"/>
        <w:gridCol w:w="849"/>
        <w:gridCol w:w="1185"/>
        <w:gridCol w:w="567"/>
        <w:gridCol w:w="567"/>
        <w:gridCol w:w="4677"/>
        <w:gridCol w:w="712"/>
        <w:gridCol w:w="824"/>
      </w:tblGrid>
      <w:tr>
        <w:trPr>
          <w:tblHeader w:val="true"/>
          <w:cantSplit w:val="true"/>
        </w:trPr>
        <w:tc>
          <w:tcPr>
            <w:tcW w:w="10180" w:type="dxa"/>
            <w:gridSpan w:val="8"/>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Change history</w:t>
            </w:r>
          </w:p>
        </w:tc>
      </w:tr>
      <w:tr>
        <w:trPr>
          <w:tblHeader w:val="true"/>
          <w:cantSplit w:val="true"/>
        </w:trPr>
        <w:tc>
          <w:tcPr>
            <w:tcW w:w="799"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849"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118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67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712"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824"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SA#20</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SP-030310</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Raised to v.6.0.0 after approval at SA#20</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6.0.0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001</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Rg reference point compliance with Liberty Alliance Project ID-WSF</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002</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Introduction of discovery service</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003</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Corrections to Rg reference point descriptions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2003-09</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SA#21</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SP-030381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004</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Removal of GMLC as example</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6.0.0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6.1.0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Selection of the GUP Server mode of operation</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6.1.0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009</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Notification Reference</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6.1.0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color w:val="000000"/>
                <w:sz w:val="16"/>
                <w:szCs w:val="16"/>
                <w:lang w:eastAsia="ko-KR"/>
              </w:rPr>
            </w:pPr>
            <w:r>
              <w:rPr>
                <w:color w:val="000000"/>
                <w:sz w:val="16"/>
                <w:szCs w:val="16"/>
                <w:lang w:eastAsia="ko-KR"/>
              </w:rPr>
              <w:t>6.2.0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010</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Subscribe Operation, Subscription Status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6.1.0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011</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GUP information model improvement</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6.1.0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2003-12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SA#22</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SP-030659</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012</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GUP Annex B terminal Capability negotiation for IMS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6.1.0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6.2.0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006</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4</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Adding a listing function</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6.2.0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013</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Rg reference point alignment with Liberty ID-WSF</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6.2.0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014</w:t>
            </w:r>
          </w:p>
        </w:tc>
        <w:tc>
          <w:tcPr>
            <w:tcW w:w="567" w:type="dxa"/>
            <w:tcBorders>
              <w:top w:val="single" w:sz="6" w:space="0" w:color="000000"/>
              <w:star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Generalizing the subscriber identity term to resource identity</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6.2.0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015</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Authorization enhancements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6.2.0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2004-03</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SA#23</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SP-040038</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016</w:t>
            </w:r>
          </w:p>
        </w:tc>
        <w:tc>
          <w:tcPr>
            <w:tcW w:w="567" w:type="dxa"/>
            <w:tcBorders>
              <w:top w:val="single" w:sz="6" w:space="0" w:color="000000"/>
              <w:star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Authorization model alignment with GUP Information Model</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6.2.0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6.3.0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017</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GUP Server in Home operator network</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018</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Rp Intra-operator interface</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019</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GUP Authentication failure</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020</w:t>
            </w:r>
          </w:p>
        </w:tc>
        <w:tc>
          <w:tcPr>
            <w:tcW w:w="567" w:type="dxa"/>
            <w:tcBorders>
              <w:top w:val="single" w:sz="6" w:space="0" w:color="000000"/>
              <w:start w:val="single" w:sz="6" w:space="0" w:color="000000"/>
              <w:bottom w:val="single" w:sz="6" w:space="0" w:color="000000"/>
            </w:tcBorders>
            <w:shd w:fill="FFFFFF" w:val="clear"/>
            <w:vAlign w:val="center"/>
          </w:tcPr>
          <w:p>
            <w:pPr>
              <w:pStyle w:val="TAL"/>
              <w:snapToGrid w:val="false"/>
              <w:rPr>
                <w:sz w:val="16"/>
                <w:szCs w:val="16"/>
              </w:rPr>
            </w:pPr>
            <w:r>
              <w:rPr>
                <w:sz w:val="16"/>
                <w:szCs w:val="16"/>
              </w:rPr>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Removal of editor's note on existing profile components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Addition of an example in Annex A</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2004-06</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SA#24</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SP-040321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rPr>
            </w:pPr>
            <w:r>
              <w:rPr>
                <w:sz w:val="16"/>
                <w:szCs w:val="16"/>
              </w:rPr>
              <w:t>2</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of requirement for component location management</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6.3.0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6.4.0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2004-09</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SA#25</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SP-040525</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024</w:t>
            </w:r>
          </w:p>
        </w:tc>
        <w:tc>
          <w:tcPr>
            <w:tcW w:w="567" w:type="dxa"/>
            <w:tcBorders>
              <w:top w:val="single" w:sz="6" w:space="0" w:color="000000"/>
              <w:start w:val="single" w:sz="6" w:space="0" w:color="000000"/>
              <w:bottom w:val="single" w:sz="6" w:space="0" w:color="000000"/>
            </w:tcBorders>
            <w:shd w:fill="FFFFFF" w:val="clear"/>
            <w:vAlign w:val="center"/>
          </w:tcPr>
          <w:p>
            <w:pPr>
              <w:pStyle w:val="TAL"/>
              <w:rPr>
                <w:sz w:val="16"/>
                <w:szCs w:val="16"/>
                <w:lang w:eastAsia="ko-KR"/>
              </w:rPr>
            </w:pPr>
            <w:r>
              <w:rPr>
                <w:sz w:val="16"/>
                <w:szCs w:val="16"/>
                <w:lang w:eastAsia="ko-KR"/>
              </w:rPr>
              <w:t>1</w:t>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lang w:val="en-US" w:eastAsia="en-US"/>
              </w:rPr>
              <w:t>Addition of missing security aspects</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6.4.0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rFonts w:cs="Arial"/>
                <w:sz w:val="16"/>
                <w:szCs w:val="16"/>
                <w:lang w:eastAsia="ko-KR"/>
              </w:rPr>
            </w:pPr>
            <w:r>
              <w:rPr>
                <w:rFonts w:cs="Arial"/>
                <w:sz w:val="16"/>
                <w:szCs w:val="16"/>
                <w:lang w:eastAsia="ko-KR"/>
              </w:rPr>
              <w:t>6.5.0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2004-12</w:t>
            </w:r>
          </w:p>
        </w:tc>
        <w:tc>
          <w:tcPr>
            <w:tcW w:w="849"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SA#26</w:t>
            </w:r>
          </w:p>
        </w:tc>
        <w:tc>
          <w:tcPr>
            <w:tcW w:w="1185"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SP-040757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025</w:t>
            </w:r>
          </w:p>
        </w:tc>
        <w:tc>
          <w:tcPr>
            <w:tcW w:w="567" w:type="dxa"/>
            <w:tcBorders>
              <w:top w:val="single" w:sz="6" w:space="0" w:color="000000"/>
              <w:start w:val="single" w:sz="6" w:space="0" w:color="000000"/>
              <w:bottom w:val="single" w:sz="6" w:space="0" w:color="000000"/>
            </w:tcBorders>
            <w:shd w:fill="FFFFFF" w:val="clear"/>
            <w:vAlign w:val="center"/>
          </w:tcPr>
          <w:p>
            <w:pPr>
              <w:pStyle w:val="TAL"/>
              <w:snapToGrid w:val="false"/>
              <w:rPr>
                <w:sz w:val="16"/>
                <w:szCs w:val="16"/>
                <w:lang w:eastAsia="ko-KR"/>
              </w:rPr>
            </w:pPr>
            <w:r>
              <w:rPr>
                <w:sz w:val="16"/>
                <w:szCs w:val="16"/>
                <w:lang w:eastAsia="ko-KR"/>
              </w:rPr>
            </w:r>
          </w:p>
        </w:tc>
        <w:tc>
          <w:tcPr>
            <w:tcW w:w="4677"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Removal of UE as GUP Data Repository</w:t>
            </w:r>
          </w:p>
        </w:tc>
        <w:tc>
          <w:tcPr>
            <w:tcW w:w="712" w:type="dxa"/>
            <w:tcBorders>
              <w:top w:val="single" w:sz="6"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6.5.0</w:t>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6.6.0</w:t>
            </w:r>
          </w:p>
        </w:tc>
      </w:tr>
      <w:tr>
        <w:trPr>
          <w:cantSplit w:val="true"/>
        </w:trPr>
        <w:tc>
          <w:tcPr>
            <w:tcW w:w="799"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2005-03</w:t>
            </w:r>
          </w:p>
        </w:tc>
        <w:tc>
          <w:tcPr>
            <w:tcW w:w="849"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SA#27</w:t>
            </w:r>
          </w:p>
        </w:tc>
        <w:tc>
          <w:tcPr>
            <w:tcW w:w="1185"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SP-050109</w:t>
            </w:r>
          </w:p>
        </w:tc>
        <w:tc>
          <w:tcPr>
            <w:tcW w:w="567"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026</w:t>
            </w:r>
          </w:p>
        </w:tc>
        <w:tc>
          <w:tcPr>
            <w:tcW w:w="567" w:type="dxa"/>
            <w:tcBorders>
              <w:top w:val="single" w:sz="6" w:space="0" w:color="000000"/>
              <w:start w:val="single" w:sz="6" w:space="0" w:color="000000"/>
              <w:bottom w:val="single" w:sz="12" w:space="0" w:color="000000"/>
            </w:tcBorders>
            <w:shd w:fill="FFFFFF" w:val="clear"/>
            <w:vAlign w:val="center"/>
          </w:tcPr>
          <w:p>
            <w:pPr>
              <w:pStyle w:val="TAL"/>
              <w:snapToGrid w:val="false"/>
              <w:rPr>
                <w:sz w:val="16"/>
                <w:szCs w:val="16"/>
                <w:lang w:eastAsia="ko-KR"/>
              </w:rPr>
            </w:pPr>
            <w:r>
              <w:rPr>
                <w:sz w:val="16"/>
                <w:szCs w:val="16"/>
                <w:lang w:eastAsia="ko-KR"/>
              </w:rPr>
            </w:r>
          </w:p>
        </w:tc>
        <w:tc>
          <w:tcPr>
            <w:tcW w:w="4677"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Use of Discovery Service as Trusted Authority</w:t>
            </w:r>
          </w:p>
        </w:tc>
        <w:tc>
          <w:tcPr>
            <w:tcW w:w="712" w:type="dxa"/>
            <w:tcBorders>
              <w:top w:val="single" w:sz="6"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6.6.0</w:t>
            </w:r>
          </w:p>
        </w:tc>
        <w:tc>
          <w:tcPr>
            <w:tcW w:w="824"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lang w:eastAsia="ko-KR"/>
              </w:rPr>
            </w:pPr>
            <w:r>
              <w:rPr>
                <w:sz w:val="16"/>
                <w:szCs w:val="16"/>
                <w:lang w:eastAsia="ko-KR"/>
              </w:rPr>
              <w:t>6.7.0</w:t>
            </w:r>
          </w:p>
        </w:tc>
      </w:tr>
      <w:tr>
        <w:trPr>
          <w:cantSplit w:val="true"/>
        </w:trPr>
        <w:tc>
          <w:tcPr>
            <w:tcW w:w="79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2007-06</w:t>
            </w:r>
          </w:p>
        </w:tc>
        <w:tc>
          <w:tcPr>
            <w:tcW w:w="84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SP-36</w:t>
            </w:r>
          </w:p>
        </w:tc>
        <w:tc>
          <w:tcPr>
            <w:tcW w:w="118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Update to Rel-7 version (MCC)</w:t>
            </w:r>
          </w:p>
        </w:tc>
        <w:tc>
          <w:tcPr>
            <w:tcW w:w="712"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6.7.0</w:t>
            </w:r>
          </w:p>
        </w:tc>
        <w:tc>
          <w:tcPr>
            <w:tcW w:w="8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7.0.0</w:t>
            </w:r>
          </w:p>
        </w:tc>
      </w:tr>
      <w:tr>
        <w:trPr>
          <w:cantSplit w:val="true"/>
        </w:trPr>
        <w:tc>
          <w:tcPr>
            <w:tcW w:w="79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2008-12</w:t>
            </w:r>
          </w:p>
        </w:tc>
        <w:tc>
          <w:tcPr>
            <w:tcW w:w="84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SP-42</w:t>
            </w:r>
          </w:p>
        </w:tc>
        <w:tc>
          <w:tcPr>
            <w:tcW w:w="118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Update to Rel-8 version (MCC)</w:t>
            </w:r>
          </w:p>
        </w:tc>
        <w:tc>
          <w:tcPr>
            <w:tcW w:w="712"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7.0.0</w:t>
            </w:r>
          </w:p>
        </w:tc>
        <w:tc>
          <w:tcPr>
            <w:tcW w:w="8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8.0.0</w:t>
            </w:r>
          </w:p>
        </w:tc>
      </w:tr>
      <w:tr>
        <w:trPr>
          <w:cantSplit w:val="true"/>
        </w:trPr>
        <w:tc>
          <w:tcPr>
            <w:tcW w:w="79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2008-12</w:t>
            </w:r>
          </w:p>
        </w:tc>
        <w:tc>
          <w:tcPr>
            <w:tcW w:w="84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SP-46</w:t>
            </w:r>
          </w:p>
        </w:tc>
        <w:tc>
          <w:tcPr>
            <w:tcW w:w="118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Update to Rel-9 version (MCC)</w:t>
            </w:r>
          </w:p>
        </w:tc>
        <w:tc>
          <w:tcPr>
            <w:tcW w:w="712"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8.0.0</w:t>
            </w:r>
          </w:p>
        </w:tc>
        <w:tc>
          <w:tcPr>
            <w:tcW w:w="8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9.0.0</w:t>
            </w:r>
          </w:p>
        </w:tc>
      </w:tr>
      <w:tr>
        <w:trPr>
          <w:cantSplit w:val="true"/>
        </w:trPr>
        <w:tc>
          <w:tcPr>
            <w:tcW w:w="79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2011-03</w:t>
            </w:r>
          </w:p>
        </w:tc>
        <w:tc>
          <w:tcPr>
            <w:tcW w:w="849"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SP-51</w:t>
            </w:r>
          </w:p>
        </w:tc>
        <w:tc>
          <w:tcPr>
            <w:tcW w:w="1185"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6" w:space="0" w:color="000000"/>
            </w:tcBorders>
            <w:shd w:fill="FFFFFF" w:val="clear"/>
            <w:vAlign w:val="center"/>
          </w:tcPr>
          <w:p>
            <w:pPr>
              <w:pStyle w:val="TAL"/>
              <w:rPr>
                <w:sz w:val="16"/>
                <w:szCs w:val="16"/>
                <w:lang w:eastAsia="ko-KR"/>
              </w:rPr>
            </w:pPr>
            <w:r>
              <w:rPr>
                <w:sz w:val="16"/>
                <w:szCs w:val="16"/>
                <w:lang w:eastAsia="ko-KR"/>
              </w:rPr>
              <w:t>-</w:t>
            </w:r>
          </w:p>
        </w:tc>
        <w:tc>
          <w:tcPr>
            <w:tcW w:w="4677"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Update to Rel-10 version (MCC)</w:t>
            </w:r>
          </w:p>
        </w:tc>
        <w:tc>
          <w:tcPr>
            <w:tcW w:w="712" w:type="dxa"/>
            <w:tcBorders>
              <w:top w:val="single" w:sz="12" w:space="0" w:color="000000"/>
              <w:start w:val="single" w:sz="6" w:space="0" w:color="000000"/>
              <w:bottom w:val="single" w:sz="6" w:space="0" w:color="000000"/>
            </w:tcBorders>
            <w:shd w:fill="FFFFFF" w:val="clear"/>
          </w:tcPr>
          <w:p>
            <w:pPr>
              <w:pStyle w:val="TAL"/>
              <w:rPr>
                <w:sz w:val="16"/>
                <w:szCs w:val="16"/>
                <w:lang w:eastAsia="ko-KR"/>
              </w:rPr>
            </w:pPr>
            <w:r>
              <w:rPr>
                <w:sz w:val="16"/>
                <w:szCs w:val="16"/>
                <w:lang w:eastAsia="ko-KR"/>
              </w:rPr>
              <w:t>9.0.0</w:t>
            </w:r>
          </w:p>
        </w:tc>
        <w:tc>
          <w:tcPr>
            <w:tcW w:w="824"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lang w:eastAsia="ko-KR"/>
              </w:rPr>
            </w:pPr>
            <w:r>
              <w:rPr>
                <w:sz w:val="16"/>
                <w:szCs w:val="16"/>
                <w:lang w:eastAsia="ko-KR"/>
              </w:rPr>
              <w:t>10.0.0</w:t>
            </w:r>
          </w:p>
        </w:tc>
      </w:tr>
      <w:tr>
        <w:trPr>
          <w:cantSplit w:val="true"/>
        </w:trPr>
        <w:tc>
          <w:tcPr>
            <w:tcW w:w="799"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849"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1185"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567" w:type="dxa"/>
            <w:tcBorders>
              <w:top w:val="single" w:sz="6" w:space="0" w:color="000000"/>
              <w:start w:val="single" w:sz="6" w:space="0" w:color="000000"/>
              <w:bottom w:val="single" w:sz="6" w:space="0" w:color="000000"/>
            </w:tcBorders>
            <w:shd w:fill="FFFFFF" w:val="clear"/>
            <w:vAlign w:val="center"/>
          </w:tcPr>
          <w:p>
            <w:pPr>
              <w:pStyle w:val="TAL"/>
              <w:snapToGrid w:val="false"/>
              <w:rPr>
                <w:sz w:val="16"/>
                <w:szCs w:val="16"/>
                <w:lang w:eastAsia="ko-KR"/>
              </w:rPr>
            </w:pPr>
            <w:r>
              <w:rPr>
                <w:sz w:val="16"/>
                <w:szCs w:val="16"/>
                <w:lang w:eastAsia="ko-KR"/>
              </w:rPr>
            </w:r>
          </w:p>
        </w:tc>
        <w:tc>
          <w:tcPr>
            <w:tcW w:w="4677"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712" w:type="dxa"/>
            <w:tcBorders>
              <w:top w:val="single" w:sz="6" w:space="0" w:color="000000"/>
              <w:start w:val="single" w:sz="6" w:space="0" w:color="000000"/>
              <w:bottom w:val="single" w:sz="6" w:space="0" w:color="000000"/>
            </w:tcBorders>
            <w:shd w:fill="FFFFFF" w:val="clear"/>
          </w:tcPr>
          <w:p>
            <w:pPr>
              <w:pStyle w:val="TAL"/>
              <w:snapToGrid w:val="false"/>
              <w:rPr>
                <w:sz w:val="16"/>
                <w:szCs w:val="16"/>
                <w:lang w:eastAsia="ko-KR"/>
              </w:rPr>
            </w:pPr>
            <w:r>
              <w:rPr>
                <w:sz w:val="16"/>
                <w:szCs w:val="16"/>
                <w:lang w:eastAsia="ko-KR"/>
              </w:rPr>
            </w:r>
          </w:p>
        </w:tc>
        <w:tc>
          <w:tcPr>
            <w:tcW w:w="82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szCs w:val="16"/>
                <w:lang w:eastAsia="ko-KR"/>
              </w:rPr>
            </w:pPr>
            <w:r>
              <w:rPr>
                <w:sz w:val="16"/>
                <w:szCs w:val="16"/>
                <w:lang w:eastAsia="ko-KR"/>
              </w:rPr>
            </w:r>
          </w:p>
        </w:tc>
      </w:tr>
    </w:tbl>
    <w:p>
      <w:pPr>
        <w:pStyle w:val="Normal"/>
        <w:widowControl/>
        <w:bidi w:val="0"/>
        <w:spacing w:before="0" w:after="180"/>
        <w:rPr/>
      </w:pPr>
      <w:r>
        <w:rPr/>
      </w:r>
      <w:bookmarkStart w:id="89" w:name="historyclause"/>
      <w:bookmarkStart w:id="90" w:name="historyclause"/>
      <w:bookmarkEnd w:id="90"/>
    </w:p>
    <w:sectPr>
      <w:headerReference w:type="default" r:id="rId29"/>
      <w:footerReference w:type="default" r:id="rId3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23.240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23.240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3">
    <w:lvl w:ilvl="0">
      <w:start w:val="1"/>
      <w:numFmt w:val="bullet"/>
      <w:lvlText w:val="-"/>
      <w:lvlJc w:val="start"/>
      <w:pPr>
        <w:tabs>
          <w:tab w:val="num" w:pos="360"/>
        </w:tabs>
        <w:ind w:start="360" w:hanging="360"/>
      </w:pPr>
      <w:rPr>
        <w:rFonts w:ascii="Liberation Serif" w:hAnsi="Liberation Serif" w:cs="Liberation Serif"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H1">
    <w:name w:val="TH1"/>
    <w:basedOn w:val="TH"/>
    <w:qFormat/>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projectliberty.org/" TargetMode="External"/><Relationship Id="rId8" Type="http://schemas.openxmlformats.org/officeDocument/2006/relationships/hyperlink" Target="http://www.projectliberty.org/" TargetMode="External"/><Relationship Id="rId9" Type="http://schemas.openxmlformats.org/officeDocument/2006/relationships/hyperlink" Target="http://www.projectliberty.org/" TargetMode="External"/><Relationship Id="rId10" Type="http://schemas.openxmlformats.org/officeDocument/2006/relationships/hyperlink" Target="http://www.projectliberty.org/" TargetMode="External"/><Relationship Id="rId11" Type="http://schemas.openxmlformats.org/officeDocument/2006/relationships/hyperlink" Target="http://www.projectliberty.org/" TargetMode="External"/><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image" Target="media/image6.wmf"/><Relationship Id="rId18" Type="http://schemas.openxmlformats.org/officeDocument/2006/relationships/oleObject" Target="embeddings/oleObject6.bin"/><Relationship Id="rId19" Type="http://schemas.openxmlformats.org/officeDocument/2006/relationships/image" Target="media/image7.wmf"/><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oleObject" Target="embeddings/oleObject7.bin"/><Relationship Id="rId23" Type="http://schemas.openxmlformats.org/officeDocument/2006/relationships/image" Target="media/image10.wmf"/><Relationship Id="rId24" Type="http://schemas.openxmlformats.org/officeDocument/2006/relationships/oleObject" Target="embeddings/oleObject8.bin"/><Relationship Id="rId25" Type="http://schemas.openxmlformats.org/officeDocument/2006/relationships/image" Target="media/image11.wmf"/><Relationship Id="rId26" Type="http://schemas.openxmlformats.org/officeDocument/2006/relationships/oleObject" Target="embeddings/oleObject9.bin"/><Relationship Id="rId27" Type="http://schemas.openxmlformats.org/officeDocument/2006/relationships/image" Target="media/image12.wmf"/><Relationship Id="rId28" Type="http://schemas.openxmlformats.org/officeDocument/2006/relationships/hyperlink" Target="mailto:joe.doe@operatorA.com" TargetMode="Externa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2008-12-15T09:20:00Z</dcterms:created>
  <dc:creator>MCC Support</dc:creator>
  <dc:description/>
  <cp:keywords>LTE UMTS GSM architecture user</cp:keywords>
  <dc:language>en-US</dc:language>
  <cp:lastModifiedBy>John M Meredith</cp:lastModifiedBy>
  <dcterms:modified xsi:type="dcterms:W3CDTF">2011-03-29T14:35:00Z</dcterms:modified>
  <cp:revision>6</cp:revision>
  <dc:subject>3GPP Generic User Profile (GUP); Architecture (Stage 2) (Release 10)</dc:subject>
  <dc:title>3GPP TS 23.240</dc:title>
</cp:coreProperties>
</file>