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902450" cy="452755"/>
                <wp:effectExtent l="0" t="0" r="0" b="0"/>
                <wp:wrapTopAndBottom/>
                <wp:docPr id="7" name="Frame7"/>
                <a:graphic xmlns:a="http://schemas.openxmlformats.org/drawingml/2006/main">
                  <a:graphicData uri="http://schemas.microsoft.com/office/word/2010/wordprocessingShape">
                    <wps:wsp>
                      <wps:cNvSpPr txBox="1"/>
                      <wps:spPr>
                        <a:xfrm>
                          <a:off x="0" y="0"/>
                          <a:ext cx="690245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CF, supplementary service, stage 3</w:t>
                            </w:r>
                          </w:p>
                        </w:txbxContent>
                      </wps:txbx>
                      <wps:bodyPr anchor="t" lIns="0" tIns="0" rIns="0" bIns="12700">
                        <a:noAutofit/>
                      </wps:bodyPr>
                    </wps:wsp>
                  </a:graphicData>
                </a:graphic>
              </wp:anchor>
            </w:drawing>
          </mc:Choice>
          <mc:Fallback>
            <w:pict>
              <v:rect fillcolor="#FFFFFF" style="position:absolute;rotation:0;width:543.5pt;height:35.65pt;mso-wrap-distance-left:0pt;mso-wrap-distance-right:0pt;mso-wrap-distance-top:0pt;mso-wrap-distance-bottom:0pt;margin-top:141.85pt;mso-position-vertical-relative:page;margin-left:-4.9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CF,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89427">
            <w:r>
              <w:rPr>
                <w:rStyle w:val="IndexLink"/>
              </w:rPr>
              <w:t>4</w:t>
            </w:r>
          </w:hyperlink>
        </w:p>
        <w:p>
          <w:pPr>
            <w:pStyle w:val="Contents1"/>
            <w:tabs>
              <w:tab w:val="clear" w:pos="9639"/>
              <w:tab w:val="right" w:pos="9638" w:leader="dot"/>
            </w:tabs>
            <w:rPr/>
          </w:pPr>
          <w:r>
            <w:rPr/>
            <w:t>1 Scope</w:t>
            <w:tab/>
          </w:r>
          <w:hyperlink w:anchor="__RefHeading___Toc217189428">
            <w:r>
              <w:rPr>
                <w:rStyle w:val="IndexLink"/>
              </w:rPr>
              <w:t>5</w:t>
            </w:r>
          </w:hyperlink>
        </w:p>
        <w:p>
          <w:pPr>
            <w:pStyle w:val="Contents1"/>
            <w:tabs>
              <w:tab w:val="clear" w:pos="9639"/>
              <w:tab w:val="right" w:pos="9638" w:leader="dot"/>
            </w:tabs>
            <w:rPr/>
          </w:pPr>
          <w:r>
            <w:rPr/>
            <w:t>2 References</w:t>
            <w:tab/>
          </w:r>
          <w:hyperlink w:anchor="__RefHeading___Toc217189429">
            <w:r>
              <w:rPr>
                <w:rStyle w:val="IndexLink"/>
              </w:rPr>
              <w:t>5</w:t>
            </w:r>
          </w:hyperlink>
        </w:p>
        <w:p>
          <w:pPr>
            <w:pStyle w:val="Contents1"/>
            <w:tabs>
              <w:tab w:val="clear" w:pos="9639"/>
              <w:tab w:val="right" w:pos="9638" w:leader="dot"/>
            </w:tabs>
            <w:rPr/>
          </w:pPr>
          <w:r>
            <w:rPr/>
            <w:t>3 Definitions and abbreviations</w:t>
            <w:tab/>
          </w:r>
          <w:hyperlink w:anchor="__RefHeading___Toc217189430">
            <w:r>
              <w:rPr>
                <w:rStyle w:val="IndexLink"/>
              </w:rPr>
              <w:t>5</w:t>
            </w:r>
          </w:hyperlink>
        </w:p>
        <w:p>
          <w:pPr>
            <w:pStyle w:val="Contents2"/>
            <w:tabs>
              <w:tab w:val="clear" w:pos="9639"/>
              <w:tab w:val="right" w:pos="9638" w:leader="dot"/>
            </w:tabs>
            <w:rPr/>
          </w:pPr>
          <w:r>
            <w:rPr/>
            <w:t>3.1 Abbreviations</w:t>
            <w:tab/>
          </w:r>
          <w:hyperlink w:anchor="__RefHeading___Toc217189431">
            <w:r>
              <w:rPr>
                <w:rStyle w:val="IndexLink"/>
              </w:rPr>
              <w:t>5</w:t>
            </w:r>
          </w:hyperlink>
        </w:p>
        <w:p>
          <w:pPr>
            <w:pStyle w:val="Contents1"/>
            <w:tabs>
              <w:tab w:val="clear" w:pos="9639"/>
              <w:tab w:val="right" w:pos="9638" w:leader="dot"/>
            </w:tabs>
            <w:rPr/>
          </w:pPr>
          <w:r>
            <w:rPr/>
            <w:t>4 Call Deflection (CD)</w:t>
            <w:tab/>
          </w:r>
          <w:hyperlink w:anchor="__RefHeading___Toc217189432">
            <w:r>
              <w:rPr>
                <w:rStyle w:val="IndexLink"/>
              </w:rPr>
              <w:t>6</w:t>
            </w:r>
          </w:hyperlink>
        </w:p>
        <w:p>
          <w:pPr>
            <w:pStyle w:val="Contents2"/>
            <w:tabs>
              <w:tab w:val="clear" w:pos="9639"/>
              <w:tab w:val="right" w:pos="9638" w:leader="dot"/>
            </w:tabs>
            <w:rPr/>
          </w:pPr>
          <w:r>
            <w:rPr/>
            <w:t>4.1 Normal operation</w:t>
            <w:tab/>
          </w:r>
          <w:hyperlink w:anchor="__RefHeading___Toc217189433">
            <w:r>
              <w:rPr>
                <w:rStyle w:val="IndexLink"/>
              </w:rPr>
              <w:t>6</w:t>
            </w:r>
          </w:hyperlink>
        </w:p>
        <w:p>
          <w:pPr>
            <w:pStyle w:val="Contents3"/>
            <w:tabs>
              <w:tab w:val="clear" w:pos="9639"/>
              <w:tab w:val="right" w:pos="9638" w:leader="dot"/>
            </w:tabs>
            <w:rPr/>
          </w:pPr>
          <w:r>
            <w:rPr/>
            <w:t>4.1.1 Served mobile subscriber side</w:t>
            <w:tab/>
          </w:r>
          <w:hyperlink w:anchor="__RefHeading___Toc217189434">
            <w:r>
              <w:rPr>
                <w:rStyle w:val="IndexLink"/>
              </w:rPr>
              <w:t>6</w:t>
            </w:r>
          </w:hyperlink>
        </w:p>
        <w:p>
          <w:pPr>
            <w:pStyle w:val="Contents3"/>
            <w:tabs>
              <w:tab w:val="clear" w:pos="9639"/>
              <w:tab w:val="right" w:pos="9638" w:leader="dot"/>
            </w:tabs>
            <w:rPr/>
          </w:pPr>
          <w:r>
            <w:rPr/>
            <w:t>4.1.2 Deflected-to mobile subscriber side</w:t>
            <w:tab/>
          </w:r>
          <w:hyperlink w:anchor="__RefHeading___Toc217189435">
            <w:r>
              <w:rPr>
                <w:rStyle w:val="IndexLink"/>
              </w:rPr>
              <w:t>7</w:t>
            </w:r>
          </w:hyperlink>
        </w:p>
        <w:p>
          <w:pPr>
            <w:pStyle w:val="Contents3"/>
            <w:tabs>
              <w:tab w:val="clear" w:pos="9639"/>
              <w:tab w:val="right" w:pos="9638" w:leader="dot"/>
            </w:tabs>
            <w:rPr/>
          </w:pPr>
          <w:r>
            <w:rPr/>
            <w:t>4.1.3 Calling mobile subscriber side</w:t>
            <w:tab/>
          </w:r>
          <w:hyperlink w:anchor="__RefHeading___Toc217189436">
            <w:r>
              <w:rPr>
                <w:rStyle w:val="IndexLink"/>
              </w:rPr>
              <w:t>7</w:t>
            </w:r>
          </w:hyperlink>
        </w:p>
        <w:p>
          <w:pPr>
            <w:pStyle w:val="Contents8"/>
            <w:tabs>
              <w:tab w:val="clear" w:pos="9639"/>
              <w:tab w:val="right" w:pos="9638" w:leader="dot"/>
            </w:tabs>
            <w:rPr/>
          </w:pPr>
          <w:r>
            <w:rPr/>
            <w:t>Annex A (informative): Change history</w:t>
            <w:tab/>
          </w:r>
          <w:hyperlink w:anchor="__RefHeading___Toc217189437">
            <w:r>
              <w:rPr>
                <w:rStyle w:val="IndexLink"/>
              </w:rPr>
              <w:t>8</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9" w:name="__RefHeading___Toc217189427"/>
      <w:bookmarkEnd w:id="9"/>
      <w:r>
        <w:rPr/>
        <w:t>Foreword</w:t>
      </w:r>
    </w:p>
    <w:p>
      <w:pPr>
        <w:pStyle w:val="Normal"/>
        <w:rPr/>
      </w:pPr>
      <w:r>
        <w:rPr/>
        <w:t>This Technical Specification has been produced by the 3GPP.</w:t>
      </w:r>
    </w:p>
    <w:p>
      <w:pPr>
        <w:pStyle w:val="Normal"/>
        <w:rPr/>
      </w:pPr>
      <w:r>
        <w:rPr/>
        <w:t>This TS describes procedures on the radio interface for the call deflection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10" w:name="__RefHeading___Toc217189428"/>
      <w:bookmarkEnd w:id="10"/>
      <w:r>
        <w:rPr/>
        <w:t>1</w:t>
        <w:tab/>
        <w:t>Scope</w:t>
      </w:r>
    </w:p>
    <w:p>
      <w:pPr>
        <w:pStyle w:val="Normal"/>
        <w:rPr/>
      </w:pPr>
      <w:r>
        <w:rPr/>
        <w:t>This Global System for Mobile communications Technical Specification specifies the procedures used at the radio interface (reference point Um as defined in 3GPP TS 24.002) for normal operation of Call Deflection (CD) supplementary service. Provision and withdrawal of supplementary services is an administrative matter between the mobile subscriber and the service provider and cause no signalling on the radio interface.</w:t>
      </w:r>
    </w:p>
    <w:p>
      <w:pPr>
        <w:pStyle w:val="Heading1"/>
        <w:ind w:start="1134" w:hanging="1134"/>
        <w:rPr/>
      </w:pPr>
      <w:bookmarkStart w:id="11" w:name="__RefHeading___Toc217189429"/>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22.072: "Call Deflection (CD) supplementary service  Stage 1".</w:t>
      </w:r>
    </w:p>
    <w:p>
      <w:pPr>
        <w:pStyle w:val="EX"/>
        <w:rPr/>
      </w:pPr>
      <w:r>
        <w:rPr/>
        <w:t>[3]</w:t>
        <w:tab/>
        <w:t>3GPP TS 24.002: "GSM Public Land Mobile Network (PLMN) access reference configuration".</w:t>
      </w:r>
    </w:p>
    <w:p>
      <w:pPr>
        <w:pStyle w:val="EX"/>
        <w:rPr/>
      </w:pPr>
      <w:r>
        <w:rPr/>
        <w:t>[4]</w:t>
        <w:tab/>
        <w:t>3GPP TS 24.008: "Mobile radio interface Layer 3 specification; Core network protocols; Stage 3".</w:t>
      </w:r>
    </w:p>
    <w:p>
      <w:pPr>
        <w:pStyle w:val="EX"/>
        <w:rPr/>
      </w:pPr>
      <w:r>
        <w:rPr/>
        <w:t>[5]</w:t>
        <w:tab/>
        <w:t>3GPP TS 24.080: "Mobile radio interface layer 3 supplementary services specification; Formats and coding".</w:t>
      </w:r>
    </w:p>
    <w:p>
      <w:pPr>
        <w:pStyle w:val="Heading1"/>
        <w:ind w:start="1134" w:hanging="1134"/>
        <w:rPr/>
      </w:pPr>
      <w:bookmarkStart w:id="12" w:name="__RefHeading___Toc217189430"/>
      <w:bookmarkEnd w:id="12"/>
      <w:r>
        <w:rPr/>
        <w:t>3</w:t>
        <w:tab/>
        <w:t>Definitions and abbreviations</w:t>
      </w:r>
    </w:p>
    <w:p>
      <w:pPr>
        <w:pStyle w:val="Heading2"/>
        <w:rPr/>
      </w:pPr>
      <w:bookmarkStart w:id="13" w:name="__RefHeading___Toc217189431"/>
      <w:bookmarkEnd w:id="13"/>
      <w:r>
        <w:rPr/>
        <w:t>3.1</w:t>
        <w:tab/>
        <w:t>Abbreviations</w:t>
      </w:r>
    </w:p>
    <w:p>
      <w:pPr>
        <w:pStyle w:val="Normal"/>
        <w:rPr/>
      </w:pPr>
      <w:r>
        <w:rPr/>
        <w:t>Abbreviations used in this specification are listed in 3GPP TS 21.905.</w:t>
      </w:r>
    </w:p>
    <w:p>
      <w:pPr>
        <w:pStyle w:val="Heading1"/>
        <w:ind w:start="1134" w:hanging="1134"/>
        <w:rPr/>
      </w:pPr>
      <w:bookmarkStart w:id="14" w:name="__RefHeading___Toc217189432"/>
      <w:bookmarkEnd w:id="14"/>
      <w:r>
        <w:rPr/>
        <w:t>4</w:t>
        <w:tab/>
        <w:t>Call Deflection (CD)</w:t>
      </w:r>
    </w:p>
    <w:p>
      <w:pPr>
        <w:pStyle w:val="Heading2"/>
        <w:rPr/>
      </w:pPr>
      <w:bookmarkStart w:id="15" w:name="__RefHeading___Toc217189433"/>
      <w:bookmarkEnd w:id="15"/>
      <w:r>
        <w:rPr/>
        <w:t>4.1</w:t>
        <w:tab/>
        <w:t>Normal operation</w:t>
      </w:r>
    </w:p>
    <w:p>
      <w:pPr>
        <w:pStyle w:val="Heading3"/>
        <w:rPr/>
      </w:pPr>
      <w:bookmarkStart w:id="16" w:name="__RefHeading___Toc217189434"/>
      <w:bookmarkEnd w:id="16"/>
      <w:r>
        <w:rPr/>
        <w:t>4.1.1</w:t>
        <w:tab/>
        <w:t>Served mobile subscriber side</w:t>
      </w:r>
    </w:p>
    <w:p>
      <w:pPr>
        <w:pStyle w:val="Normal"/>
        <w:keepNext w:val="true"/>
        <w:keepLines/>
        <w:rPr/>
      </w:pPr>
      <w:r>
        <w:rPr/>
        <w:t>The served mobile subscriber may invoke the call deflection supplementary service if an incoming call is offered. According to 3GPP TS 22.072 this may happen as an automatic response from the mobile station if the call is offered or as the result of a subscriber action.</w:t>
      </w:r>
    </w:p>
    <w:p>
      <w:pPr>
        <w:pStyle w:val="Normal"/>
        <w:keepNext w:val="true"/>
        <w:keepLines/>
        <w:rPr/>
      </w:pPr>
      <w:r>
        <w:rPr/>
        <w:t>The mobile station shall invoke the call deflection supplementary service by initiating call clearing with a DISCONNECT message including the call deflection request (refer to figure 4.1). The call deflection request shall contain the DeflectedToNumber which may be accompanied by a DeflectedToSubAddress.</w:t>
      </w:r>
    </w:p>
    <w:p>
      <w:pPr>
        <w:pStyle w:val="Normal"/>
        <w:rPr/>
      </w:pPr>
      <w:r>
        <w:rPr/>
        <w:t>The MS may invoke the call deflection supplementary service at every time after call confirmation until the call is accepted (refer to 3GPP TS 24.008). If the network accepts the call deflection request, it shall continue call clearing. The result indication shall be returned to the mobile station in the RELEASE message.</w:t>
      </w:r>
    </w:p>
    <w:p>
      <w:pPr>
        <w:pStyle w:val="Normal"/>
        <w:rPr/>
      </w:pPr>
      <w:r>
        <w:rPr/>
        <w:t xml:space="preserve">If the network cannot accept the call deflection request, it shall continue call clearing. The corresponding error indication shall be returned to the mobile station in the RELEASE message. Error values are specified in 3GPP TS 24.080. </w:t>
      </w:r>
    </w:p>
    <w:p>
      <w:pPr>
        <w:pStyle w:val="Normal"/>
        <w:rPr/>
      </w:pPr>
      <w:r>
        <w:rPr/>
        <w:t>During the call deflection request the MS shall run a timer TCD</w:t>
      </w:r>
      <w:r>
        <w:rPr>
          <w:vanish/>
        </w:rPr>
        <w:t xml:space="preserve"> (T305)</w:t>
      </w:r>
      <w:r>
        <w:rPr/>
        <w:t>. This timer is started when the call deflection request is sent and stopped when a response is received from the network. If this timer expires the MS shall assume that the call deflection request has failed, locally release the invokeID, inform the user of the failure and continue call clearing as defined in 3GPP TS 24.008.</w:t>
      </w:r>
    </w:p>
    <w:p>
      <w:pPr>
        <w:pStyle w:val="Normal"/>
        <w:keepNext w:val="true"/>
        <w:tabs>
          <w:tab w:val="clear" w:pos="284"/>
          <w:tab w:val="left" w:pos="8352" w:leader="none"/>
        </w:tabs>
        <w:spacing w:before="0" w:after="0"/>
        <w:jc w:val="center"/>
        <w:rPr/>
      </w:pPr>
      <w:r>
        <w:rPr/>
        <w:t>MS</w:t>
        <w:tab/>
        <w:t>Network</w:t>
      </w:r>
    </w:p>
    <w:p>
      <w:pPr>
        <w:pStyle w:val="Normal"/>
        <w:keepNext w:val="true"/>
        <w:tabs>
          <w:tab w:val="clear" w:pos="284"/>
          <w:tab w:val="left" w:pos="720" w:leader="none"/>
          <w:tab w:val="right" w:pos="9360" w:leader="hyphen"/>
        </w:tabs>
        <w:spacing w:before="0" w:after="0"/>
        <w:jc w:val="center"/>
        <w:rPr/>
      </w:pPr>
      <w:r>
        <w:rPr/>
        <w:t>SETUP</w:t>
      </w:r>
    </w:p>
    <w:p>
      <w:pPr>
        <w:pStyle w:val="Normal"/>
        <w:keepNext w:val="true"/>
        <w:tabs>
          <w:tab w:val="clear" w:pos="284"/>
          <w:tab w:val="left" w:pos="720" w:leader="none"/>
          <w:tab w:val="right" w:pos="9360" w:leader="hyphen"/>
        </w:tabs>
        <w:spacing w:before="0" w:after="0"/>
        <w:jc w:val="center"/>
        <w:rPr/>
      </w:pPr>
      <w:r>
        <w:rPr/>
        <w:t>&lt;------------------------------------------------------------------------------------------------------------------------</w:t>
      </w:r>
    </w:p>
    <w:p>
      <w:pPr>
        <w:pStyle w:val="Normal"/>
        <w:keepNext w:val="true"/>
        <w:tabs>
          <w:tab w:val="clear" w:pos="284"/>
          <w:tab w:val="left" w:pos="720" w:leader="none"/>
          <w:tab w:val="right" w:pos="9360" w:leader="hyphen"/>
        </w:tabs>
        <w:spacing w:before="0" w:after="0"/>
        <w:jc w:val="center"/>
        <w:rPr/>
      </w:pPr>
      <w:r>
        <w:rPr/>
        <w:t>CALL CONFIRMED</w:t>
      </w:r>
    </w:p>
    <w:p>
      <w:pPr>
        <w:pStyle w:val="Normal"/>
        <w:keepNext w:val="true"/>
        <w:spacing w:lineRule="exact" w:line="200" w:before="0" w:after="0"/>
        <w:jc w:val="center"/>
        <w:rPr/>
      </w:pPr>
      <w:r>
        <w:rPr/>
        <w:t>------------------------------------------------------------------------------------------------------------------------&gt;</w:t>
      </w:r>
    </w:p>
    <w:p>
      <w:pPr>
        <w:pStyle w:val="Normal"/>
        <w:keepNext w:val="true"/>
        <w:tabs>
          <w:tab w:val="clear" w:pos="284"/>
          <w:tab w:val="left" w:pos="8352" w:leader="none"/>
        </w:tabs>
        <w:spacing w:before="0" w:after="0"/>
        <w:jc w:val="center"/>
        <w:rPr>
          <w:rFonts w:ascii="Symbol" w:hAnsi="Symbol"/>
          <w:sz w:val="20"/>
        </w:rPr>
      </w:pPr>
      <w:r>
        <w:rPr>
          <w:rFonts w:ascii="Symbol" w:hAnsi="Symbol"/>
          <w:sz w:val="20"/>
        </w:rPr>
        <w:t>·</w:t>
      </w:r>
    </w:p>
    <w:p>
      <w:pPr>
        <w:pStyle w:val="Normal"/>
        <w:keepNext w:val="true"/>
        <w:tabs>
          <w:tab w:val="clear" w:pos="284"/>
          <w:tab w:val="left" w:pos="8352" w:leader="none"/>
        </w:tabs>
        <w:spacing w:before="0" w:after="0"/>
        <w:jc w:val="center"/>
        <w:rPr>
          <w:rFonts w:ascii="Symbol" w:hAnsi="Symbol"/>
          <w:sz w:val="20"/>
        </w:rPr>
      </w:pPr>
      <w:r>
        <w:rPr>
          <w:rFonts w:ascii="Symbol" w:hAnsi="Symbol"/>
          <w:sz w:val="20"/>
        </w:rPr>
        <w:t>·</w:t>
      </w:r>
    </w:p>
    <w:p>
      <w:pPr>
        <w:pStyle w:val="Normal"/>
        <w:keepNext w:val="true"/>
        <w:tabs>
          <w:tab w:val="clear" w:pos="284"/>
          <w:tab w:val="left" w:pos="8352" w:leader="none"/>
        </w:tabs>
        <w:spacing w:before="0" w:after="0"/>
        <w:jc w:val="center"/>
        <w:rPr>
          <w:rFonts w:ascii="Symbol" w:hAnsi="Symbol"/>
          <w:sz w:val="20"/>
        </w:rPr>
      </w:pPr>
      <w:r>
        <w:rPr>
          <w:rFonts w:ascii="Symbol" w:hAnsi="Symbol"/>
          <w:sz w:val="20"/>
        </w:rPr>
        <w:t>·</w:t>
      </w:r>
    </w:p>
    <w:p>
      <w:pPr>
        <w:pStyle w:val="Normal"/>
        <w:keepNext w:val="true"/>
        <w:tabs>
          <w:tab w:val="clear" w:pos="284"/>
          <w:tab w:val="left" w:pos="720" w:leader="none"/>
          <w:tab w:val="right" w:pos="9360" w:leader="hyphen"/>
        </w:tabs>
        <w:spacing w:before="0" w:after="0"/>
        <w:jc w:val="center"/>
        <w:rPr/>
      </w:pPr>
      <w:r>
        <w:rPr/>
        <w:t>DISCONNECT</w:t>
      </w:r>
    </w:p>
    <w:p>
      <w:pPr>
        <w:pStyle w:val="Normal"/>
        <w:keepNext w:val="true"/>
        <w:spacing w:lineRule="exact" w:line="200" w:before="0" w:after="0"/>
        <w:jc w:val="center"/>
        <w:rPr/>
      </w:pPr>
      <w:r>
        <w:rPr/>
        <w:t>------------------------------------------------------------------------------------------------------------------------&gt;</w:t>
      </w:r>
    </w:p>
    <w:p>
      <w:pPr>
        <w:pStyle w:val="Normal"/>
        <w:keepNext w:val="true"/>
        <w:tabs>
          <w:tab w:val="clear" w:pos="284"/>
          <w:tab w:val="left" w:pos="720" w:leader="none"/>
          <w:tab w:val="left" w:pos="1440" w:leader="none"/>
          <w:tab w:val="left" w:pos="2160" w:leader="none"/>
        </w:tabs>
        <w:spacing w:before="0" w:after="0"/>
        <w:jc w:val="center"/>
        <w:rPr/>
      </w:pPr>
      <w:r>
        <w:rPr/>
        <w:t>Facility (Invoke = CallDeflection (DeflectedToNumber, DeflectedToSubAddress))</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RELEASE</w:t>
      </w:r>
    </w:p>
    <w:p>
      <w:pPr>
        <w:pStyle w:val="Normal"/>
        <w:keepNext w:val="true"/>
        <w:spacing w:lineRule="exact" w:line="200" w:before="0" w:after="0"/>
        <w:jc w:val="center"/>
        <w:rPr/>
      </w:pPr>
      <w:r>
        <w:rPr/>
        <w:t>&lt;------------------------------------------------------------------------------------------------------------------------</w:t>
      </w:r>
    </w:p>
    <w:p>
      <w:pPr>
        <w:pStyle w:val="Normal"/>
        <w:keepNext w:val="true"/>
        <w:tabs>
          <w:tab w:val="clear" w:pos="284"/>
          <w:tab w:val="left" w:pos="720" w:leader="none"/>
          <w:tab w:val="left" w:pos="1440" w:leader="none"/>
          <w:tab w:val="left" w:pos="2160" w:leader="none"/>
        </w:tabs>
        <w:spacing w:before="0" w:after="0"/>
        <w:jc w:val="center"/>
        <w:rPr/>
      </w:pPr>
      <w:r>
        <w:rPr/>
        <w:t>Facility (Return result)</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RELEASE</w:t>
      </w:r>
    </w:p>
    <w:p>
      <w:pPr>
        <w:pStyle w:val="Normal"/>
        <w:keepNext w:val="true"/>
        <w:spacing w:lineRule="exact" w:line="200" w:before="0" w:after="0"/>
        <w:jc w:val="center"/>
        <w:rPr/>
      </w:pPr>
      <w:r>
        <w:rPr/>
        <w:t>&lt;-  -  -  -  -  -  -  -  -  -  -  -  -  -  -  -  -  -  -  -  -  -  -  -  -  -  -  -  -  -  -  -  -  -  -  -  -  -  -  -  -  -  -  -  -  -  -</w:t>
      </w:r>
    </w:p>
    <w:p>
      <w:pPr>
        <w:pStyle w:val="Normal"/>
        <w:keepNext w:val="true"/>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tabs>
          <w:tab w:val="clear" w:pos="284"/>
          <w:tab w:val="left" w:pos="720" w:leader="none"/>
          <w:tab w:val="left" w:pos="1440" w:leader="none"/>
          <w:tab w:val="left" w:pos="2160" w:leader="none"/>
        </w:tabs>
        <w:spacing w:before="0" w:after="0"/>
        <w:jc w:val="center"/>
        <w:rPr/>
      </w:pPr>
      <w:r>
        <w:rPr/>
      </w:r>
    </w:p>
    <w:p>
      <w:pPr>
        <w:pStyle w:val="Normal"/>
        <w:keepNext w:val="true"/>
        <w:spacing w:lineRule="exact" w:line="200" w:before="0" w:after="0"/>
        <w:jc w:val="center"/>
        <w:rPr/>
      </w:pPr>
      <w:r>
        <w:rPr/>
        <w:t>RELEASE</w:t>
      </w:r>
    </w:p>
    <w:p>
      <w:pPr>
        <w:pStyle w:val="Normal"/>
        <w:keepNext w:val="true"/>
        <w:spacing w:lineRule="exact" w:line="200" w:before="0" w:after="0"/>
        <w:jc w:val="center"/>
        <w:rPr/>
      </w:pPr>
      <w:r>
        <w:rPr/>
        <w:t>&lt;-  -  -  -  -  -  -  -  -  -  -  -  -  -  -  -  -  -  -  -  -  -  -  -  -  -  -  -  -  -  -  -  -  -  -  -  -  -  -  -  -  -  -  -  -  -  -</w:t>
      </w:r>
    </w:p>
    <w:p>
      <w:pPr>
        <w:pStyle w:val="Normal"/>
        <w:keepNext w:val="true"/>
        <w:tabs>
          <w:tab w:val="clear" w:pos="284"/>
          <w:tab w:val="left" w:pos="720" w:leader="none"/>
          <w:tab w:val="left" w:pos="1440" w:leader="none"/>
          <w:tab w:val="left" w:pos="2160" w:leader="none"/>
        </w:tabs>
        <w:spacing w:before="0" w:after="0"/>
        <w:jc w:val="center"/>
        <w:rPr/>
      </w:pPr>
      <w:r>
        <w:rPr/>
        <w:t>Facility (Reject = (Invoke Problem))</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RELEASE COMPLETE</w:t>
      </w:r>
    </w:p>
    <w:p>
      <w:pPr>
        <w:pStyle w:val="Normal"/>
        <w:keepNext w:val="true"/>
        <w:spacing w:lineRule="exact" w:line="200" w:before="0" w:after="0"/>
        <w:jc w:val="center"/>
        <w:rPr/>
      </w:pPr>
      <w:r>
        <w:rPr/>
        <w:t>------------------------------------------------------------------------------------------------------------------------&gt;</w:t>
      </w:r>
    </w:p>
    <w:p>
      <w:pPr>
        <w:pStyle w:val="Normal"/>
        <w:keepNext w:val="true"/>
        <w:tabs>
          <w:tab w:val="clear" w:pos="284"/>
          <w:tab w:val="left" w:pos="720" w:leader="none"/>
          <w:tab w:val="right" w:pos="9360" w:leader="hyphen"/>
        </w:tabs>
        <w:spacing w:before="0" w:after="0"/>
        <w:jc w:val="center"/>
        <w:rPr/>
      </w:pPr>
      <w:r>
        <w:rPr/>
      </w:r>
    </w:p>
    <w:p>
      <w:pPr>
        <w:pStyle w:val="TF"/>
        <w:keepLines w:val="false"/>
        <w:rPr/>
      </w:pPr>
      <w:r>
        <w:rPr/>
        <w:t>Figure 4.1: Call deflection invocation for an incoming call</w:t>
      </w:r>
    </w:p>
    <w:p>
      <w:pPr>
        <w:pStyle w:val="Heading3"/>
        <w:rPr/>
      </w:pPr>
      <w:bookmarkStart w:id="17" w:name="__RefHeading___Toc217189435"/>
      <w:bookmarkEnd w:id="17"/>
      <w:r>
        <w:rPr/>
        <w:t>4.1.2</w:t>
        <w:tab/>
        <w:t>Deflected-to mobile subscriber side</w:t>
      </w:r>
    </w:p>
    <w:p>
      <w:pPr>
        <w:pStyle w:val="Normal"/>
        <w:rPr/>
      </w:pPr>
      <w:r>
        <w:rPr/>
        <w:t>As for the call forwarding supplementary services the deflected-to mobile subscriber will receive a NotifySS operation containing the SS Notification indicating that the incoming call is a forwarded call. When available, the SS Code of the Call Deflection supplementary service is included, see figure 4.2.</w:t>
      </w:r>
    </w:p>
    <w:p>
      <w:pPr>
        <w:pStyle w:val="Normal"/>
        <w:rPr/>
      </w:pPr>
      <w:r>
        <w:rPr/>
        <w:t xml:space="preserve">When multiple diversions occurs the value of the SS Code shall relate to the last invoked diversion service. </w:t>
      </w:r>
    </w:p>
    <w:p>
      <w:pPr>
        <w:pStyle w:val="Normal"/>
        <w:rPr/>
      </w:pPr>
      <w:r>
        <w:rPr/>
        <w:t>In addition the deflected-to subscriber will receive the redirecting party BCD number and optionally, a redirecting party subaddress.</w:t>
      </w:r>
    </w:p>
    <w:p>
      <w:pPr>
        <w:pStyle w:val="Normal"/>
        <w:rPr/>
      </w:pPr>
      <w:r>
        <w:rPr/>
        <w:t>The redirecting party BCD number information element is made up of a number of information units as defined in 3GPP TS 24.008.</w:t>
      </w:r>
    </w:p>
    <w:p>
      <w:pPr>
        <w:pStyle w:val="Normal"/>
        <w:rPr/>
      </w:pPr>
      <w:r>
        <w:rPr/>
        <w:t>In addition to or instead of the redirecting party's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defined in 3GPP TS 24.008.</w:t>
      </w:r>
    </w:p>
    <w:p>
      <w:pPr>
        <w:pStyle w:val="Normal"/>
        <w:keepNext w:val="true"/>
        <w:tabs>
          <w:tab w:val="clear" w:pos="284"/>
          <w:tab w:val="left" w:pos="8352" w:leader="none"/>
        </w:tabs>
        <w:spacing w:before="0" w:after="0"/>
        <w:jc w:val="center"/>
        <w:rPr/>
      </w:pPr>
      <w:r>
        <w:rPr/>
        <w:t xml:space="preserve">      </w:t>
      </w:r>
      <w:r>
        <w:rPr/>
        <w:t>MS</w:t>
        <w:tab/>
        <w:t>Network</w:t>
      </w:r>
    </w:p>
    <w:p>
      <w:pPr>
        <w:pStyle w:val="Normal"/>
        <w:keepNext w:val="true"/>
        <w:tabs>
          <w:tab w:val="clear" w:pos="284"/>
          <w:tab w:val="left" w:pos="720" w:leader="none"/>
          <w:tab w:val="right" w:pos="9360" w:leader="hyphen"/>
        </w:tabs>
        <w:spacing w:before="0" w:after="0"/>
        <w:jc w:val="center"/>
        <w:rPr/>
      </w:pPr>
      <w:r>
        <w:rPr/>
        <w:t>SETUP</w:t>
      </w:r>
    </w:p>
    <w:p>
      <w:pPr>
        <w:pStyle w:val="Normal"/>
        <w:keepNext w:val="true"/>
        <w:spacing w:lineRule="exact" w:line="200" w:before="0" w:after="0"/>
        <w:jc w:val="center"/>
        <w:rPr/>
      </w:pPr>
      <w:r>
        <w:rPr/>
        <w:t>&lt;------------------------------------------------------------------------------------------------------------------------</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Facility (Invoke = NotifySS (CD, SS-Notification)),</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Redirecting party BCD number (screening indicator, presentation indicator, redirecting party digits),</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Redirecting party subaddress</w:t>
      </w:r>
    </w:p>
    <w:p>
      <w:pPr>
        <w:pStyle w:val="Normal"/>
        <w:keepNext w:val="true"/>
        <w:rPr/>
      </w:pPr>
      <w:r>
        <w:rPr/>
      </w:r>
    </w:p>
    <w:p>
      <w:pPr>
        <w:pStyle w:val="TF"/>
        <w:rPr/>
      </w:pPr>
      <w:r>
        <w:rPr/>
        <w:t>Figure 4.2: Notification to the forwarded to mobile subscriber that the incoming call is a forwarded call</w:t>
      </w:r>
    </w:p>
    <w:p>
      <w:pPr>
        <w:pStyle w:val="Heading3"/>
        <w:rPr/>
      </w:pPr>
      <w:bookmarkStart w:id="18" w:name="__RefHeading___Toc217189436"/>
      <w:bookmarkEnd w:id="18"/>
      <w:r>
        <w:rPr/>
        <w:t>4.1.3</w:t>
        <w:tab/>
        <w:t>Calling mobile subscriber side</w:t>
      </w:r>
    </w:p>
    <w:p>
      <w:pPr>
        <w:pStyle w:val="Normal"/>
        <w:rPr/>
      </w:pPr>
      <w:r>
        <w:rPr/>
        <w:t>As a subscription option, the served mobile subscriber can request that the calling mobile subscriber receives a NotifySS operation containing the SS Notification indicating that the call has been deflected. When available, the SS Code of the call deflection supplementary service is included, see figure 4.3.</w:t>
      </w:r>
    </w:p>
    <w:p>
      <w:pPr>
        <w:pStyle w:val="Normal"/>
        <w:keepNext w:val="true"/>
        <w:tabs>
          <w:tab w:val="clear" w:pos="284"/>
          <w:tab w:val="left" w:pos="8352" w:leader="none"/>
        </w:tabs>
        <w:spacing w:before="0" w:after="0"/>
        <w:jc w:val="center"/>
        <w:rPr/>
      </w:pPr>
      <w:r>
        <w:rPr/>
        <w:t>MS</w:t>
        <w:tab/>
        <w:t>Network</w:t>
      </w:r>
    </w:p>
    <w:p>
      <w:pPr>
        <w:pStyle w:val="Normal"/>
        <w:keepNext w:val="true"/>
        <w:tabs>
          <w:tab w:val="clear" w:pos="284"/>
          <w:tab w:val="left" w:pos="720" w:leader="none"/>
          <w:tab w:val="right" w:pos="9360" w:leader="hyphen"/>
        </w:tabs>
        <w:spacing w:before="0" w:after="0"/>
        <w:jc w:val="center"/>
        <w:rPr/>
      </w:pPr>
      <w:r>
        <w:rPr/>
        <w:t>SETUP</w:t>
      </w:r>
    </w:p>
    <w:p>
      <w:pPr>
        <w:pStyle w:val="Normal"/>
        <w:keepNext w:val="true"/>
        <w:spacing w:lineRule="exact" w:line="200" w:before="0" w:after="0"/>
        <w:jc w:val="center"/>
        <w:rPr/>
      </w:pPr>
      <w:r>
        <w:rPr/>
        <w:t>------------------------------------------------------------------------------------------------------------------------&gt;</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FACILITY</w:t>
      </w:r>
    </w:p>
    <w:p>
      <w:pPr>
        <w:pStyle w:val="Normal"/>
        <w:keepNext w:val="true"/>
        <w:spacing w:lineRule="exact" w:line="200" w:before="0" w:after="0"/>
        <w:jc w:val="center"/>
        <w:rPr/>
      </w:pPr>
      <w:r>
        <w:rPr/>
        <w:t>&lt;------------------------------------------------------------------------------------------------------------------------</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Facility (Invoke = NotifySS (CD, SS-Notification))</w:t>
      </w:r>
    </w:p>
    <w:p>
      <w:pPr>
        <w:pStyle w:val="Normal"/>
        <w:keepNext w:val="true"/>
        <w:tabs>
          <w:tab w:val="clear" w:pos="284"/>
          <w:tab w:val="left" w:pos="720" w:leader="none"/>
          <w:tab w:val="right" w:pos="9360" w:leader="hyphen"/>
        </w:tabs>
        <w:spacing w:before="0" w:after="0"/>
        <w:jc w:val="center"/>
        <w:rPr/>
      </w:pPr>
      <w:r>
        <w:rPr/>
      </w:r>
    </w:p>
    <w:p>
      <w:pPr>
        <w:pStyle w:val="TF"/>
        <w:rPr/>
      </w:pPr>
      <w:r>
        <w:rPr/>
        <w:t>Figure 4.3: Notification to the calling mobile subscriber that the call is forwarded</w:t>
      </w:r>
      <w:r>
        <w:br w:type="page"/>
      </w:r>
    </w:p>
    <w:p>
      <w:pPr>
        <w:pStyle w:val="Heading8"/>
        <w:ind w:start="0" w:hanging="0"/>
        <w:rPr/>
      </w:pPr>
      <w:bookmarkStart w:id="19" w:name="__RefHeading___Toc217189437"/>
      <w:bookmarkEnd w:id="19"/>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04.72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24.072</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24.072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24.072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Call Deflection (CD) supplementary service; </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Call Deflection (CD) supplementary service; </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721021549"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791592521"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8">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24.072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24.072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
              <wp:simplePos x="0" y="0"/>
              <wp:positionH relativeFrom="margin">
                <wp:align>center</wp:align>
              </wp:positionH>
              <wp:positionV relativeFrom="paragraph">
                <wp:posOffset>635</wp:posOffset>
              </wp:positionV>
              <wp:extent cx="64770"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2">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2001-03-27T09:38:00Z</dcterms:created>
  <dc:creator>MCC Support</dc:creator>
  <dc:description/>
  <cp:keywords>LTE GSM UMTS network CF supplementary service stage 3</cp:keywords>
  <dc:language>en-US</dc:language>
  <cp:lastModifiedBy>0923</cp:lastModifiedBy>
  <cp:lastPrinted>1999-05-04T13:42:00Z</cp:lastPrinted>
  <dcterms:modified xsi:type="dcterms:W3CDTF">2011-04-08T10:14:00Z</dcterms:modified>
  <cp:revision>22</cp:revision>
  <dc:subject>Stage 3 (Release 10)</dc:subject>
  <dc:title>3GPP TS 24.072</dc:title>
</cp:coreProperties>
</file>