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6752590" cy="452755"/>
                <wp:effectExtent l="0" t="0" r="0" b="0"/>
                <wp:wrapTopAndBottom/>
                <wp:docPr id="11" name="Frame7"/>
                <a:graphic xmlns:a="http://schemas.openxmlformats.org/drawingml/2006/main">
                  <a:graphicData uri="http://schemas.microsoft.com/office/word/2010/wordprocessingShape">
                    <wps:wsp>
                      <wps:cNvSpPr txBox="1"/>
                      <wps:spPr>
                        <a:xfrm>
                          <a:off x="0" y="0"/>
                          <a:ext cx="675259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supplementary service, IP, multimedia, telephony, LTE</w:t>
                            </w:r>
                          </w:p>
                        </w:txbxContent>
                      </wps:txbx>
                      <wps:bodyPr anchor="t" lIns="0" tIns="0" rIns="0" bIns="12700">
                        <a:noAutofit/>
                      </wps:bodyPr>
                    </wps:wsp>
                  </a:graphicData>
                </a:graphic>
              </wp:anchor>
            </w:drawing>
          </mc:Choice>
          <mc:Fallback>
            <w:pict>
              <v:rect fillcolor="#FFFFFF" style="position:absolute;rotation:0;width:531.7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supplementary service, IP, multimedia, telephony,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73371757">
            <w:r>
              <w:rPr>
                <w:rStyle w:val="IndexLink"/>
              </w:rPr>
              <w:t>5</w:t>
            </w:r>
          </w:hyperlink>
        </w:p>
        <w:p>
          <w:pPr>
            <w:pStyle w:val="Contents1"/>
            <w:tabs>
              <w:tab w:val="clear" w:pos="9639"/>
              <w:tab w:val="right" w:pos="9640" w:leader="dot"/>
            </w:tabs>
            <w:bidi w:val="0"/>
            <w:jc w:val="start"/>
            <w:rPr/>
          </w:pPr>
          <w:r>
            <w:rPr/>
            <w:t>1 Scope</w:t>
            <w:tab/>
          </w:r>
          <w:hyperlink w:anchor="__RefHeading___Toc273371758">
            <w:r>
              <w:rPr>
                <w:rStyle w:val="IndexLink"/>
              </w:rPr>
              <w:t>6</w:t>
            </w:r>
          </w:hyperlink>
        </w:p>
        <w:p>
          <w:pPr>
            <w:pStyle w:val="Contents1"/>
            <w:tabs>
              <w:tab w:val="clear" w:pos="9639"/>
              <w:tab w:val="right" w:pos="9640" w:leader="dot"/>
            </w:tabs>
            <w:bidi w:val="0"/>
            <w:jc w:val="start"/>
            <w:rPr/>
          </w:pPr>
          <w:r>
            <w:rPr/>
            <w:t>2 References</w:t>
            <w:tab/>
          </w:r>
          <w:hyperlink w:anchor="__RefHeading___Toc273371759">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73371760">
            <w:r>
              <w:rPr>
                <w:rStyle w:val="IndexLink"/>
              </w:rPr>
              <w:t>7</w:t>
            </w:r>
          </w:hyperlink>
        </w:p>
        <w:p>
          <w:pPr>
            <w:pStyle w:val="Contents2"/>
            <w:tabs>
              <w:tab w:val="clear" w:pos="9639"/>
              <w:tab w:val="right" w:pos="9640" w:leader="dot"/>
            </w:tabs>
            <w:bidi w:val="0"/>
            <w:jc w:val="start"/>
            <w:rPr/>
          </w:pPr>
          <w:r>
            <w:rPr/>
            <w:t>3.1 Definitions</w:t>
            <w:tab/>
          </w:r>
          <w:hyperlink w:anchor="__RefHeading___Toc273371761">
            <w:r>
              <w:rPr>
                <w:rStyle w:val="IndexLink"/>
              </w:rPr>
              <w:t>7</w:t>
            </w:r>
          </w:hyperlink>
        </w:p>
        <w:p>
          <w:pPr>
            <w:pStyle w:val="Contents2"/>
            <w:tabs>
              <w:tab w:val="clear" w:pos="9639"/>
              <w:tab w:val="right" w:pos="9640" w:leader="dot"/>
            </w:tabs>
            <w:bidi w:val="0"/>
            <w:jc w:val="start"/>
            <w:rPr/>
          </w:pPr>
          <w:r>
            <w:rPr/>
            <w:t>3.2 Abbreviations</w:t>
            <w:tab/>
          </w:r>
          <w:hyperlink w:anchor="__RefHeading___Toc273371762">
            <w:r>
              <w:rPr>
                <w:rStyle w:val="IndexLink"/>
              </w:rPr>
              <w:t>7</w:t>
            </w:r>
          </w:hyperlink>
        </w:p>
        <w:p>
          <w:pPr>
            <w:pStyle w:val="Contents1"/>
            <w:tabs>
              <w:tab w:val="clear" w:pos="9639"/>
              <w:tab w:val="right" w:pos="9640" w:leader="dot"/>
            </w:tabs>
            <w:bidi w:val="0"/>
            <w:jc w:val="start"/>
            <w:rPr/>
          </w:pPr>
          <w:r>
            <w:rPr/>
            <w:t>4 Overview of multimedia telephony communication service and associated supplementary services in the IP Multimedia (IM) Core Network (CN) subsystem</w:t>
            <w:tab/>
          </w:r>
          <w:hyperlink w:anchor="__RefHeading___Toc273371763">
            <w:r>
              <w:rPr>
                <w:rStyle w:val="IndexLink"/>
              </w:rPr>
              <w:t>8</w:t>
            </w:r>
          </w:hyperlink>
        </w:p>
        <w:p>
          <w:pPr>
            <w:pStyle w:val="Contents2"/>
            <w:tabs>
              <w:tab w:val="clear" w:pos="9639"/>
              <w:tab w:val="right" w:pos="9640" w:leader="dot"/>
            </w:tabs>
            <w:bidi w:val="0"/>
            <w:jc w:val="start"/>
            <w:rPr/>
          </w:pPr>
          <w:r>
            <w:rPr/>
            <w:t>4.1 General</w:t>
            <w:tab/>
          </w:r>
          <w:hyperlink w:anchor="__RefHeading___Toc273371764">
            <w:r>
              <w:rPr>
                <w:rStyle w:val="IndexLink"/>
              </w:rPr>
              <w:t>8</w:t>
            </w:r>
          </w:hyperlink>
        </w:p>
        <w:p>
          <w:pPr>
            <w:pStyle w:val="Contents2"/>
            <w:tabs>
              <w:tab w:val="clear" w:pos="9639"/>
              <w:tab w:val="right" w:pos="9640" w:leader="dot"/>
            </w:tabs>
            <w:bidi w:val="0"/>
            <w:jc w:val="start"/>
            <w:rPr/>
          </w:pPr>
          <w:r>
            <w:rPr/>
            <w:t>4.1A Roles</w:t>
            <w:tab/>
          </w:r>
          <w:hyperlink w:anchor="__RefHeading___Toc273371765">
            <w:r>
              <w:rPr>
                <w:rStyle w:val="IndexLink"/>
              </w:rPr>
              <w:t>8</w:t>
            </w:r>
          </w:hyperlink>
        </w:p>
        <w:p>
          <w:pPr>
            <w:pStyle w:val="Contents3"/>
            <w:tabs>
              <w:tab w:val="clear" w:pos="9639"/>
              <w:tab w:val="right" w:pos="9640" w:leader="dot"/>
            </w:tabs>
            <w:bidi w:val="0"/>
            <w:jc w:val="start"/>
            <w:rPr/>
          </w:pPr>
          <w:r>
            <w:rPr/>
            <w:t>4.1A.1 Multimedia telephony participant</w:t>
            <w:tab/>
          </w:r>
          <w:hyperlink w:anchor="__RefHeading___Toc273371766">
            <w:r>
              <w:rPr>
                <w:rStyle w:val="IndexLink"/>
              </w:rPr>
              <w:t>8</w:t>
            </w:r>
          </w:hyperlink>
        </w:p>
        <w:p>
          <w:pPr>
            <w:pStyle w:val="Contents3"/>
            <w:tabs>
              <w:tab w:val="clear" w:pos="9639"/>
              <w:tab w:val="right" w:pos="9640" w:leader="dot"/>
            </w:tabs>
            <w:bidi w:val="0"/>
            <w:jc w:val="start"/>
            <w:rPr/>
          </w:pPr>
          <w:r>
            <w:rPr/>
            <w:t>4.1A.2 Multimedia telephony application server</w:t>
            <w:tab/>
          </w:r>
          <w:hyperlink w:anchor="__RefHeading___Toc273371767">
            <w:r>
              <w:rPr>
                <w:rStyle w:val="IndexLink"/>
              </w:rPr>
              <w:t>8</w:t>
            </w:r>
          </w:hyperlink>
        </w:p>
        <w:p>
          <w:pPr>
            <w:pStyle w:val="Contents2"/>
            <w:tabs>
              <w:tab w:val="clear" w:pos="9639"/>
              <w:tab w:val="right" w:pos="9640" w:leader="dot"/>
            </w:tabs>
            <w:bidi w:val="0"/>
            <w:jc w:val="start"/>
            <w:rPr/>
          </w:pPr>
          <w:r>
            <w:rPr/>
            <w:t>4.2 Overview of basic communication part</w:t>
            <w:tab/>
          </w:r>
          <w:hyperlink w:anchor="__RefHeading___Toc273371768">
            <w:r>
              <w:rPr>
                <w:rStyle w:val="IndexLink"/>
              </w:rPr>
              <w:t>8</w:t>
            </w:r>
          </w:hyperlink>
        </w:p>
        <w:p>
          <w:pPr>
            <w:pStyle w:val="Contents2"/>
            <w:tabs>
              <w:tab w:val="clear" w:pos="9639"/>
              <w:tab w:val="right" w:pos="9640" w:leader="dot"/>
            </w:tabs>
            <w:bidi w:val="0"/>
            <w:jc w:val="start"/>
            <w:rPr/>
          </w:pPr>
          <w:r>
            <w:rPr/>
            <w:t>4.3 Overview of supplementary services part</w:t>
            <w:tab/>
          </w:r>
          <w:hyperlink w:anchor="__RefHeading___Toc273371769">
            <w:r>
              <w:rPr>
                <w:rStyle w:val="IndexLink"/>
              </w:rPr>
              <w:t>9</w:t>
            </w:r>
          </w:hyperlink>
        </w:p>
        <w:p>
          <w:pPr>
            <w:pStyle w:val="Contents1"/>
            <w:tabs>
              <w:tab w:val="clear" w:pos="9639"/>
              <w:tab w:val="right" w:pos="9640" w:leader="dot"/>
            </w:tabs>
            <w:bidi w:val="0"/>
            <w:jc w:val="start"/>
            <w:rPr/>
          </w:pPr>
          <w:r>
            <w:rPr/>
            <w:t>5 Basic Communication</w:t>
            <w:tab/>
          </w:r>
          <w:hyperlink w:anchor="__RefHeading___Toc273371770">
            <w:r>
              <w:rPr>
                <w:rStyle w:val="IndexLink"/>
              </w:rPr>
              <w:t>9</w:t>
            </w:r>
          </w:hyperlink>
        </w:p>
        <w:p>
          <w:pPr>
            <w:pStyle w:val="Contents2"/>
            <w:tabs>
              <w:tab w:val="clear" w:pos="9639"/>
              <w:tab w:val="right" w:pos="9640" w:leader="dot"/>
            </w:tabs>
            <w:bidi w:val="0"/>
            <w:jc w:val="start"/>
            <w:rPr/>
          </w:pPr>
          <w:r>
            <w:rPr/>
            <w:t>5.1 IMS communication service identifier</w:t>
            <w:tab/>
          </w:r>
          <w:hyperlink w:anchor="__RefHeading___Toc273371771">
            <w:r>
              <w:rPr>
                <w:rStyle w:val="IndexLink"/>
              </w:rPr>
              <w:t>9</w:t>
            </w:r>
          </w:hyperlink>
        </w:p>
        <w:p>
          <w:pPr>
            <w:pStyle w:val="Contents2"/>
            <w:tabs>
              <w:tab w:val="clear" w:pos="9639"/>
              <w:tab w:val="right" w:pos="9640" w:leader="dot"/>
            </w:tabs>
            <w:bidi w:val="0"/>
            <w:jc w:val="start"/>
            <w:rPr/>
          </w:pPr>
          <w:r>
            <w:rPr/>
            <w:t>5.2 Session control procedures</w:t>
            <w:tab/>
          </w:r>
          <w:hyperlink w:anchor="__RefHeading___Toc273371772">
            <w:r>
              <w:rPr>
                <w:rStyle w:val="IndexLink"/>
              </w:rPr>
              <w:t>9</w:t>
            </w:r>
          </w:hyperlink>
        </w:p>
        <w:p>
          <w:pPr>
            <w:pStyle w:val="Contents2"/>
            <w:tabs>
              <w:tab w:val="clear" w:pos="9639"/>
              <w:tab w:val="right" w:pos="9640" w:leader="dot"/>
            </w:tabs>
            <w:bidi w:val="0"/>
            <w:jc w:val="start"/>
            <w:rPr/>
          </w:pPr>
          <w:r>
            <w:rPr/>
            <w:t>5.3 Interworking</w:t>
            <w:tab/>
          </w:r>
          <w:hyperlink w:anchor="__RefHeading___Toc273371773">
            <w:r>
              <w:rPr>
                <w:rStyle w:val="IndexLink"/>
              </w:rPr>
              <w:t>10</w:t>
            </w:r>
          </w:hyperlink>
        </w:p>
        <w:p>
          <w:pPr>
            <w:pStyle w:val="Contents1"/>
            <w:tabs>
              <w:tab w:val="clear" w:pos="9639"/>
              <w:tab w:val="right" w:pos="9640" w:leader="dot"/>
            </w:tabs>
            <w:bidi w:val="0"/>
            <w:jc w:val="start"/>
            <w:rPr/>
          </w:pPr>
          <w:r>
            <w:rPr/>
            <w:t>6 Supplementary Services</w:t>
            <w:tab/>
          </w:r>
          <w:hyperlink w:anchor="__RefHeading___Toc273371774">
            <w:r>
              <w:rPr>
                <w:rStyle w:val="IndexLink"/>
              </w:rPr>
              <w:t>10</w:t>
            </w:r>
          </w:hyperlink>
        </w:p>
        <w:p>
          <w:pPr>
            <w:pStyle w:val="Contents2"/>
            <w:tabs>
              <w:tab w:val="clear" w:pos="9639"/>
              <w:tab w:val="right" w:pos="9640" w:leader="dot"/>
            </w:tabs>
            <w:bidi w:val="0"/>
            <w:jc w:val="start"/>
            <w:rPr/>
          </w:pPr>
          <w:r>
            <w:rPr/>
            <w:t>6.1 High level requirements</w:t>
            <w:tab/>
          </w:r>
          <w:hyperlink w:anchor="__RefHeading___Toc273371775">
            <w:r>
              <w:rPr>
                <w:rStyle w:val="IndexLink"/>
              </w:rPr>
              <w:t>10</w:t>
            </w:r>
          </w:hyperlink>
        </w:p>
        <w:p>
          <w:pPr>
            <w:pStyle w:val="Contents2"/>
            <w:tabs>
              <w:tab w:val="clear" w:pos="9639"/>
              <w:tab w:val="right" w:pos="9640" w:leader="dot"/>
            </w:tabs>
            <w:bidi w:val="0"/>
            <w:jc w:val="start"/>
            <w:rPr/>
          </w:pPr>
          <w:r>
            <w:rPr/>
            <w:t>6.2 Originating Identification Presentation (OIP)</w:t>
            <w:tab/>
          </w:r>
          <w:hyperlink w:anchor="__RefHeading___Toc273371776">
            <w:r>
              <w:rPr>
                <w:rStyle w:val="IndexLink"/>
              </w:rPr>
              <w:t>10</w:t>
            </w:r>
          </w:hyperlink>
        </w:p>
        <w:p>
          <w:pPr>
            <w:pStyle w:val="Contents2"/>
            <w:tabs>
              <w:tab w:val="clear" w:pos="9639"/>
              <w:tab w:val="right" w:pos="9640" w:leader="dot"/>
            </w:tabs>
            <w:bidi w:val="0"/>
            <w:jc w:val="start"/>
            <w:rPr/>
          </w:pPr>
          <w:r>
            <w:rPr/>
            <w:t>6.3 Originating Identification Restriction (OIR)</w:t>
            <w:tab/>
          </w:r>
          <w:hyperlink w:anchor="__RefHeading___Toc273371777">
            <w:r>
              <w:rPr>
                <w:rStyle w:val="IndexLink"/>
              </w:rPr>
              <w:t>10</w:t>
            </w:r>
          </w:hyperlink>
        </w:p>
        <w:p>
          <w:pPr>
            <w:pStyle w:val="Contents2"/>
            <w:tabs>
              <w:tab w:val="clear" w:pos="9639"/>
              <w:tab w:val="right" w:pos="9640" w:leader="dot"/>
            </w:tabs>
            <w:bidi w:val="0"/>
            <w:jc w:val="start"/>
            <w:rPr/>
          </w:pPr>
          <w:r>
            <w:rPr/>
            <w:t>6.4 Terminating Identification Presentation (TIP)</w:t>
            <w:tab/>
          </w:r>
          <w:hyperlink w:anchor="__RefHeading___Toc273371778">
            <w:r>
              <w:rPr>
                <w:rStyle w:val="IndexLink"/>
              </w:rPr>
              <w:t>10</w:t>
            </w:r>
          </w:hyperlink>
        </w:p>
        <w:p>
          <w:pPr>
            <w:pStyle w:val="Contents2"/>
            <w:tabs>
              <w:tab w:val="clear" w:pos="9639"/>
              <w:tab w:val="right" w:pos="9640" w:leader="dot"/>
            </w:tabs>
            <w:bidi w:val="0"/>
            <w:jc w:val="start"/>
            <w:rPr/>
          </w:pPr>
          <w:r>
            <w:rPr/>
            <w:t>6.5 Terminating Identification Restriction (TIR)</w:t>
            <w:tab/>
          </w:r>
          <w:hyperlink w:anchor="__RefHeading___Toc273371779">
            <w:r>
              <w:rPr>
                <w:rStyle w:val="IndexLink"/>
              </w:rPr>
              <w:t>10</w:t>
            </w:r>
          </w:hyperlink>
        </w:p>
        <w:p>
          <w:pPr>
            <w:pStyle w:val="Contents2"/>
            <w:tabs>
              <w:tab w:val="clear" w:pos="9639"/>
              <w:tab w:val="right" w:pos="9640" w:leader="dot"/>
            </w:tabs>
            <w:bidi w:val="0"/>
            <w:jc w:val="start"/>
            <w:rPr/>
          </w:pPr>
          <w:r>
            <w:rPr/>
            <w:t>6.6 Communication Diversion (CDIV)</w:t>
            <w:tab/>
          </w:r>
          <w:hyperlink w:anchor="__RefHeading___Toc273371780">
            <w:r>
              <w:rPr>
                <w:rStyle w:val="IndexLink"/>
              </w:rPr>
              <w:t>10</w:t>
            </w:r>
          </w:hyperlink>
        </w:p>
        <w:p>
          <w:pPr>
            <w:pStyle w:val="Contents2"/>
            <w:tabs>
              <w:tab w:val="clear" w:pos="9639"/>
              <w:tab w:val="right" w:pos="9640" w:leader="dot"/>
            </w:tabs>
            <w:bidi w:val="0"/>
            <w:jc w:val="start"/>
            <w:rPr/>
          </w:pPr>
          <w:r>
            <w:rPr/>
            <w:t>6.7 Communication Hold (HOLD)</w:t>
            <w:tab/>
          </w:r>
          <w:hyperlink w:anchor="__RefHeading___Toc273371781">
            <w:r>
              <w:rPr>
                <w:rStyle w:val="IndexLink"/>
              </w:rPr>
              <w:t>10</w:t>
            </w:r>
          </w:hyperlink>
        </w:p>
        <w:p>
          <w:pPr>
            <w:pStyle w:val="Contents2"/>
            <w:tabs>
              <w:tab w:val="clear" w:pos="9639"/>
              <w:tab w:val="right" w:pos="9640" w:leader="dot"/>
            </w:tabs>
            <w:bidi w:val="0"/>
            <w:jc w:val="start"/>
            <w:rPr/>
          </w:pPr>
          <w:r>
            <w:rPr/>
            <w:t>6.8 Communication Barring (CB)</w:t>
            <w:tab/>
          </w:r>
          <w:hyperlink w:anchor="__RefHeading___Toc273371782">
            <w:r>
              <w:rPr>
                <w:rStyle w:val="IndexLink"/>
              </w:rPr>
              <w:t>10</w:t>
            </w:r>
          </w:hyperlink>
        </w:p>
        <w:p>
          <w:pPr>
            <w:pStyle w:val="Contents2"/>
            <w:tabs>
              <w:tab w:val="clear" w:pos="9639"/>
              <w:tab w:val="right" w:pos="9640" w:leader="dot"/>
            </w:tabs>
            <w:bidi w:val="0"/>
            <w:jc w:val="start"/>
            <w:rPr/>
          </w:pPr>
          <w:r>
            <w:rPr/>
            <w:t>6.9 Message Waiting Indication (MWI)</w:t>
            <w:tab/>
          </w:r>
          <w:hyperlink w:anchor="__RefHeading___Toc273371783">
            <w:r>
              <w:rPr>
                <w:rStyle w:val="IndexLink"/>
              </w:rPr>
              <w:t>10</w:t>
            </w:r>
          </w:hyperlink>
        </w:p>
        <w:p>
          <w:pPr>
            <w:pStyle w:val="Contents2"/>
            <w:tabs>
              <w:tab w:val="clear" w:pos="9639"/>
              <w:tab w:val="right" w:pos="9640" w:leader="dot"/>
            </w:tabs>
            <w:bidi w:val="0"/>
            <w:jc w:val="start"/>
            <w:rPr/>
          </w:pPr>
          <w:r>
            <w:rPr/>
            <w:t>6.10 Conference (CONF)</w:t>
            <w:tab/>
          </w:r>
          <w:hyperlink w:anchor="__RefHeading___Toc273371784">
            <w:r>
              <w:rPr>
                <w:rStyle w:val="IndexLink"/>
              </w:rPr>
              <w:t>10</w:t>
            </w:r>
          </w:hyperlink>
        </w:p>
        <w:p>
          <w:pPr>
            <w:pStyle w:val="Contents2"/>
            <w:tabs>
              <w:tab w:val="clear" w:pos="9639"/>
              <w:tab w:val="right" w:pos="9640" w:leader="dot"/>
            </w:tabs>
            <w:bidi w:val="0"/>
            <w:jc w:val="start"/>
            <w:rPr/>
          </w:pPr>
          <w:r>
            <w:rPr/>
            <w:t>6.11 Explicit Communication Transfer (ECT)</w:t>
            <w:tab/>
          </w:r>
          <w:hyperlink w:anchor="__RefHeading___Toc273371785">
            <w:r>
              <w:rPr>
                <w:rStyle w:val="IndexLink"/>
              </w:rPr>
              <w:t>11</w:t>
            </w:r>
          </w:hyperlink>
        </w:p>
        <w:p>
          <w:pPr>
            <w:pStyle w:val="Contents2"/>
            <w:tabs>
              <w:tab w:val="clear" w:pos="9639"/>
              <w:tab w:val="right" w:pos="9640" w:leader="dot"/>
            </w:tabs>
            <w:bidi w:val="0"/>
            <w:jc w:val="start"/>
            <w:rPr/>
          </w:pPr>
          <w:r>
            <w:rPr/>
            <w:t>6.12 XCAP over Ut interface for Manipulating NGN Services</w:t>
            <w:tab/>
          </w:r>
          <w:hyperlink w:anchor="__RefHeading___Toc273371786">
            <w:r>
              <w:rPr>
                <w:rStyle w:val="IndexLink"/>
              </w:rPr>
              <w:t>11</w:t>
            </w:r>
          </w:hyperlink>
        </w:p>
        <w:p>
          <w:pPr>
            <w:pStyle w:val="Contents2"/>
            <w:tabs>
              <w:tab w:val="clear" w:pos="9639"/>
              <w:tab w:val="right" w:pos="9640" w:leader="dot"/>
            </w:tabs>
            <w:bidi w:val="0"/>
            <w:jc w:val="start"/>
            <w:rPr/>
          </w:pPr>
          <w:r>
            <w:rPr/>
            <w:t>6.13 Advice Of Charge (AOC)</w:t>
            <w:tab/>
          </w:r>
          <w:hyperlink w:anchor="__RefHeading___Toc273371787">
            <w:r>
              <w:rPr>
                <w:rStyle w:val="IndexLink"/>
              </w:rPr>
              <w:t>11</w:t>
            </w:r>
          </w:hyperlink>
        </w:p>
        <w:p>
          <w:pPr>
            <w:pStyle w:val="Contents2"/>
            <w:tabs>
              <w:tab w:val="clear" w:pos="9639"/>
              <w:tab w:val="right" w:pos="9640" w:leader="dot"/>
            </w:tabs>
            <w:bidi w:val="0"/>
            <w:jc w:val="start"/>
            <w:rPr/>
          </w:pPr>
          <w:r>
            <w:rPr/>
            <w:t>6.14 Closed User Groups (CUG)</w:t>
            <w:tab/>
          </w:r>
          <w:hyperlink w:anchor="__RefHeading___Toc273371788">
            <w:r>
              <w:rPr>
                <w:rStyle w:val="IndexLink"/>
              </w:rPr>
              <w:t>11</w:t>
            </w:r>
          </w:hyperlink>
        </w:p>
        <w:p>
          <w:pPr>
            <w:pStyle w:val="Contents2"/>
            <w:tabs>
              <w:tab w:val="clear" w:pos="9639"/>
              <w:tab w:val="right" w:pos="9640" w:leader="dot"/>
            </w:tabs>
            <w:bidi w:val="0"/>
            <w:jc w:val="start"/>
            <w:rPr/>
          </w:pPr>
          <w:r>
            <w:rPr/>
            <w:t>6.15 Three-Party (3PTY)</w:t>
            <w:tab/>
          </w:r>
          <w:hyperlink w:anchor="__RefHeading___Toc273371789">
            <w:r>
              <w:rPr>
                <w:rStyle w:val="IndexLink"/>
              </w:rPr>
              <w:t>11</w:t>
            </w:r>
          </w:hyperlink>
        </w:p>
        <w:p>
          <w:pPr>
            <w:pStyle w:val="Contents2"/>
            <w:tabs>
              <w:tab w:val="clear" w:pos="9639"/>
              <w:tab w:val="right" w:pos="9640" w:leader="dot"/>
            </w:tabs>
            <w:bidi w:val="0"/>
            <w:jc w:val="start"/>
            <w:rPr/>
          </w:pPr>
          <w:r>
            <w:rPr/>
            <w:t>6.16 Flexible Alerting (FA)</w:t>
            <w:tab/>
          </w:r>
          <w:hyperlink w:anchor="__RefHeading___Toc273371790">
            <w:r>
              <w:rPr>
                <w:rStyle w:val="IndexLink"/>
              </w:rPr>
              <w:t>11</w:t>
            </w:r>
          </w:hyperlink>
        </w:p>
        <w:p>
          <w:pPr>
            <w:pStyle w:val="Contents2"/>
            <w:tabs>
              <w:tab w:val="clear" w:pos="9639"/>
              <w:tab w:val="right" w:pos="9640" w:leader="dot"/>
            </w:tabs>
            <w:bidi w:val="0"/>
            <w:jc w:val="start"/>
            <w:rPr/>
          </w:pPr>
          <w:r>
            <w:rPr/>
            <w:t>6.17 Communication Waiting (CW)</w:t>
            <w:tab/>
          </w:r>
          <w:hyperlink w:anchor="__RefHeading___Toc273371791">
            <w:r>
              <w:rPr>
                <w:rStyle w:val="IndexLink"/>
              </w:rPr>
              <w:t>11</w:t>
            </w:r>
          </w:hyperlink>
        </w:p>
        <w:p>
          <w:pPr>
            <w:pStyle w:val="Contents2"/>
            <w:tabs>
              <w:tab w:val="clear" w:pos="9639"/>
              <w:tab w:val="right" w:pos="9640" w:leader="dot"/>
            </w:tabs>
            <w:bidi w:val="0"/>
            <w:jc w:val="start"/>
            <w:rPr/>
          </w:pPr>
          <w:r>
            <w:rPr/>
            <w:t>6.18 Completion of Communications to Busy Subscriber (CCBS) Completion of Communications by No Reply (CCNR)</w:t>
            <w:tab/>
          </w:r>
          <w:hyperlink w:anchor="__RefHeading___Toc273371792">
            <w:r>
              <w:rPr>
                <w:rStyle w:val="IndexLink"/>
              </w:rPr>
              <w:t>11</w:t>
            </w:r>
          </w:hyperlink>
        </w:p>
        <w:p>
          <w:pPr>
            <w:pStyle w:val="Contents2"/>
            <w:tabs>
              <w:tab w:val="clear" w:pos="9639"/>
              <w:tab w:val="right" w:pos="9640" w:leader="dot"/>
            </w:tabs>
            <w:bidi w:val="0"/>
            <w:jc w:val="start"/>
            <w:rPr/>
          </w:pPr>
          <w:r>
            <w:rPr/>
            <w:t>6.19 Customized Alerting Tones (CAT)</w:t>
            <w:tab/>
          </w:r>
          <w:hyperlink w:anchor="__RefHeading___Toc273371793">
            <w:r>
              <w:rPr>
                <w:rStyle w:val="IndexLink"/>
              </w:rPr>
              <w:t>11</w:t>
            </w:r>
          </w:hyperlink>
        </w:p>
        <w:p>
          <w:pPr>
            <w:pStyle w:val="Contents2"/>
            <w:tabs>
              <w:tab w:val="clear" w:pos="9639"/>
              <w:tab w:val="right" w:pos="9640" w:leader="dot"/>
            </w:tabs>
            <w:bidi w:val="0"/>
            <w:jc w:val="start"/>
            <w:rPr/>
          </w:pPr>
          <w:r>
            <w:rPr/>
            <w:t>6.20 Customized Ringing Signal (CRS)</w:t>
            <w:tab/>
          </w:r>
          <w:hyperlink w:anchor="__RefHeading___Toc273371794">
            <w:r>
              <w:rPr>
                <w:rStyle w:val="IndexLink"/>
              </w:rPr>
              <w:t>11</w:t>
            </w:r>
          </w:hyperlink>
        </w:p>
        <w:p>
          <w:pPr>
            <w:pStyle w:val="Contents8"/>
            <w:tabs>
              <w:tab w:val="clear" w:pos="9639"/>
              <w:tab w:val="right" w:pos="9640" w:leader="dot"/>
            </w:tabs>
            <w:bidi w:val="0"/>
            <w:jc w:val="start"/>
            <w:rPr/>
          </w:pPr>
          <w:r>
            <w:rPr/>
            <w:t>Annex A (informative): Void</w:t>
            <w:tab/>
          </w:r>
          <w:hyperlink w:anchor="__RefHeading___Toc273371795">
            <w:r>
              <w:rPr>
                <w:rStyle w:val="IndexLink"/>
              </w:rPr>
              <w:t>12</w:t>
            </w:r>
          </w:hyperlink>
        </w:p>
        <w:p>
          <w:pPr>
            <w:pStyle w:val="Contents8"/>
            <w:tabs>
              <w:tab w:val="clear" w:pos="9639"/>
              <w:tab w:val="right" w:pos="9640" w:leader="dot"/>
            </w:tabs>
            <w:bidi w:val="0"/>
            <w:jc w:val="start"/>
            <w:rPr/>
          </w:pPr>
          <w:r>
            <w:rPr/>
            <w:t>Annex B (informative): Void.</w:t>
            <w:tab/>
          </w:r>
          <w:hyperlink w:anchor="__RefHeading___Toc273371796">
            <w:r>
              <w:rPr>
                <w:rStyle w:val="IndexLink"/>
              </w:rPr>
              <w:t>12</w:t>
            </w:r>
          </w:hyperlink>
        </w:p>
        <w:p>
          <w:pPr>
            <w:pStyle w:val="Contents8"/>
            <w:tabs>
              <w:tab w:val="clear" w:pos="9639"/>
              <w:tab w:val="right" w:pos="9640" w:leader="dot"/>
            </w:tabs>
            <w:bidi w:val="0"/>
            <w:jc w:val="start"/>
            <w:rPr/>
          </w:pPr>
          <w:r>
            <w:rPr/>
            <w:t>Annex C (informative): Void</w:t>
            <w:tab/>
          </w:r>
          <w:hyperlink w:anchor="__RefHeading___Toc273371797">
            <w:r>
              <w:rPr>
                <w:rStyle w:val="IndexLink"/>
              </w:rPr>
              <w:t>12</w:t>
            </w:r>
          </w:hyperlink>
        </w:p>
        <w:p>
          <w:pPr>
            <w:pStyle w:val="Contents8"/>
            <w:tabs>
              <w:tab w:val="clear" w:pos="9639"/>
              <w:tab w:val="right" w:pos="9640" w:leader="dot"/>
            </w:tabs>
            <w:bidi w:val="0"/>
            <w:jc w:val="start"/>
            <w:rPr/>
          </w:pPr>
          <w:r>
            <w:rPr/>
            <w:t>Annex D (informative): Void</w:t>
            <w:tab/>
          </w:r>
          <w:hyperlink w:anchor="__RefHeading___Toc273371798">
            <w:r>
              <w:rPr>
                <w:rStyle w:val="IndexLink"/>
              </w:rPr>
              <w:t>12</w:t>
            </w:r>
          </w:hyperlink>
        </w:p>
        <w:p>
          <w:pPr>
            <w:pStyle w:val="Contents8"/>
            <w:tabs>
              <w:tab w:val="clear" w:pos="9639"/>
              <w:tab w:val="right" w:pos="9640" w:leader="dot"/>
            </w:tabs>
            <w:bidi w:val="0"/>
            <w:jc w:val="start"/>
            <w:rPr/>
          </w:pPr>
          <w:r>
            <w:rPr/>
            <w:t>Annex E (informative): Void</w:t>
            <w:tab/>
          </w:r>
          <w:hyperlink w:anchor="__RefHeading___Toc273371799">
            <w:r>
              <w:rPr>
                <w:rStyle w:val="IndexLink"/>
              </w:rPr>
              <w:t>12</w:t>
            </w:r>
          </w:hyperlink>
        </w:p>
        <w:p>
          <w:pPr>
            <w:pStyle w:val="Contents8"/>
            <w:tabs>
              <w:tab w:val="clear" w:pos="9639"/>
              <w:tab w:val="right" w:pos="9640" w:leader="dot"/>
            </w:tabs>
            <w:bidi w:val="0"/>
            <w:jc w:val="start"/>
            <w:rPr/>
          </w:pPr>
          <w:r>
            <w:rPr/>
            <w:t>Annex F (informative): Void</w:t>
            <w:tab/>
          </w:r>
          <w:hyperlink w:anchor="__RefHeading___Toc273371800">
            <w:r>
              <w:rPr>
                <w:rStyle w:val="IndexLink"/>
              </w:rPr>
              <w:t>12</w:t>
            </w:r>
          </w:hyperlink>
        </w:p>
        <w:p>
          <w:pPr>
            <w:pStyle w:val="Contents8"/>
            <w:tabs>
              <w:tab w:val="clear" w:pos="9639"/>
              <w:tab w:val="right" w:pos="9640" w:leader="dot"/>
            </w:tabs>
            <w:bidi w:val="0"/>
            <w:jc w:val="start"/>
            <w:rPr/>
          </w:pPr>
          <w:r>
            <w:rPr/>
            <w:t>Annex G (informative): Void</w:t>
            <w:tab/>
          </w:r>
          <w:hyperlink w:anchor="__RefHeading___Toc273371801">
            <w:r>
              <w:rPr>
                <w:rStyle w:val="IndexLink"/>
              </w:rPr>
              <w:t>12</w:t>
            </w:r>
          </w:hyperlink>
        </w:p>
        <w:p>
          <w:pPr>
            <w:pStyle w:val="Contents8"/>
            <w:tabs>
              <w:tab w:val="clear" w:pos="9639"/>
              <w:tab w:val="right" w:pos="9640" w:leader="dot"/>
            </w:tabs>
            <w:bidi w:val="0"/>
            <w:jc w:val="start"/>
            <w:rPr/>
          </w:pPr>
          <w:r>
            <w:rPr/>
            <w:t>Annex H (informative): Void</w:t>
            <w:tab/>
          </w:r>
          <w:hyperlink w:anchor="__RefHeading___Toc273371802">
            <w:r>
              <w:rPr>
                <w:rStyle w:val="IndexLink"/>
              </w:rPr>
              <w:t>12</w:t>
            </w:r>
          </w:hyperlink>
        </w:p>
        <w:p>
          <w:pPr>
            <w:pStyle w:val="Contents8"/>
            <w:tabs>
              <w:tab w:val="clear" w:pos="9639"/>
              <w:tab w:val="right" w:pos="9640" w:leader="dot"/>
            </w:tabs>
            <w:bidi w:val="0"/>
            <w:jc w:val="start"/>
            <w:rPr/>
          </w:pPr>
          <w:r>
            <w:rPr/>
            <w:t>Annex I (informative): Void</w:t>
            <w:tab/>
          </w:r>
          <w:hyperlink w:anchor="__RefHeading___Toc273371803">
            <w:r>
              <w:rPr>
                <w:rStyle w:val="IndexLink"/>
              </w:rPr>
              <w:t>13</w:t>
            </w:r>
          </w:hyperlink>
        </w:p>
        <w:p>
          <w:pPr>
            <w:pStyle w:val="Contents8"/>
            <w:tabs>
              <w:tab w:val="clear" w:pos="9639"/>
              <w:tab w:val="right" w:pos="9640" w:leader="dot"/>
            </w:tabs>
            <w:bidi w:val="0"/>
            <w:jc w:val="start"/>
            <w:rPr/>
          </w:pPr>
          <w:r>
            <w:rPr/>
            <w:t>Annex J (normative): IP-Connectivity Access Network specific concepts when using EPS to access IM CN subsystem</w:t>
            <w:tab/>
          </w:r>
          <w:hyperlink w:anchor="__RefHeading___Toc273371804">
            <w:r>
              <w:rPr>
                <w:rStyle w:val="IndexLink"/>
              </w:rPr>
              <w:t>13</w:t>
            </w:r>
          </w:hyperlink>
        </w:p>
        <w:p>
          <w:pPr>
            <w:pStyle w:val="Contents1"/>
            <w:tabs>
              <w:tab w:val="clear" w:pos="9639"/>
              <w:tab w:val="right" w:pos="9640" w:leader="dot"/>
            </w:tabs>
            <w:bidi w:val="0"/>
            <w:jc w:val="start"/>
            <w:rPr/>
          </w:pPr>
          <w:r>
            <w:rPr/>
            <w:t>J.1 Scope</w:t>
            <w:tab/>
          </w:r>
          <w:hyperlink w:anchor="__RefHeading___Toc273371805">
            <w:r>
              <w:rPr>
                <w:rStyle w:val="IndexLink"/>
              </w:rPr>
              <w:t>13</w:t>
            </w:r>
          </w:hyperlink>
        </w:p>
        <w:p>
          <w:pPr>
            <w:pStyle w:val="Contents1"/>
            <w:tabs>
              <w:tab w:val="clear" w:pos="9639"/>
              <w:tab w:val="right" w:pos="9640" w:leader="dot"/>
            </w:tabs>
            <w:bidi w:val="0"/>
            <w:jc w:val="start"/>
            <w:rPr/>
          </w:pPr>
          <w:r>
            <w:rPr/>
            <w:t>J.2 EPS aspects when connected to the IM CN subsystem</w:t>
            <w:tab/>
          </w:r>
          <w:hyperlink w:anchor="__RefHeading___Toc273371806">
            <w:r>
              <w:rPr>
                <w:rStyle w:val="IndexLink"/>
              </w:rPr>
              <w:t>13</w:t>
            </w:r>
          </w:hyperlink>
        </w:p>
        <w:p>
          <w:pPr>
            <w:pStyle w:val="Contents2"/>
            <w:tabs>
              <w:tab w:val="clear" w:pos="9639"/>
              <w:tab w:val="right" w:pos="9640" w:leader="dot"/>
            </w:tabs>
            <w:bidi w:val="0"/>
            <w:jc w:val="start"/>
            <w:rPr/>
          </w:pPr>
          <w:r>
            <w:rPr/>
            <w:t>J.2.1 Procedures at the UE</w:t>
            <w:tab/>
          </w:r>
          <w:hyperlink w:anchor="__RefHeading___Toc273371807">
            <w:r>
              <w:rPr>
                <w:rStyle w:val="IndexLink"/>
              </w:rPr>
              <w:t>13</w:t>
            </w:r>
          </w:hyperlink>
        </w:p>
        <w:p>
          <w:pPr>
            <w:pStyle w:val="Contents3"/>
            <w:tabs>
              <w:tab w:val="clear" w:pos="9639"/>
              <w:tab w:val="right" w:pos="9640" w:leader="dot"/>
            </w:tabs>
            <w:bidi w:val="0"/>
            <w:jc w:val="start"/>
            <w:rPr/>
          </w:pPr>
          <w:r>
            <w:rPr/>
            <w:t>J.2.1.1 Service Specific Access Control</w:t>
            <w:tab/>
          </w:r>
          <w:hyperlink w:anchor="__RefHeading___Toc273371808">
            <w:r>
              <w:rPr>
                <w:rStyle w:val="IndexLink"/>
              </w:rPr>
              <w:t>13</w:t>
            </w:r>
          </w:hyperlink>
        </w:p>
        <w:p>
          <w:pPr>
            <w:pStyle w:val="Contents8"/>
            <w:tabs>
              <w:tab w:val="clear" w:pos="9639"/>
              <w:tab w:val="right" w:pos="9640" w:leader="dot"/>
            </w:tabs>
            <w:bidi w:val="0"/>
            <w:jc w:val="start"/>
            <w:rPr/>
          </w:pPr>
          <w:r>
            <w:rPr/>
            <w:t>Annex K (informative): Change history</w:t>
            <w:tab/>
          </w:r>
          <w:hyperlink w:anchor="__RefHeading___Toc273371809">
            <w:r>
              <w:rPr>
                <w:rStyle w:val="IndexLink"/>
              </w:rPr>
              <w:t>14</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7337175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73371758"/>
      <w:bookmarkEnd w:id="8"/>
      <w:r>
        <w:rPr/>
        <w:t>1</w:t>
        <w:tab/>
        <w:t>Scope</w:t>
      </w:r>
    </w:p>
    <w:p>
      <w:pPr>
        <w:pStyle w:val="Normal"/>
        <w:rPr/>
      </w:pPr>
      <w:r>
        <w:rPr/>
        <w:t>The present document provides the protocol details for multimedia telephony communication service and associated supplementary services in the IP Multimedia (IM) Core Network (CN) subsystem based on the requirements from 3GPP TS 22.173 [2].</w:t>
      </w:r>
    </w:p>
    <w:p>
      <w:pPr>
        <w:pStyle w:val="Normal"/>
        <w:rPr/>
      </w:pPr>
      <w:r>
        <w:rPr/>
        <w:t>Multimedia telephony and supplementary services allow users to establish communications between them and enrich that by enabling supplementary services.</w:t>
      </w:r>
    </w:p>
    <w:p>
      <w:pPr>
        <w:pStyle w:val="Heading1"/>
        <w:bidi w:val="0"/>
        <w:ind w:start="1134" w:hanging="1134"/>
        <w:jc w:val="start"/>
        <w:rPr/>
      </w:pPr>
      <w:bookmarkStart w:id="9" w:name="__RefHeading___Toc273371759"/>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9"/>
        </w:numPr>
        <w:ind w:start="568" w:hanging="284"/>
        <w:rPr/>
      </w:pPr>
      <w:r>
        <w:rPr/>
        <w:t>References are either specific (identified by date of publication, edition number, version number, etc.) or non</w:t>
        <w:noBreakHyphen/>
        <w:t>specific.</w:t>
      </w:r>
    </w:p>
    <w:p>
      <w:pPr>
        <w:pStyle w:val="ListBullet"/>
        <w:numPr>
          <w:ilvl w:val="0"/>
          <w:numId w:val="9"/>
        </w:numPr>
        <w:ind w:start="568" w:hanging="284"/>
        <w:rPr/>
      </w:pPr>
      <w:r>
        <w:rPr/>
        <w:t>For a specific reference, subsequent revisions do not apply.</w:t>
      </w:r>
    </w:p>
    <w:p>
      <w:pPr>
        <w:pStyle w:val="ListBullet"/>
        <w:numPr>
          <w:ilvl w:val="0"/>
          <w:numId w:val="9"/>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0" w:name="ref21905"/>
      <w:r>
        <w:rPr/>
        <w:t>[</w:t>
      </w:r>
      <w:r>
        <w:rPr>
          <w:lang w:val="en-US" w:eastAsia="en-US"/>
        </w:rPr>
        <w:t>1</w:t>
      </w:r>
      <w:r>
        <w:rPr/>
        <w:t>]</w:t>
      </w:r>
      <w:bookmarkEnd w:id="10"/>
      <w:r>
        <w:rPr/>
        <w:tab/>
        <w:t>3GPP TR 21.905: "Vocabulary for 3GPP Specifications".</w:t>
      </w:r>
    </w:p>
    <w:p>
      <w:pPr>
        <w:pStyle w:val="EX"/>
        <w:rPr/>
      </w:pPr>
      <w:r>
        <w:rPr/>
        <w:t>[2]</w:t>
        <w:tab/>
        <w:t>3GPP TS 22.173: "IP Multimedia Core Network Subsystem (IMS) Multimedia Telephony Service and supplementary services; Stage 1".</w:t>
      </w:r>
    </w:p>
    <w:p>
      <w:pPr>
        <w:pStyle w:val="EX"/>
        <w:rPr/>
      </w:pPr>
      <w:r>
        <w:rPr/>
        <w:t>[3]</w:t>
        <w:tab/>
        <w:t>3GPP TS 24.604: "Communication Diversion (CDIV); Protocol specification using IP Multimedia (IM) Core Network (CN) subsystem; Protocol specification ".</w:t>
      </w:r>
    </w:p>
    <w:p>
      <w:pPr>
        <w:pStyle w:val="EX"/>
        <w:rPr/>
      </w:pPr>
      <w:r>
        <w:rPr/>
        <w:t>[4]</w:t>
        <w:tab/>
        <w:t>3GPP TS 24.605: "Conference (CONF)</w:t>
      </w:r>
      <w:r>
        <w:rPr>
          <w:sz w:val="34"/>
        </w:rPr>
        <w:t xml:space="preserve"> </w:t>
      </w:r>
      <w:r>
        <w:rPr/>
        <w:t>using IP Multimedia (IM) Core Network (CN) subsystem; Protocol specification".</w:t>
      </w:r>
    </w:p>
    <w:p>
      <w:pPr>
        <w:pStyle w:val="EX"/>
        <w:rPr/>
      </w:pPr>
      <w:r>
        <w:rPr/>
        <w:t>[5]</w:t>
        <w:tab/>
        <w:t>3GPP TS 24.606: "Message Waiting Indication (MWI)</w:t>
      </w:r>
      <w:r>
        <w:rPr>
          <w:sz w:val="34"/>
        </w:rPr>
        <w:t xml:space="preserve"> </w:t>
      </w:r>
      <w:r>
        <w:rPr/>
        <w:t>using IP Multimedia (IM) Core Network (CN) subsystem; Protocol specification".</w:t>
      </w:r>
    </w:p>
    <w:p>
      <w:pPr>
        <w:pStyle w:val="EX"/>
        <w:rPr/>
      </w:pPr>
      <w:r>
        <w:rPr/>
        <w:t>[6]</w:t>
        <w:tab/>
        <w:t>3GPP TS 24.607: "Originating Identification Presentation (OIP) and Originating Identification Restriction (OIR)</w:t>
      </w:r>
      <w:r>
        <w:rPr>
          <w:sz w:val="34"/>
        </w:rPr>
        <w:t xml:space="preserve"> </w:t>
      </w:r>
      <w:r>
        <w:rPr/>
        <w:t>using IP Multimedia (IM) Core Network (CN) subsystem; Protocol specification".</w:t>
      </w:r>
    </w:p>
    <w:p>
      <w:pPr>
        <w:pStyle w:val="EX"/>
        <w:rPr/>
      </w:pPr>
      <w:r>
        <w:rPr/>
        <w:t>[7]</w:t>
        <w:tab/>
        <w:t>3GPP TS 24.608: "Terminating Identification Presentation (TIP) and Terminating Identification Restriction (TIR) using IP Multimedia (IM) Core Network (CN) subsystem; Protocol specification".</w:t>
      </w:r>
    </w:p>
    <w:p>
      <w:pPr>
        <w:pStyle w:val="EX"/>
        <w:rPr/>
      </w:pPr>
      <w:r>
        <w:rPr/>
        <w:t>[8]</w:t>
        <w:tab/>
        <w:t xml:space="preserve">3GPP TS 24.610: "Communication HOLD (HOLD) </w:t>
      </w:r>
      <w:r>
        <w:rPr>
          <w:sz w:val="34"/>
        </w:rPr>
        <w:t xml:space="preserve"> </w:t>
      </w:r>
      <w:r>
        <w:rPr/>
        <w:t>using IP Multimedia (IM) Core Network (CN) subsystem; Protocol specification".</w:t>
      </w:r>
    </w:p>
    <w:p>
      <w:pPr>
        <w:pStyle w:val="EX"/>
        <w:rPr/>
      </w:pPr>
      <w:r>
        <w:rPr/>
        <w:t>[9]</w:t>
        <w:tab/>
        <w:t>3GPP TS 24.611: "Anonymous Communication Rejection (ACR) and Communication Barring (CB)</w:t>
      </w:r>
      <w:r>
        <w:rPr>
          <w:sz w:val="34"/>
        </w:rPr>
        <w:t xml:space="preserve"> </w:t>
      </w:r>
      <w:r>
        <w:rPr/>
        <w:t>using IP Multimedia (IM) Core Network (CN) subsystem; Protocol specification".</w:t>
      </w:r>
    </w:p>
    <w:p>
      <w:pPr>
        <w:pStyle w:val="EX"/>
        <w:rPr/>
      </w:pPr>
      <w:r>
        <w:rPr/>
        <w:t>[10]</w:t>
        <w:tab/>
        <w:t>3GPP TS 24.629: "Explicit Communication Transfer (ECT)</w:t>
      </w:r>
      <w:r>
        <w:rPr>
          <w:sz w:val="34"/>
        </w:rPr>
        <w:t xml:space="preserve"> </w:t>
      </w:r>
      <w:r>
        <w:rPr/>
        <w:t>using IP Multimedia (IM) Core Network (CN) subsystem; Protocol specification".</w:t>
      </w:r>
    </w:p>
    <w:p>
      <w:pPr>
        <w:pStyle w:val="EX"/>
        <w:rPr/>
      </w:pPr>
      <w:r>
        <w:rPr/>
        <w:t>[11]</w:t>
        <w:tab/>
        <w:t>3GPP TS 24.623: "Extensible Markup Language (XML) Configuration Access Protocol (XCAP) over the Ut interface for Manipulating Simulation Services".</w:t>
      </w:r>
    </w:p>
    <w:p>
      <w:pPr>
        <w:pStyle w:val="EX"/>
        <w:rPr/>
      </w:pPr>
      <w:r>
        <w:rPr/>
        <w:t>[12]</w:t>
        <w:tab/>
        <w:t>3GPP TS 26.114: "IP Multimedia Subsystem (IMS); Multimedia telephony; Media handling and interaction".</w:t>
      </w:r>
    </w:p>
    <w:p>
      <w:pPr>
        <w:pStyle w:val="EX"/>
        <w:rPr/>
      </w:pPr>
      <w:r>
        <w:rPr/>
        <w:t>[13]</w:t>
        <w:tab/>
        <w:t>3GPP TS 24.229: "Internet Protocol (IP) multimedia call control protocol based on Session Initiation Protocol (SIP) and Session Description Protocol (SDP); Stage 3".</w:t>
      </w:r>
    </w:p>
    <w:p>
      <w:pPr>
        <w:pStyle w:val="EX"/>
        <w:rPr/>
      </w:pPr>
      <w:r>
        <w:rPr/>
        <w:t>[14]</w:t>
        <w:tab/>
        <w:t>3GPP TS 24.247: "Messaging using the IP Multimedia (IM) Core Network (CN) subsystem; Stage 3".</w:t>
      </w:r>
    </w:p>
    <w:p>
      <w:pPr>
        <w:pStyle w:val="EX"/>
        <w:rPr/>
      </w:pPr>
      <w:r>
        <w:rPr/>
        <w:t>[15]</w:t>
        <w:tab/>
        <w:t>Void</w:t>
      </w:r>
    </w:p>
    <w:p>
      <w:pPr>
        <w:pStyle w:val="EX"/>
        <w:rPr/>
      </w:pPr>
      <w:r>
        <w:rPr/>
        <w:t>[16]</w:t>
        <w:tab/>
        <w:t>IETF RFC 3841 (August 2004): "Caller Preferences for the Session Initiation Protocol (SIP)".</w:t>
      </w:r>
    </w:p>
    <w:p>
      <w:pPr>
        <w:pStyle w:val="EX"/>
        <w:rPr/>
      </w:pPr>
      <w:r>
        <w:rPr/>
        <w:t>[17]</w:t>
        <w:tab/>
        <w:t>3GPP TS 24.647: "Advice Of Charge (AOC) using IP Multimedia (IM)Core Network (CN) subsystem; Protocol Specification".</w:t>
      </w:r>
    </w:p>
    <w:p>
      <w:pPr>
        <w:pStyle w:val="EX"/>
        <w:rPr/>
      </w:pPr>
      <w:r>
        <w:rPr/>
        <w:t>[18]</w:t>
        <w:tab/>
        <w:t>3GPP TS 24.654: "Closed User Group (CUG) using IP Multimedia (IM) Core Network (CN) subsystem, Protocol Specification".</w:t>
      </w:r>
    </w:p>
    <w:p>
      <w:pPr>
        <w:pStyle w:val="EX"/>
        <w:rPr/>
      </w:pPr>
      <w:r>
        <w:rPr/>
        <w:t>[19]</w:t>
        <w:tab/>
        <w:t>3GPP TS 24.239: "IP Multimedia Subsystem (IMS) Flexible alerting supplementary service".</w:t>
      </w:r>
    </w:p>
    <w:p>
      <w:pPr>
        <w:pStyle w:val="EX"/>
        <w:rPr/>
      </w:pPr>
      <w:r>
        <w:rPr/>
        <w:t>[20]</w:t>
        <w:tab/>
        <w:t>3GPP TS 24.238: "Session Initiation Protocol (SIP) based user configuration; stage 3".</w:t>
      </w:r>
    </w:p>
    <w:p>
      <w:pPr>
        <w:pStyle w:val="EX"/>
        <w:rPr/>
      </w:pPr>
      <w:r>
        <w:rPr/>
        <w:t>[21]</w:t>
        <w:tab/>
        <w:t>3GPP2 C.S0055-A: "Packet Switched Video Telephony Services".</w:t>
      </w:r>
    </w:p>
    <w:p>
      <w:pPr>
        <w:pStyle w:val="EX"/>
        <w:rPr/>
      </w:pPr>
      <w:r>
        <w:rPr/>
        <w:t>[22]</w:t>
        <w:tab/>
        <w:t>ETSI TS 181 005: "Telecommunications and Internet converged Services and Protocols for Advanced Networking (TISPAN); Service and Capability Requirements".</w:t>
      </w:r>
    </w:p>
    <w:p>
      <w:pPr>
        <w:pStyle w:val="EX"/>
        <w:rPr/>
      </w:pPr>
      <w:r>
        <w:rPr/>
        <w:t>[23]</w:t>
        <w:tab/>
        <w:t>3GPP TS 24.615: "Communication Waiting (CW) using IP Multimedia (IM) Core Network (CN) subsystem, Protocol Specification".</w:t>
      </w:r>
    </w:p>
    <w:p>
      <w:pPr>
        <w:pStyle w:val="EX"/>
        <w:rPr/>
      </w:pPr>
      <w:r>
        <w:rPr/>
        <w:t>[24]</w:t>
        <w:tab/>
        <w:t>3GPP TS 24.642: "Completion of Communications to Busy Subscriber (CCBS) Completion of Communications by No Reply (CCNR) using IP Multimedia (IM) Core Network (CN) subsystem; Protocol specification".</w:t>
      </w:r>
    </w:p>
    <w:p>
      <w:pPr>
        <w:pStyle w:val="EX"/>
        <w:rPr>
          <w:lang w:eastAsia="ja-JP"/>
        </w:rPr>
      </w:pPr>
      <w:r>
        <w:rPr/>
        <w:t>[25]</w:t>
        <w:tab/>
        <w:t>3GPP TS 24.182: "</w:t>
      </w:r>
      <w:r>
        <w:rPr>
          <w:bCs/>
        </w:rPr>
        <w:t>IP Multimedia Subsystem (IMS) Customized Alerting Tones (CAT); Protocol specification</w:t>
      </w:r>
      <w:r>
        <w:rPr/>
        <w:t>".</w:t>
      </w:r>
    </w:p>
    <w:p>
      <w:pPr>
        <w:pStyle w:val="EX"/>
        <w:rPr/>
      </w:pPr>
      <w:r>
        <w:rPr/>
        <w:t>[26]</w:t>
        <w:tab/>
        <w:t>3GPP TS 36.331: "Evolved Universal Terrestrial Radio Access (E-UTRA); Radio Resource Control (RRC); Protocol specification".</w:t>
      </w:r>
    </w:p>
    <w:p>
      <w:pPr>
        <w:pStyle w:val="EX"/>
        <w:rPr/>
      </w:pPr>
      <w:r>
        <w:rPr/>
        <w:t>[27]</w:t>
        <w:tab/>
        <w:t>3GPP TS 24.183: "</w:t>
      </w:r>
      <w:r>
        <w:rPr>
          <w:bCs/>
        </w:rPr>
        <w:t>IP Multimedia Subsystem (IMS) Customized Ringing Signal (CRS); Protocol specification</w:t>
      </w:r>
      <w:r>
        <w:rPr/>
        <w:t>".</w:t>
      </w:r>
    </w:p>
    <w:p>
      <w:pPr>
        <w:pStyle w:val="EX"/>
        <w:rPr/>
      </w:pPr>
      <w:r>
        <w:rPr>
          <w:lang w:eastAsia="zh-CN"/>
        </w:rPr>
        <w:t>[28]</w:t>
        <w:tab/>
        <w:t>IETF RFC 3362 (August 2002): "Real-time Facsimile (T.38) - image/t38 MIME Sub-type Registration".</w:t>
      </w:r>
    </w:p>
    <w:p>
      <w:pPr>
        <w:pStyle w:val="Heading1"/>
        <w:bidi w:val="0"/>
        <w:ind w:start="1134" w:hanging="1134"/>
        <w:jc w:val="start"/>
        <w:rPr/>
      </w:pPr>
      <w:bookmarkStart w:id="11" w:name="__RefHeading___Toc273371760"/>
      <w:bookmarkEnd w:id="11"/>
      <w:r>
        <w:rPr/>
        <w:t>3</w:t>
        <w:tab/>
        <w:t>Definitions, symbols and abbreviations</w:t>
      </w:r>
    </w:p>
    <w:p>
      <w:pPr>
        <w:pStyle w:val="Heading2"/>
        <w:bidi w:val="0"/>
        <w:jc w:val="start"/>
        <w:rPr/>
      </w:pPr>
      <w:bookmarkStart w:id="12" w:name="__RefHeading___Toc273371761"/>
      <w:bookmarkEnd w:id="12"/>
      <w:r>
        <w:rPr/>
        <w:t>3.1</w:t>
        <w:tab/>
        <w:t>Definitions</w:t>
      </w:r>
    </w:p>
    <w:p>
      <w:pPr>
        <w:pStyle w:val="Normal"/>
        <w:rPr/>
      </w:pPr>
      <w:r>
        <w:rPr/>
        <w:t>For the purposes of the present document, the terms and definitions given in 3GPP TS 21.905 [1] apply.</w:t>
      </w:r>
    </w:p>
    <w:p>
      <w:pPr>
        <w:pStyle w:val="Heading2"/>
        <w:bidi w:val="0"/>
        <w:jc w:val="start"/>
        <w:rPr/>
      </w:pPr>
      <w:bookmarkStart w:id="13" w:name="__RefHeading___Toc273371762"/>
      <w:bookmarkEnd w:id="13"/>
      <w:r>
        <w:rPr/>
        <w:t>3.2</w:t>
        <w:tab/>
        <w:t>Abbreviations</w:t>
      </w:r>
    </w:p>
    <w:p>
      <w:pPr>
        <w:pStyle w:val="Normal"/>
        <w:keepNext w:val="true"/>
        <w:rPr/>
      </w:pPr>
      <w:r>
        <w:rPr/>
        <w:t>For the purposes of the present document, the following abbreviations apply:</w:t>
      </w:r>
    </w:p>
    <w:p>
      <w:pPr>
        <w:pStyle w:val="EW"/>
        <w:rPr/>
      </w:pPr>
      <w:r>
        <w:rPr/>
        <w:t>CS</w:t>
        <w:tab/>
        <w:t>Circuit Switched</w:t>
      </w:r>
    </w:p>
    <w:p>
      <w:pPr>
        <w:pStyle w:val="EW"/>
        <w:rPr/>
      </w:pPr>
      <w:r>
        <w:rPr/>
        <w:t>CN</w:t>
        <w:tab/>
        <w:t>Core Network</w:t>
      </w:r>
    </w:p>
    <w:p>
      <w:pPr>
        <w:pStyle w:val="EW"/>
        <w:rPr>
          <w:lang w:val="fr-FR"/>
        </w:rPr>
      </w:pPr>
      <w:r>
        <w:rPr>
          <w:lang w:val="fr-FR"/>
        </w:rPr>
        <w:t>ICSI</w:t>
        <w:tab/>
        <w:t>IMS Communication Service Identifier</w:t>
      </w:r>
    </w:p>
    <w:p>
      <w:pPr>
        <w:pStyle w:val="EW"/>
        <w:rPr>
          <w:lang w:val="fr-FR"/>
        </w:rPr>
      </w:pPr>
      <w:r>
        <w:rPr>
          <w:lang w:val="fr-FR"/>
        </w:rPr>
        <w:t>IP</w:t>
        <w:tab/>
        <w:t>Internet Protocol</w:t>
      </w:r>
    </w:p>
    <w:p>
      <w:pPr>
        <w:pStyle w:val="EW"/>
        <w:rPr/>
      </w:pPr>
      <w:r>
        <w:rPr/>
        <w:t>IM</w:t>
        <w:tab/>
        <w:t>IP Multimedia</w:t>
      </w:r>
    </w:p>
    <w:p>
      <w:pPr>
        <w:pStyle w:val="EW"/>
        <w:rPr/>
      </w:pPr>
      <w:r>
        <w:rPr/>
        <w:t>MMTEL</w:t>
        <w:tab/>
        <w:t xml:space="preserve">Multimedia Telephony </w:t>
      </w:r>
    </w:p>
    <w:p>
      <w:pPr>
        <w:pStyle w:val="EW"/>
        <w:rPr/>
      </w:pPr>
      <w:r>
        <w:rPr/>
        <w:t>UDP</w:t>
        <w:tab/>
        <w:t>User Datagram Protocol</w:t>
      </w:r>
    </w:p>
    <w:p>
      <w:pPr>
        <w:pStyle w:val="EW"/>
        <w:rPr/>
      </w:pPr>
      <w:r>
        <w:rPr/>
        <w:t>UDPTL</w:t>
        <w:tab/>
        <w:t>UDP Transport Layer</w:t>
      </w:r>
    </w:p>
    <w:p>
      <w:pPr>
        <w:pStyle w:val="EW"/>
        <w:rPr/>
      </w:pPr>
      <w:r>
        <w:rPr/>
      </w:r>
    </w:p>
    <w:p>
      <w:pPr>
        <w:pStyle w:val="Heading1"/>
        <w:bidi w:val="0"/>
        <w:ind w:start="1134" w:hanging="1134"/>
        <w:jc w:val="start"/>
        <w:rPr/>
      </w:pPr>
      <w:bookmarkStart w:id="14" w:name="__RefHeading___Toc273371763"/>
      <w:bookmarkEnd w:id="14"/>
      <w:r>
        <w:rPr/>
        <w:t>4</w:t>
        <w:tab/>
        <w:t>Overview of multimedia telephony communication service and associated supplementary services in the IP Multimedia (IM) Core Network (CN) subsystem</w:t>
      </w:r>
    </w:p>
    <w:p>
      <w:pPr>
        <w:pStyle w:val="Heading2"/>
        <w:bidi w:val="0"/>
        <w:jc w:val="start"/>
        <w:rPr/>
      </w:pPr>
      <w:bookmarkStart w:id="15" w:name="__RefHeading___Toc273371764"/>
      <w:bookmarkEnd w:id="15"/>
      <w:r>
        <w:rPr/>
        <w:t>4.1</w:t>
        <w:tab/>
        <w:tab/>
        <w:t>General</w:t>
      </w:r>
    </w:p>
    <w:p>
      <w:pPr>
        <w:pStyle w:val="Normal"/>
        <w:rPr/>
      </w:pPr>
      <w:r>
        <w:rPr/>
        <w:t>In accordance with the service definition and requirements in 3GPP TS 22.173 [2], the IMS multimedia telephony communication service specified herein allows multimedia conversational communication between two or more end points. An end point is typically located in a UE, but can also be located in a network entity.</w:t>
      </w:r>
    </w:p>
    <w:p>
      <w:pPr>
        <w:pStyle w:val="Normal"/>
        <w:rPr/>
      </w:pPr>
      <w:r>
        <w:rPr/>
        <w:t>As for traditional circuit-switched telephony, the protocols for the IMS multimedia Telephony communication service allow a user to connect to any other user, regardless of operator and access technology.</w:t>
      </w:r>
    </w:p>
    <w:p>
      <w:pPr>
        <w:pStyle w:val="Normal"/>
        <w:rPr/>
      </w:pPr>
      <w:r>
        <w:rPr/>
        <w:t>The IMS multimedia Telephony communication service consists of two principal parts: a basic communication part, and an optional supplementary services part.</w:t>
      </w:r>
    </w:p>
    <w:p>
      <w:pPr>
        <w:pStyle w:val="Heading2"/>
        <w:bidi w:val="0"/>
        <w:jc w:val="start"/>
        <w:rPr/>
      </w:pPr>
      <w:bookmarkStart w:id="16" w:name="__RefHeading___Toc273371765"/>
      <w:bookmarkEnd w:id="16"/>
      <w:r>
        <w:rPr/>
        <w:t>4.1A</w:t>
        <w:tab/>
        <w:t>Roles</w:t>
      </w:r>
    </w:p>
    <w:p>
      <w:pPr>
        <w:pStyle w:val="Heading3"/>
        <w:bidi w:val="0"/>
        <w:jc w:val="start"/>
        <w:rPr/>
      </w:pPr>
      <w:bookmarkStart w:id="17" w:name="__RefHeading___Toc273371766"/>
      <w:bookmarkEnd w:id="17"/>
      <w:r>
        <w:rPr/>
        <w:t>4.1A.1</w:t>
        <w:tab/>
        <w:t>Multimedia telephony participant</w:t>
      </w:r>
    </w:p>
    <w:p>
      <w:pPr>
        <w:pStyle w:val="Normal"/>
        <w:rPr/>
      </w:pPr>
      <w:r>
        <w:rPr/>
        <w:t>A UE shall implement the role of a multimedia telephony participant.</w:t>
      </w:r>
    </w:p>
    <w:p>
      <w:pPr>
        <w:pStyle w:val="Heading3"/>
        <w:bidi w:val="0"/>
        <w:jc w:val="start"/>
        <w:rPr/>
      </w:pPr>
      <w:bookmarkStart w:id="18" w:name="__RefHeading___Toc273371767"/>
      <w:bookmarkEnd w:id="18"/>
      <w:r>
        <w:rPr/>
        <w:t>4.1A.2</w:t>
        <w:tab/>
        <w:t>Multimedia telephony application server</w:t>
      </w:r>
    </w:p>
    <w:p>
      <w:pPr>
        <w:pStyle w:val="Normal"/>
        <w:rPr/>
      </w:pPr>
      <w:r>
        <w:rPr/>
        <w:t>An application server shall implement the role of a multimedia telephony application server. Various application server usages are called out by references to the various supplementary services, see subclause 4.3. It is an implementation decision on how to allocate the functionality to one or more application servers.</w:t>
      </w:r>
    </w:p>
    <w:p>
      <w:pPr>
        <w:pStyle w:val="Heading2"/>
        <w:bidi w:val="0"/>
        <w:jc w:val="start"/>
        <w:rPr/>
      </w:pPr>
      <w:bookmarkStart w:id="19" w:name="__RefHeading___Toc273371768"/>
      <w:bookmarkEnd w:id="19"/>
      <w:r>
        <w:rPr/>
        <w:t>4.2</w:t>
        <w:tab/>
        <w:t>Overview of basic communication part</w:t>
      </w:r>
    </w:p>
    <w:p>
      <w:pPr>
        <w:pStyle w:val="Normal"/>
        <w:rPr/>
      </w:pPr>
      <w:r>
        <w:rPr/>
        <w:t>The basic communication part of an IMS multimedia telephony communication service session is realised by a single SIP session. It utilises media capabilities and flexibility provided by the SIP protocol and the 3GPP IMS specifications. In accordance with the service definition in 3GPP TS 22.173 [2], media capabilities include RTP-based transfer of voice, real-time video, text and data, and UDPTL-based transfer of fax (IETF RFC 3362 [28]), as well as TCP/MSRP-based transfer of text, arbitrary files and sharing of media files with predefined formats.</w:t>
      </w:r>
    </w:p>
    <w:p>
      <w:pPr>
        <w:pStyle w:val="Normal"/>
        <w:rPr/>
      </w:pPr>
      <w:r>
        <w:rPr/>
        <w:t>To ensure interoperability, media codecs and formats are fully specified for RTP-based and MSRP-based transfer in:</w:t>
      </w:r>
    </w:p>
    <w:p>
      <w:pPr>
        <w:pStyle w:val="B1"/>
        <w:rPr/>
      </w:pPr>
      <w:r>
        <w:rPr/>
        <w:t>-</w:t>
        <w:tab/>
        <w:t>3GPP TS 26.114 [12] for 3GPP systems;</w:t>
      </w:r>
    </w:p>
    <w:p>
      <w:pPr>
        <w:pStyle w:val="B1"/>
        <w:rPr/>
      </w:pPr>
      <w:r>
        <w:rPr/>
        <w:t>-</w:t>
        <w:tab/>
        <w:t>3GPP2 C.S0055-A [21] for 3GPP2 systems; and</w:t>
      </w:r>
    </w:p>
    <w:p>
      <w:pPr>
        <w:pStyle w:val="B1"/>
        <w:rPr/>
      </w:pPr>
      <w:r>
        <w:rPr/>
        <w:t>-</w:t>
        <w:tab/>
        <w:t>ETSI TS 181 005 [22] for fixed-broadband accesses.</w:t>
      </w:r>
    </w:p>
    <w:p>
      <w:pPr>
        <w:pStyle w:val="NO"/>
        <w:rPr/>
      </w:pPr>
      <w:r>
        <w:rPr/>
        <w:t>NOTE:</w:t>
        <w:tab/>
        <w:t>ETSI TS 181 005 [22] provides general rules for codecs and formats usage within networks using fixed-broadband accesses. These rules are not specific to IMS multimedia telephony communication services.</w:t>
      </w:r>
    </w:p>
    <w:p>
      <w:pPr>
        <w:pStyle w:val="Normal"/>
        <w:rPr/>
      </w:pPr>
      <w:r>
        <w:rPr/>
        <w:t>The service is highly dynamic in terms of media component usage: the protocols allow a communication session to start with one or more media components, and components can then be added and/or removed during the communication session. The protocols allow both one-way and two ways transfer between end points. Full duplex speech, and speech combined with other media components, are typical media cases but the protocols do not mandate the use of speech in all sessions.</w:t>
      </w:r>
    </w:p>
    <w:p>
      <w:pPr>
        <w:pStyle w:val="Heading2"/>
        <w:bidi w:val="0"/>
        <w:jc w:val="start"/>
        <w:rPr/>
      </w:pPr>
      <w:bookmarkStart w:id="20" w:name="__RefHeading___Toc273371769"/>
      <w:bookmarkEnd w:id="20"/>
      <w:r>
        <w:rPr/>
        <w:t>4.3</w:t>
        <w:tab/>
        <w:t>Overview of supplementary services part</w:t>
      </w:r>
    </w:p>
    <w:p>
      <w:pPr>
        <w:pStyle w:val="Normal"/>
        <w:rPr/>
      </w:pPr>
      <w:r>
        <w:rPr/>
        <w:t>The supplementary services part of the IMS multimedia telephony communication service consists of a number of specified supplementary services. These are fully standardized to ensure interoperability between multiple end points, and between end points and network control entities. The behaviour of supplementary services is similar to supplementary services specified for CS speech (TS 11). Supplementary services uses SIP as enabling protocol. Configuration of supplementary services by the user should:</w:t>
      </w:r>
    </w:p>
    <w:p>
      <w:pPr>
        <w:pStyle w:val="B1"/>
        <w:rPr/>
      </w:pPr>
      <w:r>
        <w:rPr/>
        <w:t>-</w:t>
        <w:tab/>
        <w:t>take place over the Ut interface using XCAP as enabling protocol as described in 3GPP TS 24.623 [11]; or</w:t>
      </w:r>
    </w:p>
    <w:p>
      <w:pPr>
        <w:pStyle w:val="B1"/>
        <w:rPr/>
      </w:pPr>
      <w:r>
        <w:rPr/>
        <w:t>-</w:t>
        <w:tab/>
        <w:t>use SIP based user configuration as described in 3GPP TS 24.238 [20] ;</w:t>
      </w:r>
    </w:p>
    <w:p>
      <w:pPr>
        <w:pStyle w:val="NO"/>
        <w:rPr/>
      </w:pPr>
      <w:r>
        <w:rPr/>
        <w:t>NOTE:</w:t>
        <w:tab/>
        <w:t>Other possibilities for user configuration, such as web-based provisioning or pre-provisioning by the operator are outside the scope of the present document, but are not precluded.</w:t>
      </w:r>
    </w:p>
    <w:p>
      <w:pPr>
        <w:pStyle w:val="Heading1"/>
        <w:bidi w:val="0"/>
        <w:ind w:start="1134" w:hanging="1134"/>
        <w:jc w:val="start"/>
        <w:rPr/>
      </w:pPr>
      <w:bookmarkStart w:id="21" w:name="__RefHeading___Toc273371770"/>
      <w:bookmarkEnd w:id="21"/>
      <w:r>
        <w:rPr/>
        <w:t>5</w:t>
        <w:tab/>
        <w:t>Basic Communication</w:t>
      </w:r>
    </w:p>
    <w:p>
      <w:pPr>
        <w:pStyle w:val="Heading2"/>
        <w:bidi w:val="0"/>
        <w:jc w:val="start"/>
        <w:rPr/>
      </w:pPr>
      <w:bookmarkStart w:id="22" w:name="__RefHeading___Toc273371771"/>
      <w:bookmarkEnd w:id="22"/>
      <w:r>
        <w:rPr/>
        <w:t>5.1</w:t>
        <w:tab/>
        <w:t>IMS communication service identifier</w:t>
      </w:r>
    </w:p>
    <w:p>
      <w:pPr>
        <w:pStyle w:val="Normal"/>
        <w:overflowPunct w:val="false"/>
        <w:autoSpaceDE w:val="false"/>
        <w:textAlignment w:val="baseline"/>
        <w:rPr/>
      </w:pPr>
      <w:r>
        <w:rPr>
          <w:lang w:eastAsia="en-GB"/>
        </w:rPr>
        <w:t xml:space="preserve">URN used to define the ICSI for the IMS Multimedia Telephony Communication Service: urn:urn-7:3gpp-service.ims.icsi.mmtel. </w:t>
      </w:r>
      <w:r>
        <w:rPr>
          <w:lang w:val="en-US" w:eastAsia="en-US"/>
        </w:rPr>
        <w:t>The URN is registered at http://www.3gpp.com/Uniform-Resource-Name-URN-list.html</w:t>
      </w:r>
      <w:r>
        <w:rPr>
          <w:lang w:eastAsia="en-GB"/>
        </w:rPr>
        <w:t>.</w:t>
      </w:r>
    </w:p>
    <w:p>
      <w:pPr>
        <w:pStyle w:val="Normal"/>
        <w:overflowPunct w:val="false"/>
        <w:autoSpaceDE w:val="false"/>
        <w:textAlignment w:val="baseline"/>
        <w:rPr/>
      </w:pPr>
      <w:r>
        <w:rPr>
          <w:lang w:eastAsia="en-GB"/>
        </w:rPr>
        <w:t>Summary of the URN: This URN indicates that the device supports the IMS Multimedia Telephony Communication Service.</w:t>
      </w:r>
    </w:p>
    <w:p>
      <w:pPr>
        <w:pStyle w:val="Normal"/>
        <w:overflowPunct w:val="false"/>
        <w:autoSpaceDE w:val="false"/>
        <w:textAlignment w:val="baseline"/>
        <w:rPr/>
      </w:pPr>
      <w:r>
        <w:rPr>
          <w:lang w:eastAsia="en-GB"/>
        </w:rPr>
        <w:t>The URN is intended primarily for use in the following applications, protocols, services, or negotiation mechanisms:</w:t>
      </w:r>
    </w:p>
    <w:p>
      <w:pPr>
        <w:pStyle w:val="Normal"/>
        <w:rPr/>
      </w:pPr>
      <w:r>
        <w:rPr>
          <w:lang w:eastAsia="en-GB"/>
        </w:rPr>
        <w:t>This URN is most useful in a communications application, for describing the capabilities of a device, such as a phone or PDA.</w:t>
      </w:r>
    </w:p>
    <w:p>
      <w:pPr>
        <w:pStyle w:val="Normal"/>
        <w:overflowPunct w:val="false"/>
        <w:autoSpaceDE w:val="false"/>
        <w:textAlignment w:val="baseline"/>
        <w:rPr>
          <w:lang w:eastAsia="en-GB"/>
        </w:rPr>
      </w:pPr>
      <w:r>
        <w:rPr>
          <w:lang w:eastAsia="en-GB"/>
        </w:rPr>
        <w:t>Examples of typical use: Indicating that a mobile phone can support the IMS Multimedia Telephony Communication Service.</w:t>
      </w:r>
    </w:p>
    <w:p>
      <w:pPr>
        <w:pStyle w:val="Normal"/>
        <w:overflowPunct w:val="false"/>
        <w:autoSpaceDE w:val="false"/>
        <w:textAlignment w:val="baseline"/>
        <w:rPr>
          <w:lang w:eastAsia="en-GB"/>
        </w:rPr>
      </w:pPr>
      <w:r>
        <w:rPr>
          <w:lang w:eastAsia="en-GB"/>
        </w:rPr>
        <w:t>Related standards or documents:</w:t>
      </w:r>
    </w:p>
    <w:p>
      <w:pPr>
        <w:pStyle w:val="Normal"/>
        <w:overflowPunct w:val="false"/>
        <w:autoSpaceDE w:val="false"/>
        <w:ind w:start="568" w:hanging="284"/>
        <w:textAlignment w:val="baseline"/>
        <w:rPr/>
      </w:pPr>
      <w:r>
        <w:rPr>
          <w:lang w:eastAsia="en-GB"/>
        </w:rPr>
        <w:t>3GPP TS 24.173: "IMS Multimedia Telephony Communication Service and Supplementary Services, stage 3"</w:t>
      </w:r>
    </w:p>
    <w:p>
      <w:pPr>
        <w:pStyle w:val="Heading2"/>
        <w:bidi w:val="0"/>
        <w:jc w:val="start"/>
        <w:rPr/>
      </w:pPr>
      <w:bookmarkStart w:id="23" w:name="__RefHeading___Toc273371772"/>
      <w:bookmarkEnd w:id="23"/>
      <w:r>
        <w:rPr/>
        <w:t>5.2</w:t>
        <w:tab/>
        <w:t>Session control procedures</w:t>
      </w:r>
    </w:p>
    <w:p>
      <w:pPr>
        <w:pStyle w:val="Normal"/>
        <w:rPr/>
      </w:pPr>
      <w:r>
        <w:rPr>
          <w:rFonts w:eastAsia="SimSun;Arial Unicode MS"/>
          <w:lang w:eastAsia="zh-CN"/>
        </w:rPr>
        <w:t xml:space="preserve">The IMS multimedia telephony communication service can support different types of media, including media types listed in 3GPP TS 22.173 [2]. The session control procedures for the different media types shall be in accordance with 3GPP TS 24.229 [13] and </w:t>
      </w:r>
      <w:r>
        <w:rPr/>
        <w:t>3GPP TS 24.247 [14], with the following additions:</w:t>
      </w:r>
    </w:p>
    <w:p>
      <w:pPr>
        <w:pStyle w:val="B1"/>
        <w:rPr>
          <w:rFonts w:eastAsia="SimSun;Arial Unicode MS"/>
          <w:lang w:eastAsia="zh-CN"/>
        </w:rPr>
      </w:pPr>
      <w:r>
        <w:rPr/>
        <w:t>a)</w:t>
        <w:tab/>
        <w:t xml:space="preserve">Multimedia telephony is an IMS communication service and the P-Preferred-Service and P-Asserted-Service headers shall be treated as described in </w:t>
      </w:r>
      <w:r>
        <w:rPr>
          <w:rFonts w:eastAsia="SimSun;Arial Unicode MS"/>
          <w:lang w:eastAsia="zh-CN"/>
        </w:rPr>
        <w:t xml:space="preserve">3GPP TS 24.229 [13]. The coding of the ICSI value in </w:t>
      </w:r>
      <w:r>
        <w:rPr/>
        <w:t xml:space="preserve">the P-Preferred-Service and P-Asserted-Service headers </w:t>
      </w:r>
      <w:r>
        <w:rPr>
          <w:rFonts w:eastAsia="SimSun;Arial Unicode MS"/>
          <w:lang w:eastAsia="zh-CN"/>
        </w:rPr>
        <w:t xml:space="preserve">shall be according to </w:t>
      </w:r>
      <w:r>
        <w:rPr/>
        <w:t>subclause 5.1</w:t>
      </w:r>
      <w:r>
        <w:rPr>
          <w:rFonts w:eastAsia="SimSun;Arial Unicode MS"/>
          <w:lang w:eastAsia="zh-CN"/>
        </w:rPr>
        <w:t>.</w:t>
      </w:r>
    </w:p>
    <w:p>
      <w:pPr>
        <w:pStyle w:val="B1"/>
        <w:rPr/>
      </w:pPr>
      <w:r>
        <w:rPr/>
        <w:t>b)</w:t>
        <w:tab/>
        <w:t xml:space="preserve">The multimedia telephony participant shall include the </w:t>
      </w:r>
      <w:r>
        <w:rPr>
          <w:rFonts w:eastAsia="SimSun;Arial Unicode MS"/>
          <w:lang w:val="en-US" w:eastAsia="zh-CN"/>
        </w:rPr>
        <w:t>g.3gpp. icsi-ref feature tag</w:t>
      </w:r>
      <w:r>
        <w:rPr/>
        <w:t xml:space="preserve"> equal to the ICSI value defined in subclause 5.1 in the Contact header field in initial requests and responses as described in </w:t>
      </w:r>
      <w:r>
        <w:rPr>
          <w:rFonts w:eastAsia="SimSun;Arial Unicode MS"/>
          <w:lang w:eastAsia="zh-CN"/>
        </w:rPr>
        <w:t>3GPP TS 24.229 [13]</w:t>
      </w:r>
      <w:r>
        <w:rPr/>
        <w:t>.</w:t>
      </w:r>
    </w:p>
    <w:p>
      <w:pPr>
        <w:pStyle w:val="B1"/>
        <w:rPr/>
      </w:pPr>
      <w:r>
        <w:rPr/>
        <w:t>c)</w:t>
        <w:tab/>
        <w:t>The multimedia telephony participant shall include an Accept-Contact header field containing the g.3gpp. icsi-ref feature tag containing the ICSI value defined in subclause 5.1 in initial requests. If the user requests capabilities other than multimedia telephony, the Accept-Contact header field may contain other feature parameters and feature parameter values, and other Accept-Contact header fields may be added to express user preferences as per IETF RFC 3841 [16].</w:t>
      </w:r>
    </w:p>
    <w:p>
      <w:pPr>
        <w:pStyle w:val="NO"/>
        <w:rPr/>
      </w:pPr>
      <w:r>
        <w:rPr/>
        <w:t>NOTE:</w:t>
        <w:tab/>
        <w:t>How the user indicates other feature parameters and feature parameter values is outside of the scope of this document.</w:t>
      </w:r>
    </w:p>
    <w:p>
      <w:pPr>
        <w:pStyle w:val="Heading2"/>
        <w:bidi w:val="0"/>
        <w:jc w:val="start"/>
        <w:rPr/>
      </w:pPr>
      <w:bookmarkStart w:id="24" w:name="__RefHeading___Toc273371773"/>
      <w:bookmarkEnd w:id="24"/>
      <w:r>
        <w:rPr/>
        <w:t>5.3</w:t>
        <w:tab/>
        <w:t>Interworking</w:t>
      </w:r>
    </w:p>
    <w:p>
      <w:pPr>
        <w:pStyle w:val="Normal"/>
        <w:rPr/>
      </w:pPr>
      <w:r>
        <w:rPr/>
        <w:t xml:space="preserve">The </w:t>
      </w:r>
      <w:r>
        <w:rPr>
          <w:lang w:eastAsia="en-GB"/>
        </w:rPr>
        <w:t>multimedia telephony participant</w:t>
      </w:r>
      <w:r>
        <w:rPr/>
        <w:t xml:space="preserve"> could receive initial requests that do not contain the ICSI value defined in subclause 5.1 in the Accept-Contact header but still invoke the </w:t>
      </w:r>
      <w:r>
        <w:rPr>
          <w:rFonts w:eastAsia="SimSun;Arial Unicode MS"/>
          <w:lang w:eastAsia="zh-CN"/>
        </w:rPr>
        <w:t>IMS multimedia telephony communication service application</w:t>
      </w:r>
      <w:r>
        <w:rPr/>
        <w:t>.</w:t>
      </w:r>
    </w:p>
    <w:p>
      <w:pPr>
        <w:pStyle w:val="Heading1"/>
        <w:bidi w:val="0"/>
        <w:ind w:start="1134" w:hanging="1134"/>
        <w:jc w:val="start"/>
        <w:rPr/>
      </w:pPr>
      <w:bookmarkStart w:id="25" w:name="__RefHeading___Toc273371774"/>
      <w:bookmarkEnd w:id="25"/>
      <w:r>
        <w:rPr/>
        <w:t>6</w:t>
        <w:tab/>
        <w:t>Supplementary Services</w:t>
      </w:r>
    </w:p>
    <w:p>
      <w:pPr>
        <w:pStyle w:val="Heading2"/>
        <w:bidi w:val="0"/>
        <w:jc w:val="start"/>
        <w:rPr/>
      </w:pPr>
      <w:bookmarkStart w:id="26" w:name="__RefHeading___Toc273371775"/>
      <w:bookmarkEnd w:id="26"/>
      <w:r>
        <w:rPr/>
        <w:t>6.1</w:t>
        <w:tab/>
        <w:t>High level requirements</w:t>
      </w:r>
    </w:p>
    <w:p>
      <w:pPr>
        <w:pStyle w:val="Heading2"/>
        <w:bidi w:val="0"/>
        <w:jc w:val="start"/>
        <w:rPr/>
      </w:pPr>
      <w:bookmarkStart w:id="27" w:name="__RefHeading___Toc273371776"/>
      <w:bookmarkEnd w:id="27"/>
      <w:r>
        <w:rPr/>
        <w:t>6.2</w:t>
        <w:tab/>
        <w:t>Originating Identification Presentation (OIP)</w:t>
      </w:r>
    </w:p>
    <w:p>
      <w:pPr>
        <w:pStyle w:val="Normal"/>
        <w:rPr/>
      </w:pPr>
      <w:r>
        <w:rPr/>
        <w:t>The OIP service is specified in 3GPP TS 24.607 [6].</w:t>
      </w:r>
    </w:p>
    <w:p>
      <w:pPr>
        <w:pStyle w:val="Heading2"/>
        <w:bidi w:val="0"/>
        <w:jc w:val="start"/>
        <w:rPr/>
      </w:pPr>
      <w:bookmarkStart w:id="28" w:name="__RefHeading___Toc273371777"/>
      <w:bookmarkEnd w:id="28"/>
      <w:r>
        <w:rPr/>
        <w:t>6.3</w:t>
        <w:tab/>
        <w:t>Originating Identification Restriction (OIR)</w:t>
      </w:r>
    </w:p>
    <w:p>
      <w:pPr>
        <w:pStyle w:val="Normal"/>
        <w:rPr/>
      </w:pPr>
      <w:r>
        <w:rPr/>
        <w:t>The OIR service is specified in 3GPP TS 24.607 [6].</w:t>
      </w:r>
    </w:p>
    <w:p>
      <w:pPr>
        <w:pStyle w:val="Heading2"/>
        <w:bidi w:val="0"/>
        <w:jc w:val="start"/>
        <w:rPr/>
      </w:pPr>
      <w:bookmarkStart w:id="29" w:name="__RefHeading___Toc273371778"/>
      <w:bookmarkEnd w:id="29"/>
      <w:r>
        <w:rPr/>
        <w:t>6.4</w:t>
        <w:tab/>
        <w:t>Terminating Identification Presentation (TIP)</w:t>
      </w:r>
    </w:p>
    <w:p>
      <w:pPr>
        <w:pStyle w:val="Normal"/>
        <w:rPr/>
      </w:pPr>
      <w:r>
        <w:rPr/>
        <w:t>The TIP service is specified in 3GPP TS 24.608 [7].</w:t>
      </w:r>
    </w:p>
    <w:p>
      <w:pPr>
        <w:pStyle w:val="Heading2"/>
        <w:bidi w:val="0"/>
        <w:jc w:val="start"/>
        <w:rPr/>
      </w:pPr>
      <w:bookmarkStart w:id="30" w:name="__RefHeading___Toc273371779"/>
      <w:bookmarkEnd w:id="30"/>
      <w:r>
        <w:rPr/>
        <w:t>6.5</w:t>
        <w:tab/>
        <w:t>Terminating Identification Restriction (TIR)</w:t>
      </w:r>
    </w:p>
    <w:p>
      <w:pPr>
        <w:pStyle w:val="Normal"/>
        <w:rPr/>
      </w:pPr>
      <w:r>
        <w:rPr/>
        <w:t>The TIR service is specified in 3GPP TS 24.608 [7].</w:t>
      </w:r>
    </w:p>
    <w:p>
      <w:pPr>
        <w:pStyle w:val="Heading2"/>
        <w:bidi w:val="0"/>
        <w:jc w:val="start"/>
        <w:rPr/>
      </w:pPr>
      <w:bookmarkStart w:id="31" w:name="__RefHeading___Toc273371780"/>
      <w:bookmarkEnd w:id="31"/>
      <w:r>
        <w:rPr/>
        <w:t>6.6</w:t>
        <w:tab/>
        <w:t>Communication Diversion (CDIV)</w:t>
      </w:r>
    </w:p>
    <w:p>
      <w:pPr>
        <w:pStyle w:val="Normal"/>
        <w:rPr/>
      </w:pPr>
      <w:r>
        <w:rPr/>
        <w:t>The CDIV service is specified in 3GPP TS 24.604 [3].</w:t>
      </w:r>
    </w:p>
    <w:p>
      <w:pPr>
        <w:pStyle w:val="Heading2"/>
        <w:bidi w:val="0"/>
        <w:jc w:val="start"/>
        <w:rPr/>
      </w:pPr>
      <w:bookmarkStart w:id="32" w:name="__RefHeading___Toc273371781"/>
      <w:bookmarkEnd w:id="32"/>
      <w:r>
        <w:rPr/>
        <w:t>6.7</w:t>
        <w:tab/>
        <w:t>Communication Hold (HOLD)</w:t>
      </w:r>
    </w:p>
    <w:p>
      <w:pPr>
        <w:pStyle w:val="Normal"/>
        <w:rPr/>
      </w:pPr>
      <w:r>
        <w:rPr/>
        <w:t>The HOLD service is specified in 3GPP TS 24.610 [8].</w:t>
      </w:r>
    </w:p>
    <w:p>
      <w:pPr>
        <w:pStyle w:val="Heading2"/>
        <w:bidi w:val="0"/>
        <w:jc w:val="start"/>
        <w:rPr/>
      </w:pPr>
      <w:bookmarkStart w:id="33" w:name="__RefHeading___Toc273371782"/>
      <w:bookmarkEnd w:id="33"/>
      <w:r>
        <w:rPr/>
        <w:t>6.8</w:t>
        <w:tab/>
        <w:t>Communication Barring (CB)</w:t>
      </w:r>
    </w:p>
    <w:p>
      <w:pPr>
        <w:pStyle w:val="Normal"/>
        <w:rPr/>
      </w:pPr>
      <w:r>
        <w:rPr/>
        <w:t>The CB service is specified in 3GPP TS 24.611 [9].</w:t>
      </w:r>
    </w:p>
    <w:p>
      <w:pPr>
        <w:pStyle w:val="Heading2"/>
        <w:bidi w:val="0"/>
        <w:jc w:val="start"/>
        <w:rPr/>
      </w:pPr>
      <w:bookmarkStart w:id="34" w:name="__RefHeading___Toc273371783"/>
      <w:bookmarkEnd w:id="34"/>
      <w:r>
        <w:rPr/>
        <w:t>6.9</w:t>
        <w:tab/>
        <w:t>Message Waiting Indication (MWI)</w:t>
      </w:r>
    </w:p>
    <w:p>
      <w:pPr>
        <w:pStyle w:val="Normal"/>
        <w:rPr/>
      </w:pPr>
      <w:r>
        <w:rPr/>
        <w:t>The MWI service is specified in 3GPP TS 24.606 [5].</w:t>
      </w:r>
    </w:p>
    <w:p>
      <w:pPr>
        <w:pStyle w:val="Heading2"/>
        <w:bidi w:val="0"/>
        <w:jc w:val="start"/>
        <w:rPr/>
      </w:pPr>
      <w:bookmarkStart w:id="35" w:name="__RefHeading___Toc273371784"/>
      <w:bookmarkEnd w:id="35"/>
      <w:r>
        <w:rPr/>
        <w:t>6.10</w:t>
        <w:tab/>
        <w:t>Conference (CONF)</w:t>
      </w:r>
    </w:p>
    <w:p>
      <w:pPr>
        <w:pStyle w:val="Normal"/>
        <w:rPr/>
      </w:pPr>
      <w:r>
        <w:rPr/>
        <w:t>The CONF service is specified in 3GPP TS 24.605 [4].</w:t>
      </w:r>
    </w:p>
    <w:p>
      <w:pPr>
        <w:pStyle w:val="Heading2"/>
        <w:bidi w:val="0"/>
        <w:jc w:val="start"/>
        <w:rPr/>
      </w:pPr>
      <w:bookmarkStart w:id="36" w:name="__RefHeading___Toc273371785"/>
      <w:bookmarkEnd w:id="36"/>
      <w:r>
        <w:rPr/>
        <w:t>6.11</w:t>
        <w:tab/>
        <w:t>Explicit Communication Transfer (ECT)</w:t>
      </w:r>
    </w:p>
    <w:p>
      <w:pPr>
        <w:pStyle w:val="Normal"/>
        <w:rPr/>
      </w:pPr>
      <w:r>
        <w:rPr/>
        <w:t>The ECT service is specified in 3GPP TS 24.629 [10].</w:t>
      </w:r>
    </w:p>
    <w:p>
      <w:pPr>
        <w:pStyle w:val="Heading2"/>
        <w:bidi w:val="0"/>
        <w:jc w:val="start"/>
        <w:rPr/>
      </w:pPr>
      <w:bookmarkStart w:id="37" w:name="__RefHeading___Toc273371786"/>
      <w:bookmarkEnd w:id="37"/>
      <w:r>
        <w:rPr/>
        <w:t>6.12</w:t>
        <w:tab/>
        <w:t>XCAP over Ut interface for Manipulating NGN Services</w:t>
      </w:r>
    </w:p>
    <w:p>
      <w:pPr>
        <w:pStyle w:val="Normal"/>
        <w:rPr/>
      </w:pPr>
      <w:r>
        <w:rPr/>
        <w:t>The XCAP is specified in 3GPP TS 24.623 [11].</w:t>
      </w:r>
    </w:p>
    <w:p>
      <w:pPr>
        <w:pStyle w:val="Heading2"/>
        <w:bidi w:val="0"/>
        <w:jc w:val="start"/>
        <w:rPr/>
      </w:pPr>
      <w:bookmarkStart w:id="38" w:name="__RefHeading___Toc273371787"/>
      <w:bookmarkEnd w:id="38"/>
      <w:r>
        <w:rPr/>
        <w:t>6.13</w:t>
        <w:tab/>
        <w:t>Advice Of Charge (AOC)</w:t>
      </w:r>
    </w:p>
    <w:p>
      <w:pPr>
        <w:pStyle w:val="Normal"/>
        <w:rPr/>
      </w:pPr>
      <w:r>
        <w:rPr/>
        <w:t>The AOC service is specified in 3GPP TS 24.647 [17].</w:t>
      </w:r>
    </w:p>
    <w:p>
      <w:pPr>
        <w:pStyle w:val="Heading2"/>
        <w:bidi w:val="0"/>
        <w:jc w:val="start"/>
        <w:rPr/>
      </w:pPr>
      <w:bookmarkStart w:id="39" w:name="__RefHeading___Toc273371788"/>
      <w:bookmarkEnd w:id="39"/>
      <w:r>
        <w:rPr/>
        <w:t>6.14</w:t>
        <w:tab/>
        <w:t>Closed User Groups (CUG)</w:t>
      </w:r>
    </w:p>
    <w:p>
      <w:pPr>
        <w:pStyle w:val="Normal"/>
        <w:rPr/>
      </w:pPr>
      <w:r>
        <w:rPr/>
        <w:t>The CUG service is specified in 3GPP TS 24.654 [18].</w:t>
      </w:r>
    </w:p>
    <w:p>
      <w:pPr>
        <w:pStyle w:val="Heading2"/>
        <w:bidi w:val="0"/>
        <w:jc w:val="start"/>
        <w:rPr/>
      </w:pPr>
      <w:bookmarkStart w:id="40" w:name="__RefHeading___Toc273371789"/>
      <w:bookmarkEnd w:id="40"/>
      <w:r>
        <w:rPr/>
        <w:t>6.15</w:t>
        <w:tab/>
        <w:t>Three-Party (3PTY)</w:t>
      </w:r>
    </w:p>
    <w:p>
      <w:pPr>
        <w:pStyle w:val="Normal"/>
        <w:rPr/>
      </w:pPr>
      <w:r>
        <w:rPr/>
        <w:t>The 3PTY service is specified in 3GPP TS 24.605 [4].</w:t>
      </w:r>
    </w:p>
    <w:p>
      <w:pPr>
        <w:pStyle w:val="NO"/>
        <w:rPr/>
      </w:pPr>
      <w:r>
        <w:rPr/>
        <w:t>NOTE:</w:t>
        <w:tab/>
        <w:t>3PTY can be seen as a special case of CONF and most of service interactions for CONF apply also to 3PTY.</w:t>
      </w:r>
    </w:p>
    <w:p>
      <w:pPr>
        <w:pStyle w:val="Heading2"/>
        <w:bidi w:val="0"/>
        <w:jc w:val="start"/>
        <w:rPr/>
      </w:pPr>
      <w:bookmarkStart w:id="41" w:name="__RefHeading___Toc273371790"/>
      <w:bookmarkEnd w:id="41"/>
      <w:r>
        <w:rPr/>
        <w:t>6.16</w:t>
        <w:tab/>
        <w:t>Flexible Alerting (FA)</w:t>
      </w:r>
    </w:p>
    <w:p>
      <w:pPr>
        <w:pStyle w:val="Normal"/>
        <w:rPr/>
      </w:pPr>
      <w:r>
        <w:rPr/>
        <w:t>The FA service is specified in 3GPP TS 24.239 [19].</w:t>
      </w:r>
    </w:p>
    <w:p>
      <w:pPr>
        <w:pStyle w:val="NO"/>
        <w:rPr>
          <w:lang w:val="en-US" w:eastAsia="en-US"/>
        </w:rPr>
      </w:pPr>
      <w:r>
        <w:rPr>
          <w:lang w:val="en-US" w:eastAsia="en-US"/>
        </w:rPr>
        <w:t>NOTE:</w:t>
        <w:tab/>
        <w:t>3GPP TS 22.173 also contains a Reverse charging service, but no stage 3 work has been done for that in this release.</w:t>
      </w:r>
    </w:p>
    <w:p>
      <w:pPr>
        <w:pStyle w:val="Heading2"/>
        <w:bidi w:val="0"/>
        <w:ind w:start="0" w:hanging="0"/>
        <w:jc w:val="start"/>
        <w:rPr/>
      </w:pPr>
      <w:bookmarkStart w:id="42" w:name="__RefHeading___Toc273371791"/>
      <w:bookmarkEnd w:id="42"/>
      <w:r>
        <w:rPr/>
        <w:t>6.17</w:t>
        <w:tab/>
        <w:t>Communication Waiting (CW)</w:t>
      </w:r>
    </w:p>
    <w:p>
      <w:pPr>
        <w:pStyle w:val="Normal"/>
        <w:rPr/>
      </w:pPr>
      <w:r>
        <w:rPr/>
        <w:t>The CW service is specified in 3GPP TS 24.615 [23].</w:t>
      </w:r>
    </w:p>
    <w:p>
      <w:pPr>
        <w:pStyle w:val="Heading2"/>
        <w:bidi w:val="0"/>
        <w:ind w:start="0" w:hanging="0"/>
        <w:jc w:val="start"/>
        <w:rPr/>
      </w:pPr>
      <w:bookmarkStart w:id="43" w:name="__RefHeading___Toc273371792"/>
      <w:bookmarkEnd w:id="43"/>
      <w:r>
        <w:rPr/>
        <w:t>6.18</w:t>
        <w:tab/>
        <w:t>Completion of Communications to Busy Subscriber (CCBS) Completion of Communications by No Reply (CCNR)</w:t>
      </w:r>
    </w:p>
    <w:p>
      <w:pPr>
        <w:pStyle w:val="Normal"/>
        <w:rPr/>
      </w:pPr>
      <w:r>
        <w:rPr/>
        <w:t>The Completion of Communications to Busy Subscriber (CCBS) Completion of Communications by No Reply (CCNR) service is specified in 3GPP TS 24.642 [24].</w:t>
      </w:r>
    </w:p>
    <w:p>
      <w:pPr>
        <w:pStyle w:val="Heading2"/>
        <w:bidi w:val="0"/>
        <w:ind w:start="0" w:hanging="0"/>
        <w:jc w:val="start"/>
        <w:rPr/>
      </w:pPr>
      <w:bookmarkStart w:id="44" w:name="__RefHeading___Toc273371793"/>
      <w:bookmarkEnd w:id="44"/>
      <w:r>
        <w:rPr/>
        <w:t>6.19</w:t>
        <w:tab/>
        <w:t>Customized Alerting Tones (CAT)</w:t>
      </w:r>
    </w:p>
    <w:p>
      <w:pPr>
        <w:pStyle w:val="Normal"/>
        <w:rPr/>
      </w:pPr>
      <w:r>
        <w:rPr/>
        <w:t>The CAT service is specified in 3GPP TS 24.182 [25].</w:t>
      </w:r>
    </w:p>
    <w:p>
      <w:pPr>
        <w:pStyle w:val="Heading2"/>
        <w:bidi w:val="0"/>
        <w:ind w:start="0" w:hanging="0"/>
        <w:jc w:val="start"/>
        <w:rPr/>
      </w:pPr>
      <w:bookmarkStart w:id="45" w:name="__RefHeading___Toc273371794"/>
      <w:bookmarkEnd w:id="45"/>
      <w:r>
        <w:rPr/>
        <w:t>6.20</w:t>
        <w:tab/>
        <w:t>Customized Ringing Signal (CRS)</w:t>
      </w:r>
    </w:p>
    <w:p>
      <w:pPr>
        <w:pStyle w:val="Normal"/>
        <w:rPr/>
      </w:pPr>
      <w:r>
        <w:rPr/>
        <w:t>The CRS service is specified in 3GPP TS 24.183 [27].</w:t>
      </w:r>
      <w:r>
        <w:br w:type="page"/>
      </w:r>
    </w:p>
    <w:p>
      <w:pPr>
        <w:pStyle w:val="Heading8"/>
        <w:bidi w:val="0"/>
        <w:ind w:start="0" w:hanging="0"/>
        <w:jc w:val="start"/>
        <w:rPr>
          <w:lang w:val="fr-FR"/>
        </w:rPr>
      </w:pPr>
      <w:bookmarkStart w:id="46" w:name="__RefHeading___Toc273371795"/>
      <w:bookmarkEnd w:id="46"/>
      <w:r>
        <w:rPr>
          <w:lang w:val="fr-FR"/>
        </w:rPr>
        <w:t>Annex A (informative):</w:t>
        <w:br/>
        <w:t>Void</w:t>
      </w:r>
    </w:p>
    <w:p>
      <w:pPr>
        <w:pStyle w:val="Normal"/>
        <w:rPr>
          <w:lang w:val="fr-FR"/>
        </w:rPr>
      </w:pPr>
      <w:r>
        <w:rPr>
          <w:lang w:val="fr-FR"/>
        </w:rPr>
      </w:r>
    </w:p>
    <w:p>
      <w:pPr>
        <w:pStyle w:val="Heading8"/>
        <w:bidi w:val="0"/>
        <w:ind w:start="0" w:hanging="0"/>
        <w:jc w:val="start"/>
        <w:rPr>
          <w:rFonts w:ascii="Times New Roman" w:hAnsi="Times New Roman" w:cs="Times New Roman"/>
          <w:sz w:val="20"/>
          <w:lang w:val="fr-FR"/>
        </w:rPr>
      </w:pPr>
      <w:bookmarkStart w:id="47" w:name="__RefHeading___Toc273371796"/>
      <w:bookmarkEnd w:id="47"/>
      <w:r>
        <w:rPr>
          <w:lang w:val="fr-FR"/>
        </w:rPr>
        <w:t>Annex B (informative):</w:t>
        <w:br/>
        <w:t>Void</w:t>
      </w:r>
      <w:r>
        <w:rPr>
          <w:rFonts w:cs="Times New Roman" w:ascii="Times New Roman" w:hAnsi="Times New Roman"/>
          <w:sz w:val="20"/>
          <w:lang w:val="fr-FR"/>
        </w:rPr>
        <w:t>.</w:t>
      </w:r>
    </w:p>
    <w:p>
      <w:pPr>
        <w:pStyle w:val="Normal"/>
        <w:rPr>
          <w:rFonts w:ascii="Times New Roman" w:hAnsi="Times New Roman" w:cs="Times New Roman"/>
          <w:sz w:val="20"/>
          <w:lang w:val="fr-FR"/>
        </w:rPr>
      </w:pPr>
      <w:r>
        <w:rPr>
          <w:rFonts w:cs="Times New Roman"/>
          <w:sz w:val="20"/>
          <w:lang w:val="fr-FR"/>
        </w:rPr>
      </w:r>
    </w:p>
    <w:p>
      <w:pPr>
        <w:pStyle w:val="Heading8"/>
        <w:bidi w:val="0"/>
        <w:ind w:start="0" w:hanging="0"/>
        <w:jc w:val="start"/>
        <w:rPr>
          <w:rFonts w:ascii="Times New Roman" w:hAnsi="Times New Roman" w:cs="Times New Roman"/>
          <w:sz w:val="20"/>
          <w:lang w:val="fr-FR"/>
        </w:rPr>
      </w:pPr>
      <w:bookmarkStart w:id="48" w:name="__RefHeading___Toc273371797"/>
      <w:bookmarkEnd w:id="48"/>
      <w:r>
        <w:rPr>
          <w:lang w:val="fr-FR"/>
        </w:rPr>
        <w:t>Annex C (informative):</w:t>
        <w:br/>
        <w:t>Void</w:t>
      </w:r>
    </w:p>
    <w:p>
      <w:pPr>
        <w:pStyle w:val="Normal"/>
        <w:rPr>
          <w:rFonts w:ascii="Times New Roman" w:hAnsi="Times New Roman" w:cs="Times New Roman"/>
          <w:sz w:val="20"/>
          <w:lang w:val="fr-FR"/>
        </w:rPr>
      </w:pPr>
      <w:r>
        <w:rPr>
          <w:rFonts w:cs="Times New Roman"/>
          <w:sz w:val="20"/>
          <w:lang w:val="fr-FR"/>
        </w:rPr>
      </w:r>
    </w:p>
    <w:p>
      <w:pPr>
        <w:pStyle w:val="Heading8"/>
        <w:bidi w:val="0"/>
        <w:ind w:start="0" w:hanging="0"/>
        <w:jc w:val="start"/>
        <w:rPr>
          <w:lang w:val="fr-FR"/>
        </w:rPr>
      </w:pPr>
      <w:bookmarkStart w:id="49" w:name="__RefHeading___Toc273371798"/>
      <w:bookmarkEnd w:id="49"/>
      <w:r>
        <w:rPr>
          <w:lang w:val="fr-FR"/>
        </w:rPr>
        <w:t>Annex D (informative):</w:t>
        <w:br/>
        <w:t>Void</w:t>
      </w:r>
    </w:p>
    <w:p>
      <w:pPr>
        <w:pStyle w:val="Normal"/>
        <w:rPr>
          <w:lang w:val="fr-FR"/>
        </w:rPr>
      </w:pPr>
      <w:r>
        <w:rPr>
          <w:lang w:val="fr-FR"/>
        </w:rPr>
      </w:r>
    </w:p>
    <w:p>
      <w:pPr>
        <w:pStyle w:val="Heading8"/>
        <w:bidi w:val="0"/>
        <w:ind w:start="0" w:hanging="0"/>
        <w:jc w:val="start"/>
        <w:rPr>
          <w:lang w:val="fr-FR"/>
        </w:rPr>
      </w:pPr>
      <w:bookmarkStart w:id="50" w:name="__RefHeading___Toc273371799"/>
      <w:bookmarkEnd w:id="50"/>
      <w:r>
        <w:rPr>
          <w:lang w:val="fr-FR"/>
        </w:rPr>
        <w:t>Annex E (informative):</w:t>
        <w:br/>
        <w:t>Void</w:t>
      </w:r>
    </w:p>
    <w:p>
      <w:pPr>
        <w:pStyle w:val="Normal"/>
        <w:rPr>
          <w:lang w:val="fr-FR"/>
        </w:rPr>
      </w:pPr>
      <w:r>
        <w:rPr>
          <w:lang w:val="fr-FR"/>
        </w:rPr>
      </w:r>
    </w:p>
    <w:p>
      <w:pPr>
        <w:pStyle w:val="Heading8"/>
        <w:bidi w:val="0"/>
        <w:ind w:start="0" w:hanging="0"/>
        <w:jc w:val="start"/>
        <w:rPr>
          <w:lang w:val="fr-FR"/>
        </w:rPr>
      </w:pPr>
      <w:bookmarkStart w:id="51" w:name="__RefHeading___Toc273371800"/>
      <w:bookmarkEnd w:id="51"/>
      <w:r>
        <w:rPr>
          <w:lang w:val="fr-FR"/>
        </w:rPr>
        <w:t>Annex F (informative):</w:t>
        <w:br/>
        <w:t>Void</w:t>
      </w:r>
    </w:p>
    <w:p>
      <w:pPr>
        <w:pStyle w:val="Normal"/>
        <w:rPr>
          <w:lang w:val="fr-FR"/>
        </w:rPr>
      </w:pPr>
      <w:r>
        <w:rPr>
          <w:lang w:val="fr-FR"/>
        </w:rPr>
      </w:r>
    </w:p>
    <w:p>
      <w:pPr>
        <w:pStyle w:val="Heading8"/>
        <w:bidi w:val="0"/>
        <w:ind w:start="0" w:hanging="0"/>
        <w:jc w:val="start"/>
        <w:rPr>
          <w:lang w:val="fr-FR"/>
        </w:rPr>
      </w:pPr>
      <w:bookmarkStart w:id="52" w:name="__RefHeading___Toc273371801"/>
      <w:bookmarkEnd w:id="52"/>
      <w:r>
        <w:rPr>
          <w:lang w:val="fr-FR"/>
        </w:rPr>
        <w:t>Annex G (informative):</w:t>
        <w:br/>
        <w:t>Void</w:t>
      </w:r>
    </w:p>
    <w:p>
      <w:pPr>
        <w:pStyle w:val="Normal"/>
        <w:rPr>
          <w:lang w:val="fr-FR"/>
        </w:rPr>
      </w:pPr>
      <w:r>
        <w:rPr>
          <w:lang w:val="fr-FR"/>
        </w:rPr>
      </w:r>
    </w:p>
    <w:p>
      <w:pPr>
        <w:pStyle w:val="Heading8"/>
        <w:bidi w:val="0"/>
        <w:ind w:start="0" w:hanging="0"/>
        <w:jc w:val="start"/>
        <w:rPr>
          <w:lang w:val="fr-FR"/>
        </w:rPr>
      </w:pPr>
      <w:bookmarkStart w:id="53" w:name="__RefHeading___Toc273371802"/>
      <w:bookmarkEnd w:id="53"/>
      <w:r>
        <w:rPr>
          <w:lang w:val="fr-FR"/>
        </w:rPr>
        <w:t>Annex H</w:t>
      </w:r>
      <w:bookmarkStart w:id="54" w:name="historyclause"/>
      <w:bookmarkEnd w:id="54"/>
      <w:r>
        <w:rPr>
          <w:lang w:val="fr-FR"/>
        </w:rPr>
        <w:t xml:space="preserve"> (informative):</w:t>
        <w:br/>
        <w:t>Void</w:t>
      </w:r>
    </w:p>
    <w:p>
      <w:pPr>
        <w:pStyle w:val="Normal"/>
        <w:rPr>
          <w:lang w:val="fr-FR"/>
        </w:rPr>
      </w:pPr>
      <w:r>
        <w:rPr>
          <w:lang w:val="fr-FR"/>
        </w:rPr>
      </w:r>
    </w:p>
    <w:p>
      <w:pPr>
        <w:pStyle w:val="Heading8"/>
        <w:bidi w:val="0"/>
        <w:ind w:start="0" w:hanging="0"/>
        <w:jc w:val="start"/>
        <w:rPr/>
      </w:pPr>
      <w:bookmarkStart w:id="55" w:name="__RefHeading___Toc273371803"/>
      <w:bookmarkEnd w:id="55"/>
      <w:r>
        <w:rPr/>
        <w:t>Annex I (informative):</w:t>
        <w:br/>
        <w:t>Void</w:t>
      </w:r>
    </w:p>
    <w:p>
      <w:pPr>
        <w:pStyle w:val="Heading8"/>
        <w:bidi w:val="0"/>
        <w:ind w:start="0" w:hanging="0"/>
        <w:jc w:val="start"/>
        <w:rPr/>
      </w:pPr>
      <w:bookmarkStart w:id="56" w:name="__RefHeading___Toc273371804"/>
      <w:bookmarkEnd w:id="56"/>
      <w:r>
        <w:rPr/>
        <w:t>Annex J (normative):</w:t>
        <w:br/>
        <w:t>IP-Connectivity Access Network specific concepts when using EPS to access IM CN subsystem</w:t>
      </w:r>
    </w:p>
    <w:p>
      <w:pPr>
        <w:pStyle w:val="Heading1"/>
        <w:bidi w:val="0"/>
        <w:ind w:start="1134" w:hanging="1134"/>
        <w:jc w:val="start"/>
        <w:rPr/>
      </w:pPr>
      <w:bookmarkStart w:id="57" w:name="__RefHeading___Toc273371805"/>
      <w:bookmarkEnd w:id="57"/>
      <w:r>
        <w:rPr/>
        <w:t>J.1</w:t>
        <w:tab/>
        <w:t>Scope</w:t>
      </w:r>
    </w:p>
    <w:p>
      <w:pPr>
        <w:pStyle w:val="Normal"/>
        <w:rPr/>
      </w:pPr>
      <w:r>
        <w:rPr/>
        <w:t>The present annex defines IP-CAN specific requirements for a multimedia telephony communication service and associated supplementary services in the IP Multimedia (IM) Core Network (CN) subsystem, where the IP-CAN is Evolved Packet System (EPS).</w:t>
      </w:r>
    </w:p>
    <w:p>
      <w:pPr>
        <w:pStyle w:val="Heading1"/>
        <w:bidi w:val="0"/>
        <w:ind w:start="1134" w:hanging="1134"/>
        <w:jc w:val="start"/>
        <w:rPr/>
      </w:pPr>
      <w:bookmarkStart w:id="58" w:name="__RefHeading___Toc273371806"/>
      <w:bookmarkEnd w:id="58"/>
      <w:r>
        <w:rPr/>
        <w:t>J.2</w:t>
        <w:tab/>
        <w:t>EPS aspects when connected to the IM CN subsystem</w:t>
      </w:r>
    </w:p>
    <w:p>
      <w:pPr>
        <w:pStyle w:val="Heading2"/>
        <w:bidi w:val="0"/>
        <w:jc w:val="start"/>
        <w:rPr/>
      </w:pPr>
      <w:bookmarkStart w:id="59" w:name="__RefHeading___Toc273371807"/>
      <w:bookmarkEnd w:id="59"/>
      <w:r>
        <w:rPr/>
        <w:t>J.2.1</w:t>
        <w:tab/>
        <w:t>Procedures at the UE</w:t>
      </w:r>
    </w:p>
    <w:p>
      <w:pPr>
        <w:pStyle w:val="Heading3"/>
        <w:bidi w:val="0"/>
        <w:jc w:val="start"/>
        <w:rPr/>
      </w:pPr>
      <w:bookmarkStart w:id="60" w:name="__RefHeading___Toc273371808"/>
      <w:bookmarkEnd w:id="60"/>
      <w:r>
        <w:rPr/>
        <w:t>J.2.1.1</w:t>
        <w:tab/>
      </w:r>
      <w:bookmarkStart w:id="61" w:name="OLE_LINK8"/>
      <w:bookmarkStart w:id="62" w:name="OLE_LINK7"/>
      <w:r>
        <w:rPr/>
        <w:t>Service Specific Access Control</w:t>
      </w:r>
      <w:bookmarkEnd w:id="61"/>
      <w:bookmarkEnd w:id="62"/>
    </w:p>
    <w:p>
      <w:pPr>
        <w:pStyle w:val="Normal"/>
        <w:rPr>
          <w:lang w:eastAsia="ja-JP"/>
        </w:rPr>
      </w:pPr>
      <w:r>
        <w:rPr>
          <w:lang w:eastAsia="ja-JP"/>
        </w:rPr>
        <w:t>The following information is provided by lower layer:</w:t>
      </w:r>
    </w:p>
    <w:p>
      <w:pPr>
        <w:pStyle w:val="B1"/>
        <w:rPr>
          <w:lang w:eastAsia="ja-JP"/>
        </w:rPr>
      </w:pPr>
      <w:r>
        <w:rPr>
          <w:lang w:eastAsia="ja-JP"/>
        </w:rPr>
        <w:t>-</w:t>
        <w:tab/>
      </w:r>
      <w:r>
        <w:rPr>
          <w:lang w:eastAsia="ja-JP"/>
        </w:rPr>
        <w:t>BarringFactorForMMTEL</w:t>
      </w:r>
      <w:r>
        <w:rPr>
          <w:lang w:eastAsia="ja-JP"/>
        </w:rPr>
        <w:t>-</w:t>
      </w:r>
      <w:r>
        <w:rPr>
          <w:lang w:eastAsia="ja-JP"/>
        </w:rPr>
        <w:t>Voice: barring rate for MMTEL voice</w:t>
      </w:r>
      <w:r>
        <w:rPr>
          <w:lang w:eastAsia="ja-JP"/>
        </w:rPr>
        <w:t>;</w:t>
      </w:r>
    </w:p>
    <w:p>
      <w:pPr>
        <w:pStyle w:val="B1"/>
        <w:rPr>
          <w:lang w:eastAsia="ja-JP"/>
        </w:rPr>
      </w:pPr>
      <w:r>
        <w:rPr>
          <w:lang w:eastAsia="ja-JP"/>
        </w:rPr>
        <w:t>-</w:t>
        <w:tab/>
      </w:r>
      <w:r>
        <w:rPr>
          <w:lang w:eastAsia="ja-JP"/>
        </w:rPr>
        <w:t>BarringTimeForMMTEL-Voice: barring timer for MMTEL voice</w:t>
      </w:r>
      <w:r>
        <w:rPr>
          <w:lang w:eastAsia="ja-JP"/>
        </w:rPr>
        <w:t>;</w:t>
      </w:r>
    </w:p>
    <w:p>
      <w:pPr>
        <w:pStyle w:val="B1"/>
        <w:rPr>
          <w:lang w:eastAsia="ja-JP"/>
        </w:rPr>
      </w:pPr>
      <w:r>
        <w:rPr>
          <w:lang w:eastAsia="ja-JP"/>
        </w:rPr>
        <w:t>-</w:t>
        <w:tab/>
      </w:r>
      <w:r>
        <w:rPr>
          <w:lang w:eastAsia="ja-JP"/>
        </w:rPr>
        <w:t>BarringFactorForMMTEL</w:t>
      </w:r>
      <w:r>
        <w:rPr>
          <w:lang w:eastAsia="ja-JP"/>
        </w:rPr>
        <w:t>-</w:t>
      </w:r>
      <w:r>
        <w:rPr>
          <w:lang w:eastAsia="ja-JP"/>
        </w:rPr>
        <w:t>Video: barring rate for MMTEL video</w:t>
      </w:r>
      <w:r>
        <w:rPr>
          <w:lang w:eastAsia="ja-JP"/>
        </w:rPr>
        <w:t>; and</w:t>
      </w:r>
    </w:p>
    <w:p>
      <w:pPr>
        <w:pStyle w:val="B1"/>
        <w:rPr>
          <w:lang w:eastAsia="ja-JP"/>
        </w:rPr>
      </w:pPr>
      <w:r>
        <w:rPr>
          <w:lang w:eastAsia="ja-JP"/>
        </w:rPr>
        <w:t>-</w:t>
        <w:tab/>
      </w:r>
      <w:r>
        <w:rPr>
          <w:lang w:eastAsia="ja-JP"/>
        </w:rPr>
        <w:t>BarringTimeForMMTEL-Video: barring timer for MMTEL video.</w:t>
      </w:r>
    </w:p>
    <w:p>
      <w:pPr>
        <w:pStyle w:val="Normal"/>
        <w:rPr>
          <w:lang w:eastAsia="ja-JP"/>
        </w:rPr>
      </w:pPr>
      <w:r>
        <w:rPr/>
        <w:t xml:space="preserve">Upon request from a user to establish a </w:t>
      </w:r>
      <w:bookmarkStart w:id="63" w:name="OLE_LINK3"/>
      <w:r>
        <w:rPr/>
        <w:t xml:space="preserve">multimedia telephony communication session </w:t>
      </w:r>
      <w:bookmarkEnd w:id="63"/>
      <w:r>
        <w:rPr/>
        <w:t>as described in subclause 5.2, the UE shall:</w:t>
      </w:r>
    </w:p>
    <w:p>
      <w:pPr>
        <w:pStyle w:val="B1"/>
        <w:rPr>
          <w:lang w:eastAsia="ja-JP"/>
        </w:rPr>
      </w:pPr>
      <w:r>
        <w:rPr>
          <w:lang w:eastAsia="ja-JP"/>
        </w:rPr>
        <w:t>1</w:t>
      </w:r>
      <w:r>
        <w:rPr/>
        <w:t>)</w:t>
        <w:tab/>
        <w:t>if the multimedia telephony communication session to be established is an emergency session, then skip the rest of steps below and continue with session establishment as described in subclause 5.2;</w:t>
      </w:r>
    </w:p>
    <w:p>
      <w:pPr>
        <w:pStyle w:val="B1"/>
        <w:rPr>
          <w:lang w:eastAsia="ja-JP"/>
        </w:rPr>
      </w:pPr>
      <w:r>
        <w:rPr>
          <w:lang w:eastAsia="ja-JP"/>
        </w:rPr>
        <w:t>2</w:t>
      </w:r>
      <w:r>
        <w:rPr/>
        <w:t>)</w:t>
        <w:tab/>
      </w:r>
      <w:r>
        <w:rPr>
          <w:lang w:eastAsia="ja-JP"/>
        </w:rPr>
        <w:t>retrieve SSAC related information mentioned above from lower layers</w:t>
      </w:r>
      <w:r>
        <w:rPr/>
        <w:t>;</w:t>
      </w:r>
    </w:p>
    <w:p>
      <w:pPr>
        <w:pStyle w:val="B1"/>
        <w:rPr/>
      </w:pPr>
      <w:r>
        <w:rPr>
          <w:lang w:eastAsia="ja-JP"/>
        </w:rPr>
        <w:t>3</w:t>
      </w:r>
      <w:r>
        <w:rPr/>
        <w:t>)</w:t>
        <w:tab/>
        <w:t xml:space="preserve">if </w:t>
      </w:r>
      <w:r>
        <w:rPr>
          <w:lang w:eastAsia="ja-JP"/>
        </w:rPr>
        <w:t xml:space="preserve">video is </w:t>
      </w:r>
      <w:r>
        <w:rPr>
          <w:lang w:eastAsia="ja-JP"/>
        </w:rPr>
        <w:t>offered</w:t>
      </w:r>
      <w:r>
        <w:rPr>
          <w:lang w:eastAsia="ja-JP"/>
        </w:rPr>
        <w:t xml:space="preserve"> in the multimedia telephony communication session</w:t>
      </w:r>
      <w:r>
        <w:rPr/>
        <w:t>:</w:t>
      </w:r>
    </w:p>
    <w:p>
      <w:pPr>
        <w:pStyle w:val="B2"/>
        <w:rPr>
          <w:lang w:eastAsia="ja-JP"/>
        </w:rPr>
      </w:pPr>
      <w:r>
        <w:rPr>
          <w:lang w:eastAsia="ja-JP"/>
        </w:rPr>
        <w:t>A</w:t>
      </w:r>
      <w:r>
        <w:rPr/>
        <w:t>)</w:t>
        <w:tab/>
        <w:t xml:space="preserve">if </w:t>
      </w:r>
      <w:r>
        <w:rPr>
          <w:lang w:eastAsia="ja-JP"/>
        </w:rPr>
        <w:t xml:space="preserve">back-off timer Tx is running, </w:t>
      </w:r>
      <w:r>
        <w:rPr/>
        <w:t>reject the multimedia telephony communication session establishment and skip the rest of steps below</w:t>
      </w:r>
      <w:r>
        <w:rPr>
          <w:lang w:eastAsia="ja-JP"/>
        </w:rPr>
        <w:t>; or</w:t>
      </w:r>
    </w:p>
    <w:p>
      <w:pPr>
        <w:pStyle w:val="B2"/>
        <w:rPr>
          <w:lang w:eastAsia="ja-JP"/>
        </w:rPr>
      </w:pPr>
      <w:r>
        <w:rPr>
          <w:lang w:eastAsia="ja-JP"/>
        </w:rPr>
        <w:t>B)</w:t>
        <w:tab/>
        <w:t>else, then:</w:t>
      </w:r>
    </w:p>
    <w:p>
      <w:pPr>
        <w:pStyle w:val="B3"/>
        <w:rPr/>
      </w:pPr>
      <w:r>
        <w:rPr>
          <w:lang w:eastAsia="ja-JP"/>
        </w:rPr>
        <w:t>I</w:t>
      </w:r>
      <w:r>
        <w:rPr>
          <w:lang w:eastAsia="ja-JP"/>
        </w:rPr>
        <w:t>)</w:t>
        <w:tab/>
      </w:r>
      <w:r>
        <w:rPr/>
        <w:t>draw a new random number "rand</w:t>
      </w:r>
      <w:r>
        <w:rPr>
          <w:lang w:eastAsia="ja-JP"/>
        </w:rPr>
        <w:t>1</w:t>
      </w:r>
      <w:r>
        <w:rPr/>
        <w:t>" that is uniformly distributed in the range 0 ≤ rand</w:t>
      </w:r>
      <w:r>
        <w:rPr>
          <w:lang w:eastAsia="ja-JP"/>
        </w:rPr>
        <w:t>1</w:t>
      </w:r>
      <w:r>
        <w:rPr/>
        <w:t xml:space="preserve"> &lt; 1;</w:t>
      </w:r>
      <w:r>
        <w:rPr>
          <w:lang w:eastAsia="ja-JP"/>
        </w:rPr>
        <w:t xml:space="preserve"> and</w:t>
      </w:r>
    </w:p>
    <w:p>
      <w:pPr>
        <w:pStyle w:val="B3"/>
        <w:rPr>
          <w:lang w:eastAsia="ja-JP"/>
        </w:rPr>
      </w:pPr>
      <w:r>
        <w:rPr/>
        <w:t>II)</w:t>
        <w:tab/>
      </w:r>
      <w:r>
        <w:rPr>
          <w:lang w:eastAsia="ja-JP"/>
        </w:rPr>
        <w:t xml:space="preserve">if </w:t>
      </w:r>
      <w:r>
        <w:rPr/>
        <w:t>the random number "rand</w:t>
      </w:r>
      <w:r>
        <w:rPr>
          <w:lang w:eastAsia="ja-JP"/>
        </w:rPr>
        <w:t>1</w:t>
      </w:r>
      <w:r>
        <w:rPr/>
        <w:t>"</w:t>
      </w:r>
      <w:r>
        <w:rPr>
          <w:lang w:eastAsia="ja-JP"/>
        </w:rPr>
        <w:t xml:space="preserve"> is lower than BarringFactorForMMTEL-Video</w:t>
      </w:r>
      <w:r>
        <w:rPr/>
        <w:t>,</w:t>
      </w:r>
      <w:r>
        <w:rPr>
          <w:lang w:eastAsia="ja-JP"/>
        </w:rPr>
        <w:t xml:space="preserve"> then </w:t>
      </w:r>
      <w:r>
        <w:rPr/>
        <w:t>skip the rest of steps below and continue with session establishment as described in subclause 5.2</w:t>
      </w:r>
      <w:r>
        <w:rPr>
          <w:lang w:eastAsia="ja-JP"/>
        </w:rPr>
        <w:t>;</w:t>
      </w:r>
    </w:p>
    <w:p>
      <w:pPr>
        <w:pStyle w:val="B3"/>
        <w:rPr>
          <w:lang w:eastAsia="ja-JP"/>
        </w:rPr>
      </w:pPr>
      <w:r>
        <w:rPr/>
        <w:t>III)</w:t>
        <w:tab/>
      </w:r>
      <w:r>
        <w:rPr>
          <w:lang w:eastAsia="ja-JP"/>
        </w:rPr>
        <w:t>else, then;</w:t>
      </w:r>
    </w:p>
    <w:p>
      <w:pPr>
        <w:pStyle w:val="B4"/>
        <w:rPr/>
      </w:pPr>
      <w:r>
        <w:rPr>
          <w:lang w:eastAsia="ja-JP"/>
        </w:rPr>
        <w:t>i)</w:t>
      </w:r>
      <w:r>
        <w:rPr>
          <w:lang w:eastAsia="ja-JP"/>
        </w:rPr>
        <w:tab/>
      </w:r>
      <w:r>
        <w:rPr>
          <w:lang w:eastAsia="ja-JP"/>
        </w:rPr>
        <w:t>d</w:t>
      </w:r>
      <w:r>
        <w:rPr/>
        <w:t>raw a new random number "rand</w:t>
      </w:r>
      <w:r>
        <w:rPr>
          <w:lang w:eastAsia="ja-JP"/>
        </w:rPr>
        <w:t>2</w:t>
      </w:r>
      <w:r>
        <w:rPr/>
        <w:t>" that is uniformly distributed in the range 0 ≤ rand</w:t>
      </w:r>
      <w:r>
        <w:rPr>
          <w:lang w:eastAsia="ja-JP"/>
        </w:rPr>
        <w:t>2</w:t>
      </w:r>
      <w:r>
        <w:rPr/>
        <w:t xml:space="preserve"> &lt; 1;</w:t>
      </w:r>
      <w:r>
        <w:rPr>
          <w:lang w:eastAsia="ja-JP"/>
        </w:rPr>
        <w:t xml:space="preserve"> and</w:t>
      </w:r>
    </w:p>
    <w:p>
      <w:pPr>
        <w:pStyle w:val="B4"/>
        <w:rPr>
          <w:lang w:eastAsia="ja-JP"/>
        </w:rPr>
      </w:pPr>
      <w:r>
        <w:rPr>
          <w:lang w:eastAsia="ja-JP"/>
        </w:rPr>
        <w:t>ii)</w:t>
      </w:r>
      <w:r>
        <w:rPr>
          <w:lang w:eastAsia="ja-JP"/>
        </w:rPr>
        <w:tab/>
      </w:r>
      <w:r>
        <w:rPr>
          <w:lang w:eastAsia="ja-JP"/>
        </w:rPr>
        <w:t>s</w:t>
      </w:r>
      <w:r>
        <w:rPr/>
        <w:t xml:space="preserve">tart </w:t>
      </w:r>
      <w:r>
        <w:rPr>
          <w:lang w:eastAsia="ja-JP"/>
        </w:rPr>
        <w:t xml:space="preserve">back-off </w:t>
      </w:r>
      <w:r>
        <w:rPr/>
        <w:t>timer T</w:t>
      </w:r>
      <w:r>
        <w:rPr>
          <w:lang w:eastAsia="ja-JP"/>
        </w:rPr>
        <w:t>x</w:t>
      </w:r>
      <w:r>
        <w:rPr/>
        <w:t xml:space="preserve"> with the timer value calculated using the formula:</w:t>
      </w:r>
    </w:p>
    <w:p>
      <w:pPr>
        <w:pStyle w:val="B4"/>
        <w:rPr/>
      </w:pPr>
      <w:r>
        <w:rPr/>
        <w:t>T</w:t>
      </w:r>
      <w:r>
        <w:rPr>
          <w:lang w:eastAsia="ja-JP"/>
        </w:rPr>
        <w:t xml:space="preserve">x </w:t>
      </w:r>
      <w:r>
        <w:rPr/>
        <w:t xml:space="preserve">= </w:t>
      </w:r>
      <w:r>
        <w:rPr>
          <w:lang w:eastAsia="ja-JP"/>
        </w:rPr>
        <w:t xml:space="preserve"> </w:t>
      </w:r>
      <w:r>
        <w:rPr>
          <w:lang w:eastAsia="ja-JP"/>
        </w:rPr>
        <w:t>(0,7 + 0,6</w:t>
      </w:r>
      <w:r>
        <w:rPr>
          <w:lang w:eastAsia="ja-JP"/>
        </w:rPr>
        <w:t>*rand2</w:t>
      </w:r>
      <w:r>
        <w:rPr>
          <w:lang w:eastAsia="ja-JP"/>
        </w:rPr>
        <w:t>)</w:t>
      </w:r>
      <w:r>
        <w:rPr>
          <w:lang w:eastAsia="ja-JP"/>
        </w:rPr>
        <w:t xml:space="preserve"> * BarringTimeForMMTEL-Video; and</w:t>
      </w:r>
    </w:p>
    <w:p>
      <w:pPr>
        <w:pStyle w:val="B4"/>
        <w:rPr>
          <w:lang w:eastAsia="ja-JP"/>
        </w:rPr>
      </w:pPr>
      <w:r>
        <w:rPr/>
        <w:t>iii)</w:t>
      </w:r>
      <w:r>
        <w:rPr/>
        <w:tab/>
        <w:t>reject the multimedia telephony communication session establishment and skip the rest</w:t>
      </w:r>
      <w:r>
        <w:rPr/>
        <w:t xml:space="preserve"> </w:t>
      </w:r>
      <w:r>
        <w:rPr/>
        <w:t>of steps below;</w:t>
      </w:r>
    </w:p>
    <w:p>
      <w:pPr>
        <w:pStyle w:val="B1"/>
        <w:rPr/>
      </w:pPr>
      <w:r>
        <w:rPr>
          <w:lang w:eastAsia="ja-JP"/>
        </w:rPr>
        <w:t>4</w:t>
      </w:r>
      <w:r>
        <w:rPr/>
        <w:t>)</w:t>
        <w:tab/>
        <w:t xml:space="preserve">if </w:t>
      </w:r>
      <w:r>
        <w:rPr>
          <w:lang w:eastAsia="ja-JP"/>
        </w:rPr>
        <w:t xml:space="preserve">audio is </w:t>
      </w:r>
      <w:r>
        <w:rPr>
          <w:lang w:eastAsia="ja-JP"/>
        </w:rPr>
        <w:t>offered</w:t>
      </w:r>
      <w:r>
        <w:rPr>
          <w:lang w:eastAsia="ja-JP"/>
        </w:rPr>
        <w:t xml:space="preserve"> in the multimedia telephony communication session</w:t>
      </w:r>
      <w:r>
        <w:rPr/>
        <w:t>:</w:t>
      </w:r>
    </w:p>
    <w:p>
      <w:pPr>
        <w:pStyle w:val="B2"/>
        <w:rPr>
          <w:lang w:eastAsia="ja-JP"/>
        </w:rPr>
      </w:pPr>
      <w:r>
        <w:rPr>
          <w:lang w:eastAsia="ja-JP"/>
        </w:rPr>
        <w:t>A</w:t>
      </w:r>
      <w:r>
        <w:rPr/>
        <w:t>)</w:t>
        <w:tab/>
        <w:t xml:space="preserve">if </w:t>
      </w:r>
      <w:r>
        <w:rPr>
          <w:lang w:eastAsia="ja-JP"/>
        </w:rPr>
        <w:t xml:space="preserve">back-off timer Ty is running, </w:t>
      </w:r>
      <w:r>
        <w:rPr/>
        <w:t>reject the multimedia telephony communication session establishment and skip the rest of steps below</w:t>
      </w:r>
      <w:r>
        <w:rPr>
          <w:lang w:eastAsia="ja-JP"/>
        </w:rPr>
        <w:t>; or</w:t>
      </w:r>
    </w:p>
    <w:p>
      <w:pPr>
        <w:pStyle w:val="B2"/>
        <w:rPr>
          <w:lang w:eastAsia="ja-JP"/>
        </w:rPr>
      </w:pPr>
      <w:r>
        <w:rPr>
          <w:lang w:eastAsia="ja-JP"/>
        </w:rPr>
        <w:t>B)</w:t>
        <w:tab/>
        <w:t>else, then;</w:t>
      </w:r>
    </w:p>
    <w:p>
      <w:pPr>
        <w:pStyle w:val="B3"/>
        <w:rPr/>
      </w:pPr>
      <w:r>
        <w:rPr/>
        <w:t>I</w:t>
      </w:r>
      <w:r>
        <w:rPr>
          <w:lang w:eastAsia="ja-JP"/>
        </w:rPr>
        <w:t>)</w:t>
        <w:tab/>
      </w:r>
      <w:r>
        <w:rPr/>
        <w:t>draw a new random number "rand</w:t>
      </w:r>
      <w:r>
        <w:rPr>
          <w:lang w:eastAsia="ja-JP"/>
        </w:rPr>
        <w:t>3</w:t>
      </w:r>
      <w:r>
        <w:rPr/>
        <w:t>" that is uniformly distributed in the range 0 ≤ rand</w:t>
      </w:r>
      <w:r>
        <w:rPr>
          <w:lang w:eastAsia="ja-JP"/>
        </w:rPr>
        <w:t>3</w:t>
      </w:r>
      <w:r>
        <w:rPr/>
        <w:t xml:space="preserve"> &lt; 1;</w:t>
      </w:r>
      <w:r>
        <w:rPr>
          <w:lang w:eastAsia="ja-JP"/>
        </w:rPr>
        <w:t xml:space="preserve"> and</w:t>
      </w:r>
    </w:p>
    <w:p>
      <w:pPr>
        <w:pStyle w:val="B3"/>
        <w:rPr/>
      </w:pPr>
      <w:r>
        <w:rPr/>
        <w:t>II)</w:t>
        <w:tab/>
      </w:r>
      <w:r>
        <w:rPr>
          <w:lang w:eastAsia="ja-JP"/>
        </w:rPr>
        <w:t xml:space="preserve">if </w:t>
      </w:r>
      <w:r>
        <w:rPr/>
        <w:t>the random number "rand</w:t>
      </w:r>
      <w:r>
        <w:rPr>
          <w:lang w:eastAsia="ja-JP"/>
        </w:rPr>
        <w:t>3</w:t>
      </w:r>
      <w:r>
        <w:rPr/>
        <w:t>"</w:t>
      </w:r>
      <w:r>
        <w:rPr>
          <w:lang w:eastAsia="ja-JP"/>
        </w:rPr>
        <w:t xml:space="preserve"> is lower than BarringFactorForMMTEL-Voice</w:t>
      </w:r>
      <w:r>
        <w:rPr/>
        <w:t>,</w:t>
      </w:r>
      <w:r>
        <w:rPr>
          <w:lang w:eastAsia="ja-JP"/>
        </w:rPr>
        <w:t xml:space="preserve"> then </w:t>
      </w:r>
      <w:r>
        <w:rPr/>
        <w:t>skip the rest of steps below and continue with session establishment as described in subclause 5.2</w:t>
      </w:r>
      <w:r>
        <w:rPr>
          <w:lang w:eastAsia="ja-JP"/>
        </w:rPr>
        <w:t>;</w:t>
      </w:r>
    </w:p>
    <w:p>
      <w:pPr>
        <w:pStyle w:val="B3"/>
        <w:rPr>
          <w:lang w:eastAsia="ja-JP"/>
        </w:rPr>
      </w:pPr>
      <w:r>
        <w:rPr/>
        <w:t>III)</w:t>
        <w:tab/>
      </w:r>
      <w:r>
        <w:rPr>
          <w:lang w:eastAsia="ja-JP"/>
        </w:rPr>
        <w:t>else, then;</w:t>
      </w:r>
    </w:p>
    <w:p>
      <w:pPr>
        <w:pStyle w:val="B4"/>
        <w:rPr/>
      </w:pPr>
      <w:r>
        <w:rPr>
          <w:lang w:eastAsia="ja-JP"/>
        </w:rPr>
        <w:t>i)</w:t>
        <w:tab/>
        <w:t>d</w:t>
      </w:r>
      <w:r>
        <w:rPr/>
        <w:t>raw a new random number "rand</w:t>
      </w:r>
      <w:r>
        <w:rPr>
          <w:lang w:eastAsia="ja-JP"/>
        </w:rPr>
        <w:t>4</w:t>
      </w:r>
      <w:r>
        <w:rPr/>
        <w:t>" that is uniformly distributed in the range 0 ≤ rand</w:t>
      </w:r>
      <w:r>
        <w:rPr>
          <w:lang w:eastAsia="ja-JP"/>
        </w:rPr>
        <w:t>4</w:t>
      </w:r>
      <w:r>
        <w:rPr/>
        <w:t xml:space="preserve"> &lt; 1;</w:t>
      </w:r>
      <w:r>
        <w:rPr>
          <w:lang w:eastAsia="ja-JP"/>
        </w:rPr>
        <w:t xml:space="preserve"> and</w:t>
      </w:r>
    </w:p>
    <w:p>
      <w:pPr>
        <w:pStyle w:val="B4"/>
        <w:rPr>
          <w:lang w:eastAsia="ja-JP"/>
        </w:rPr>
      </w:pPr>
      <w:r>
        <w:rPr>
          <w:lang w:eastAsia="ja-JP"/>
        </w:rPr>
        <w:t>ii)</w:t>
        <w:tab/>
      </w:r>
      <w:r>
        <w:rPr/>
        <w:t>start timer T</w:t>
      </w:r>
      <w:r>
        <w:rPr>
          <w:lang w:eastAsia="ja-JP"/>
        </w:rPr>
        <w:t xml:space="preserve">y </w:t>
      </w:r>
      <w:r>
        <w:rPr/>
        <w:t>with the timer value calculated using the fomula:</w:t>
      </w:r>
    </w:p>
    <w:p>
      <w:pPr>
        <w:pStyle w:val="B4"/>
        <w:rPr/>
      </w:pPr>
      <w:r>
        <w:rPr/>
        <w:t>T</w:t>
      </w:r>
      <w:r>
        <w:rPr>
          <w:lang w:eastAsia="ja-JP"/>
        </w:rPr>
        <w:t xml:space="preserve">y </w:t>
      </w:r>
      <w:r>
        <w:rPr/>
        <w:t xml:space="preserve">= </w:t>
      </w:r>
      <w:r>
        <w:rPr>
          <w:lang w:eastAsia="ja-JP"/>
        </w:rPr>
        <w:t xml:space="preserve"> </w:t>
      </w:r>
      <w:r>
        <w:rPr>
          <w:lang w:eastAsia="ja-JP"/>
        </w:rPr>
        <w:t>(0,7 + 0,6*</w:t>
      </w:r>
      <w:r>
        <w:rPr>
          <w:lang w:eastAsia="ja-JP"/>
        </w:rPr>
        <w:t>rand4</w:t>
      </w:r>
      <w:r>
        <w:rPr>
          <w:lang w:eastAsia="ja-JP"/>
        </w:rPr>
        <w:t>)</w:t>
      </w:r>
      <w:r>
        <w:rPr>
          <w:lang w:eastAsia="ja-JP"/>
        </w:rPr>
        <w:t xml:space="preserve"> * BarringTimeForMMTEL-Voice; and</w:t>
      </w:r>
    </w:p>
    <w:p>
      <w:pPr>
        <w:pStyle w:val="B4"/>
        <w:rPr>
          <w:lang w:eastAsia="ja-JP"/>
        </w:rPr>
      </w:pPr>
      <w:r>
        <w:rPr>
          <w:lang w:eastAsia="ja-JP"/>
        </w:rPr>
        <w:t>iii)</w:t>
      </w:r>
      <w:r>
        <w:rPr>
          <w:lang w:eastAsia="ja-JP"/>
        </w:rPr>
        <w:tab/>
      </w:r>
      <w:r>
        <w:rPr/>
        <w:t>reject the multimedia telephony communication session establishment;</w:t>
      </w:r>
    </w:p>
    <w:p>
      <w:pPr>
        <w:pStyle w:val="NO"/>
        <w:rPr>
          <w:lang w:val="en-US" w:eastAsia="en-US"/>
        </w:rPr>
      </w:pPr>
      <w:r>
        <w:rPr>
          <w:lang w:val="en-US" w:eastAsia="en-US"/>
        </w:rPr>
        <w:t>NOTE:</w:t>
        <w:tab/>
        <w:t xml:space="preserve">If the </w:t>
      </w:r>
      <w:r>
        <w:rPr/>
        <w:t xml:space="preserve">multimedia telephony communication </w:t>
      </w:r>
      <w:r>
        <w:rPr>
          <w:lang w:val="en-US" w:eastAsia="en-US"/>
        </w:rPr>
        <w:t xml:space="preserve">implemenation and the access stratum protocol implementation are located in separate physical entities, it is expected that the interconnecting protocol supports the transfer of information elements needed for the </w:t>
      </w:r>
      <w:r>
        <w:rPr/>
        <w:t>service specific access control enforcement.</w:t>
      </w:r>
    </w:p>
    <w:p>
      <w:pPr>
        <w:pStyle w:val="Normal"/>
        <w:rPr/>
      </w:pPr>
      <w:r>
        <w:rPr>
          <w:lang w:val="en-US" w:eastAsia="en-US"/>
        </w:rPr>
        <w:t>Service Specific Access Control is not activated when the UE is in other radio accesses (e.g. UTRAN/GERAN)</w:t>
      </w:r>
      <w:r>
        <w:rPr/>
        <w:t>.</w:t>
      </w:r>
      <w:r>
        <w:rPr>
          <w:lang w:eastAsia="ja-JP"/>
        </w:rPr>
        <w:t xml:space="preserve"> And when UE camping on E-UTRAN moves to other radio accesses (e.g. UTRAN/GERAN), back-off timer (Tx or Ty or both) shall be stopped if running.</w:t>
      </w:r>
    </w:p>
    <w:p>
      <w:pPr>
        <w:pStyle w:val="Heading8"/>
        <w:bidi w:val="0"/>
        <w:ind w:start="0" w:hanging="0"/>
        <w:jc w:val="start"/>
        <w:rPr/>
      </w:pPr>
      <w:bookmarkStart w:id="64" w:name="__RefHeading___Toc273371809"/>
      <w:bookmarkEnd w:id="64"/>
      <w:r>
        <w:rPr/>
        <w:t>Annex K (informative):</w:t>
        <w:br/>
        <w:t>Change history</w:t>
      </w:r>
    </w:p>
    <w:tbl>
      <w:tblPr>
        <w:tblW w:w="9371" w:type="dxa"/>
        <w:jc w:val="start"/>
        <w:tblInd w:w="40" w:type="dxa"/>
        <w:tblCellMar>
          <w:top w:w="0" w:type="dxa"/>
          <w:start w:w="40" w:type="dxa"/>
          <w:bottom w:w="0" w:type="dxa"/>
          <w:end w:w="40" w:type="dxa"/>
        </w:tblCellMar>
      </w:tblPr>
      <w:tblGrid>
        <w:gridCol w:w="800"/>
        <w:gridCol w:w="800"/>
        <w:gridCol w:w="1235"/>
        <w:gridCol w:w="567"/>
        <w:gridCol w:w="426"/>
        <w:gridCol w:w="4394"/>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23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3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2006-05</w:t>
            </w:r>
          </w:p>
        </w:tc>
        <w:tc>
          <w:tcPr>
            <w:tcW w:w="800" w:type="dxa"/>
            <w:tcBorders>
              <w:top w:val="single" w:sz="6" w:space="0" w:color="000000"/>
              <w:start w:val="single" w:sz="6" w:space="0" w:color="000000"/>
              <w:bottom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CT1#42</w:t>
            </w:r>
          </w:p>
        </w:tc>
        <w:tc>
          <w:tcPr>
            <w:tcW w:w="1235" w:type="dxa"/>
            <w:tcBorders>
              <w:top w:val="single" w:sz="6" w:space="0" w:color="000000"/>
              <w:start w:val="single" w:sz="6" w:space="0" w:color="000000"/>
              <w:bottom w:val="single" w:sz="6" w:space="0" w:color="000000"/>
            </w:tcBorders>
            <w:shd w:fill="FFFFFF" w:val="clear"/>
          </w:tcPr>
          <w:p>
            <w:pPr>
              <w:pStyle w:val="Normal"/>
              <w:keepNext w:val="true"/>
              <w:keepLines/>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keepNext w:val="true"/>
              <w:keepLines/>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keepNext w:val="true"/>
              <w:keepLines/>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start w:val="single" w:sz="6" w:space="0" w:color="000000"/>
              <w:bottom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First draft</w:t>
            </w:r>
          </w:p>
        </w:tc>
        <w:tc>
          <w:tcPr>
            <w:tcW w:w="567" w:type="dxa"/>
            <w:tcBorders>
              <w:top w:val="single" w:sz="6" w:space="0" w:color="000000"/>
              <w:start w:val="single" w:sz="6" w:space="0" w:color="000000"/>
              <w:bottom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2006-07</w:t>
            </w:r>
          </w:p>
        </w:tc>
        <w:tc>
          <w:tcPr>
            <w:tcW w:w="800" w:type="dxa"/>
            <w:tcBorders>
              <w:top w:val="single" w:sz="6" w:space="0" w:color="000000"/>
              <w:start w:val="single" w:sz="6" w:space="0" w:color="000000"/>
              <w:bottom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CT1#42-bis</w:t>
            </w:r>
          </w:p>
        </w:tc>
        <w:tc>
          <w:tcPr>
            <w:tcW w:w="1235" w:type="dxa"/>
            <w:tcBorders>
              <w:top w:val="single" w:sz="6" w:space="0" w:color="000000"/>
              <w:start w:val="single" w:sz="6" w:space="0" w:color="000000"/>
              <w:bottom w:val="single" w:sz="6" w:space="0" w:color="000000"/>
            </w:tcBorders>
            <w:shd w:fill="FFFFFF" w:val="clear"/>
          </w:tcPr>
          <w:p>
            <w:pPr>
              <w:pStyle w:val="Normal"/>
              <w:keepNext w:val="true"/>
              <w:keepLines/>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keepNext w:val="true"/>
              <w:keepLines/>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keepNext w:val="true"/>
              <w:keepLines/>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start w:val="single" w:sz="6" w:space="0" w:color="000000"/>
              <w:bottom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The following Tdocs included are in this version of the TS:</w:t>
              <w:br/>
              <w:t>C1-061293, C1-061301, C1-061342, C1-061343, C1-061344, C1-061345, C1-061346, C1-061347, C1-061348, C1-061361</w:t>
            </w:r>
          </w:p>
          <w:p>
            <w:pPr>
              <w:pStyle w:val="Normal"/>
              <w:keepNext w:val="true"/>
              <w:keepLines/>
              <w:spacing w:before="0" w:after="0"/>
              <w:rPr/>
            </w:pPr>
            <w:r>
              <w:rPr>
                <w:rFonts w:cs="Arial" w:ascii="Arial" w:hAnsi="Arial"/>
                <w:color w:val="000000"/>
                <w:sz w:val="16"/>
              </w:rPr>
              <w:t>Some corrections to the formatting as well as editorial alignments also done by the rapporteur.</w:t>
            </w:r>
          </w:p>
        </w:tc>
        <w:tc>
          <w:tcPr>
            <w:tcW w:w="567" w:type="dxa"/>
            <w:tcBorders>
              <w:top w:val="single" w:sz="6" w:space="0" w:color="000000"/>
              <w:start w:val="single" w:sz="6" w:space="0" w:color="000000"/>
              <w:bottom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keepNext w:val="true"/>
              <w:keepLines/>
              <w:spacing w:before="0" w:after="0"/>
              <w:rPr>
                <w:rFonts w:ascii="Arial" w:hAnsi="Arial" w:cs="Arial"/>
                <w:color w:val="000000"/>
                <w:sz w:val="16"/>
              </w:rPr>
            </w:pPr>
            <w:r>
              <w:rPr>
                <w:rFonts w:cs="Arial" w:ascii="Arial" w:hAnsi="Arial"/>
                <w:color w:val="000000"/>
                <w:sz w:val="16"/>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CT1#43</w:t>
            </w:r>
          </w:p>
        </w:tc>
        <w:tc>
          <w:tcPr>
            <w:tcW w:w="12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The following Tdocs have been included in this version of the TS:</w:t>
            </w:r>
          </w:p>
          <w:p>
            <w:pPr>
              <w:pStyle w:val="Normal"/>
              <w:spacing w:before="0" w:after="0"/>
              <w:rPr>
                <w:rFonts w:ascii="Arial" w:hAnsi="Arial" w:cs="Arial"/>
                <w:color w:val="000000"/>
                <w:sz w:val="16"/>
              </w:rPr>
            </w:pPr>
            <w:r>
              <w:rPr>
                <w:rFonts w:cs="Arial" w:ascii="Arial" w:hAnsi="Arial"/>
                <w:color w:val="000000"/>
                <w:sz w:val="16"/>
              </w:rPr>
              <w:t>C1-061464, C1-061721, C1-061722, C1-0611723</w:t>
            </w:r>
          </w:p>
          <w:p>
            <w:pPr>
              <w:pStyle w:val="Normal"/>
              <w:spacing w:before="0" w:after="0"/>
              <w:rPr/>
            </w:pPr>
            <w:r>
              <w:rPr>
                <w:rFonts w:cs="Arial" w:ascii="Arial" w:hAnsi="Arial"/>
                <w:color w:val="000000"/>
                <w:sz w:val="16"/>
              </w:rPr>
              <w:t>Some formatting cleanups performed in chapters: Annex E (4.5.2.6.2 and 4.7.1.1) and Annex H (4.5.2.4.1.2.3, 4.5.2.4.2.1, 4.5.2.7.2 and 4.5.2.7.3).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CT1#44</w:t>
            </w:r>
          </w:p>
        </w:tc>
        <w:tc>
          <w:tcPr>
            <w:tcW w:w="12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The following Tdoc has been included in this version of the TS:</w:t>
            </w:r>
          </w:p>
          <w:p>
            <w:pPr>
              <w:pStyle w:val="Normal"/>
              <w:spacing w:before="0" w:after="0"/>
              <w:rPr>
                <w:rFonts w:ascii="Arial" w:hAnsi="Arial" w:cs="Arial"/>
                <w:color w:val="000000"/>
                <w:sz w:val="16"/>
              </w:rPr>
            </w:pPr>
            <w:r>
              <w:rPr>
                <w:rFonts w:cs="Arial" w:ascii="Arial" w:hAnsi="Arial"/>
                <w:color w:val="000000"/>
                <w:sz w:val="16"/>
              </w:rPr>
              <w:t>C1-062452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3GPP/TISPAN Supplementary Serv</w:t>
            </w:r>
          </w:p>
        </w:tc>
        <w:tc>
          <w:tcPr>
            <w:tcW w:w="12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The following Tdoc has been included in this version of the TS:</w:t>
            </w:r>
          </w:p>
          <w:p>
            <w:pPr>
              <w:pStyle w:val="Normal"/>
              <w:spacing w:before="0" w:after="0"/>
              <w:rPr>
                <w:rFonts w:ascii="Arial" w:hAnsi="Arial" w:cs="Arial"/>
                <w:color w:val="000000"/>
                <w:sz w:val="16"/>
              </w:rPr>
            </w:pPr>
            <w:r>
              <w:rPr>
                <w:rFonts w:cs="Arial" w:ascii="Arial" w:hAnsi="Arial"/>
                <w:color w:val="000000"/>
                <w:sz w:val="16"/>
              </w:rPr>
              <w:t>SS-060052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2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V 1.0.0 created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CT1#45</w:t>
            </w:r>
          </w:p>
        </w:tc>
        <w:tc>
          <w:tcPr>
            <w:tcW w:w="12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The text in the annexes A, B, C, D, E, F, G, H and I split out as separate word-files with ETSI-logo and headers.</w:t>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rFonts w:ascii="Arial" w:hAnsi="Arial" w:cs="Arial"/>
                <w:color w:val="000000"/>
                <w:sz w:val="16"/>
              </w:rPr>
            </w:pPr>
            <w:r>
              <w:rPr>
                <w:rFonts w:cs="Arial" w:ascii="Arial" w:hAnsi="Arial"/>
                <w:color w:val="000000"/>
                <w:sz w:val="16"/>
              </w:rPr>
              <w:t>The following contributions, including TISPAN#12 plenary approved CRs, have been incorporated:</w:t>
            </w:r>
          </w:p>
          <w:p>
            <w:pPr>
              <w:pStyle w:val="Normal"/>
              <w:spacing w:before="0" w:after="0"/>
              <w:rPr>
                <w:rFonts w:ascii="Arial" w:hAnsi="Arial" w:cs="Arial"/>
                <w:color w:val="000000"/>
                <w:sz w:val="16"/>
              </w:rPr>
            </w:pPr>
            <w:r>
              <w:rPr>
                <w:rFonts w:cs="Arial" w:ascii="Arial" w:hAnsi="Arial"/>
                <w:color w:val="000000"/>
                <w:sz w:val="16"/>
              </w:rPr>
              <w:t>C1-070032</w:t>
            </w:r>
          </w:p>
          <w:p>
            <w:pPr>
              <w:pStyle w:val="Normal"/>
              <w:spacing w:before="0" w:after="0"/>
              <w:rPr>
                <w:rFonts w:ascii="Arial" w:hAnsi="Arial" w:cs="Arial"/>
                <w:color w:val="000000"/>
                <w:sz w:val="16"/>
              </w:rPr>
            </w:pPr>
            <w:r>
              <w:rPr>
                <w:rFonts w:cs="Arial" w:ascii="Arial" w:hAnsi="Arial"/>
                <w:color w:val="000000"/>
                <w:sz w:val="16"/>
              </w:rPr>
              <w:t>C1-070163 (12TD062 TISPAN#12 plenary CR pack)</w:t>
            </w:r>
          </w:p>
          <w:p>
            <w:pPr>
              <w:pStyle w:val="Normal"/>
              <w:spacing w:before="0" w:after="0"/>
              <w:rPr>
                <w:rFonts w:ascii="Arial" w:hAnsi="Arial" w:cs="Arial"/>
                <w:color w:val="000000"/>
                <w:sz w:val="16"/>
              </w:rPr>
            </w:pPr>
            <w:r>
              <w:rPr>
                <w:rFonts w:cs="Arial" w:ascii="Arial" w:hAnsi="Arial"/>
                <w:color w:val="000000"/>
                <w:sz w:val="16"/>
              </w:rPr>
              <w:t>C1-070164 (12TD066r1 TISPAN#12 plenary CR pack)</w:t>
            </w:r>
          </w:p>
          <w:p>
            <w:pPr>
              <w:pStyle w:val="Normal"/>
              <w:spacing w:before="0" w:after="0"/>
              <w:rPr>
                <w:rFonts w:ascii="Arial" w:hAnsi="Arial" w:cs="Arial"/>
                <w:color w:val="000000"/>
                <w:sz w:val="16"/>
              </w:rPr>
            </w:pPr>
            <w:r>
              <w:rPr>
                <w:rFonts w:cs="Arial" w:ascii="Arial" w:hAnsi="Arial"/>
                <w:color w:val="000000"/>
                <w:sz w:val="16"/>
              </w:rPr>
              <w:t>C1-070165 (12TD060 TISPAN#12 plenary CR pack)</w:t>
            </w:r>
          </w:p>
          <w:p>
            <w:pPr>
              <w:pStyle w:val="Normal"/>
              <w:spacing w:before="0" w:after="0"/>
              <w:rPr>
                <w:rFonts w:ascii="Arial" w:hAnsi="Arial" w:cs="Arial"/>
                <w:color w:val="000000"/>
                <w:sz w:val="16"/>
              </w:rPr>
            </w:pPr>
            <w:r>
              <w:rPr>
                <w:rFonts w:cs="Arial" w:ascii="Arial" w:hAnsi="Arial"/>
                <w:color w:val="000000"/>
                <w:sz w:val="16"/>
              </w:rPr>
              <w:t>C1-070166 (12TD068 TISPAN#12 plenary CR pack)</w:t>
            </w:r>
          </w:p>
          <w:p>
            <w:pPr>
              <w:pStyle w:val="Normal"/>
              <w:spacing w:before="0" w:after="0"/>
              <w:rPr>
                <w:rFonts w:ascii="Arial" w:hAnsi="Arial" w:cs="Arial"/>
                <w:color w:val="000000"/>
                <w:sz w:val="16"/>
              </w:rPr>
            </w:pPr>
            <w:r>
              <w:rPr>
                <w:rFonts w:cs="Arial" w:ascii="Arial" w:hAnsi="Arial"/>
                <w:color w:val="000000"/>
                <w:sz w:val="16"/>
              </w:rPr>
              <w:t>C1-070167 (12TD061 TISPAN#12 plenary CR pack)</w:t>
            </w:r>
          </w:p>
          <w:p>
            <w:pPr>
              <w:pStyle w:val="Normal"/>
              <w:spacing w:before="0" w:after="0"/>
              <w:rPr>
                <w:rFonts w:ascii="Arial" w:hAnsi="Arial" w:cs="Arial"/>
                <w:color w:val="000000"/>
                <w:sz w:val="16"/>
              </w:rPr>
            </w:pPr>
            <w:r>
              <w:rPr>
                <w:rFonts w:cs="Arial" w:ascii="Arial" w:hAnsi="Arial"/>
                <w:color w:val="000000"/>
                <w:sz w:val="16"/>
              </w:rPr>
              <w:t>C1-070436</w:t>
            </w:r>
          </w:p>
          <w:p>
            <w:pPr>
              <w:pStyle w:val="Normal"/>
              <w:spacing w:before="0" w:after="0"/>
              <w:rPr>
                <w:rFonts w:ascii="Arial" w:hAnsi="Arial" w:cs="Arial"/>
                <w:color w:val="000000"/>
                <w:sz w:val="16"/>
              </w:rPr>
            </w:pPr>
            <w:r>
              <w:rPr>
                <w:rFonts w:cs="Arial" w:ascii="Arial" w:hAnsi="Arial"/>
                <w:color w:val="000000"/>
                <w:sz w:val="16"/>
              </w:rPr>
              <w:t>C1-070437</w:t>
            </w:r>
          </w:p>
          <w:p>
            <w:pPr>
              <w:pStyle w:val="Normal"/>
              <w:spacing w:before="0" w:after="0"/>
              <w:rPr>
                <w:rFonts w:ascii="Arial" w:hAnsi="Arial" w:cs="Arial"/>
                <w:color w:val="000000"/>
                <w:sz w:val="16"/>
              </w:rPr>
            </w:pPr>
            <w:r>
              <w:rPr>
                <w:rFonts w:cs="Arial" w:ascii="Arial" w:hAnsi="Arial"/>
                <w:color w:val="000000"/>
                <w:sz w:val="16"/>
              </w:rPr>
              <w:t>C1-070555</w:t>
            </w:r>
          </w:p>
          <w:p>
            <w:pPr>
              <w:pStyle w:val="Normal"/>
              <w:spacing w:before="0" w:after="0"/>
              <w:rPr>
                <w:rFonts w:ascii="Arial" w:hAnsi="Arial" w:cs="Arial"/>
                <w:color w:val="000000"/>
                <w:sz w:val="16"/>
              </w:rPr>
            </w:pPr>
            <w:r>
              <w:rPr>
                <w:rFonts w:cs="Arial" w:ascii="Arial" w:hAnsi="Arial"/>
                <w:color w:val="000000"/>
                <w:sz w:val="16"/>
              </w:rPr>
              <w:t>C1-070557</w:t>
            </w:r>
          </w:p>
          <w:p>
            <w:pPr>
              <w:pStyle w:val="Normal"/>
              <w:spacing w:before="0" w:after="0"/>
              <w:rPr>
                <w:rFonts w:ascii="Arial" w:hAnsi="Arial" w:cs="Arial"/>
                <w:color w:val="000000"/>
                <w:sz w:val="16"/>
              </w:rPr>
            </w:pPr>
            <w:r>
              <w:rPr>
                <w:rFonts w:cs="Arial" w:ascii="Arial" w:hAnsi="Arial"/>
                <w:color w:val="000000"/>
                <w:sz w:val="16"/>
              </w:rPr>
              <w:t>C1-070631</w:t>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rFonts w:ascii="Arial" w:hAnsi="Arial" w:cs="Arial"/>
                <w:color w:val="000000"/>
                <w:sz w:val="16"/>
              </w:rPr>
            </w:pPr>
            <w:r>
              <w:rPr>
                <w:rFonts w:cs="Arial" w:ascii="Arial" w:hAnsi="Arial"/>
                <w:color w:val="000000"/>
                <w:sz w:val="16"/>
              </w:rPr>
              <w:t>C1-061464 (CT1#43) change to Annex E/4.6.4 incorporated</w:t>
            </w:r>
          </w:p>
          <w:p>
            <w:pPr>
              <w:pStyle w:val="Normal"/>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2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 2.0.0 created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CT#35</w:t>
            </w:r>
          </w:p>
        </w:tc>
        <w:tc>
          <w:tcPr>
            <w:tcW w:w="12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The following Tdoc approved in CT#35:</w:t>
            </w:r>
          </w:p>
          <w:p>
            <w:pPr>
              <w:pStyle w:val="Normal"/>
              <w:spacing w:before="0" w:after="0"/>
              <w:rPr>
                <w:rFonts w:ascii="Arial" w:hAnsi="Arial" w:cs="Arial"/>
                <w:color w:val="000000"/>
                <w:sz w:val="16"/>
              </w:rPr>
            </w:pPr>
            <w:r>
              <w:rPr>
                <w:rFonts w:cs="Arial" w:ascii="Arial" w:hAnsi="Arial"/>
                <w:color w:val="000000"/>
                <w:sz w:val="16"/>
              </w:rPr>
              <w:t xml:space="preserve">CP-070230 </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CT#35</w:t>
            </w:r>
          </w:p>
        </w:tc>
        <w:tc>
          <w:tcPr>
            <w:tcW w:w="12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7.0.0 was created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0006</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CDIV CRs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0013</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XCAP CRs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0011</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OIP/OIR CRs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0010</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MWI CRs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0009</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HOLD CRs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0008</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ECT CRs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0007</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CONF CRs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0005</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24.173: Alignment with TISPAN#13 approved CB CRs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CP-070430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0003</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Correction of file names for the SS-TSs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CP-070490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0012</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Alignment with TISPAN#13 approved TIP/TIR CRs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CP-070668</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0024</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3</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Service identification alignment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0025</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Alignment with TISPAN#14 approved CDIV CRs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0026</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Alignment with TISPAN#14 approved ECT CRs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0027</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Replacing CB text with text from the published ETSI specification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0028</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Replacing CONF text with text from the published ETSI specification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0029</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Replacing HOLD text with text from the published ETSI specification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0030</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Replacing MWI text with text from the published ETSI specification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0031</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Replacing OIP-OIR text with text from the published ETSI specification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0032</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Replacing TIP-TIR text with text from the published ETSI specification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CP-070669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0033</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24.173: Replacing XCAP text with text from the published ETSI specification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CP-070699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0023</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7</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IMS Multimedia Telephony Communication Service ICSI in Accept-Contact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CT-38</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CP-070797</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0036</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Specification of ICSI for Multimedia Telephony in Accept-Contact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CT-38</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CP-070796</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0037</w:t>
            </w:r>
          </w:p>
        </w:tc>
        <w:tc>
          <w:tcPr>
            <w:tcW w:w="4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Use of the ICSI in the Contact Header for mmtel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CT-39</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CP-080127</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0045</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3</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Interworking with terminals not supporting Multimedia Telephony Service Identifier</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CT-39</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CP-080205</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0046</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1</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 of 3GPP supplementary service specification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CT-39</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CP-080139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0047</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 of 3GPP supplementary service specification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CT-40</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CP-080345</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0049</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feature tag format</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CT-40</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CP-080346</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0052</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replacement table removal</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CT-40</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CP-080360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0050</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naming correction</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8.1.0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CT-41</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CP-080518</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0054</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Introduction of terms "multimedia telephony participant" and "multimedia telephony application server"</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CT-41</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CP-080518</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0055</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Allow SIP based user configuration mechanism for configuring supplementary services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CT-41</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CP-080536</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0056</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 of new supplementary services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CP-080864</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0058</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Make common IMS specification codec-neutral</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CP-080869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0060</w:t>
            </w:r>
          </w:p>
        </w:tc>
        <w:tc>
          <w:tcPr>
            <w:tcW w:w="4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ICSI and IARI feature tag name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CP-080864</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0063</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Interaction between SIP and Ut based service configuration</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CP-080852</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0064</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Codec formats for fixed-broadband accesses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CP-080873</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0065</w:t>
            </w:r>
          </w:p>
        </w:tc>
        <w:tc>
          <w:tcPr>
            <w:tcW w:w="4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Adding CC and CW</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1235"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Editorial cleanup by MCC</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CT-43</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CP-090121</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0067</w:t>
            </w:r>
          </w:p>
        </w:tc>
        <w:tc>
          <w:tcPr>
            <w:tcW w:w="4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URN-value for Service Identifiers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CT-44</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CP-090416</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0068</w:t>
            </w:r>
          </w:p>
        </w:tc>
        <w:tc>
          <w:tcPr>
            <w:tcW w:w="4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subclause heading</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8.4.0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CT-44</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CP-090403</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0070</w:t>
            </w:r>
          </w:p>
        </w:tc>
        <w:tc>
          <w:tcPr>
            <w:tcW w:w="4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3GPP URN link</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8.4.0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CP-090904</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0073</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 of Customized alterting tones (CAT) service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8.5.0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8.6.0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CP-090920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0075</w:t>
            </w:r>
          </w:p>
        </w:tc>
        <w:tc>
          <w:tcPr>
            <w:tcW w:w="4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Removal of editor’s note on Reverse Charging</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8.5.0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8.6.0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CP-090931</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0072</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5</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Service Specific Access Control enforcement</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8.6.0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CT-46</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CP-090932</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0074</w:t>
            </w:r>
          </w:p>
        </w:tc>
        <w:tc>
          <w:tcPr>
            <w:tcW w:w="4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 of Customized ringing signal (CRS) service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8.6.0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CT-47</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CP-100145</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0076</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Alignment with RAN2 specification regarding SSAC</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CT-49</w:t>
            </w:r>
          </w:p>
        </w:tc>
        <w:tc>
          <w:tcPr>
            <w:tcW w:w="1235"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CP-100519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0080</w:t>
            </w:r>
          </w:p>
        </w:tc>
        <w:tc>
          <w:tcPr>
            <w:tcW w:w="426"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39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CS data and fax</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r>
    </w:tbl>
    <w:p>
      <w:pPr>
        <w:pStyle w:val="Normal"/>
        <w:widowControl/>
        <w:bidi w:val="0"/>
        <w:spacing w:before="0" w:after="180"/>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Helvetica">
    <w:altName w:val="Arial"/>
    <w:charset w:val="00" w:characterSet="windows-1252"/>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24.173 </w:t>
                          </w:r>
                          <w:r>
                            <w:rPr/>
                            <w:t xml:space="preserve">V10.0.0 </w:t>
                          </w:r>
                          <w:r>
                            <w:rPr>
                              <w:sz w:val="32"/>
                            </w:rPr>
                            <w:t>(2010-09)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24.173 </w:t>
                    </w:r>
                    <w:r>
                      <w:rPr/>
                      <w:t xml:space="preserve">V10.0.0 </w:t>
                    </w:r>
                    <w:r>
                      <w:rPr>
                        <w:sz w:val="32"/>
                      </w:rPr>
                      <w:t>(2010-09)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IMS multimedia telephony communication service and supplementary services;</w:t>
                          </w:r>
                        </w:p>
                        <w:p>
                          <w:pPr>
                            <w:pStyle w:val="ZT"/>
                            <w:widowControl w:val="false"/>
                            <w:bidi w:val="0"/>
                            <w:spacing w:lineRule="atLeast" w:line="240"/>
                            <w:jc w:val="end"/>
                            <w:rPr/>
                          </w:pPr>
                          <w:r>
                            <w:rPr/>
                            <w:t>Stage 3</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IMS multimedia telephony communication service and supplementary services;</w:t>
                    </w:r>
                  </w:p>
                  <w:p>
                    <w:pPr>
                      <w:pStyle w:val="ZT"/>
                      <w:widowControl w:val="false"/>
                      <w:bidi w:val="0"/>
                      <w:spacing w:lineRule="atLeast" w:line="240"/>
                      <w:jc w:val="end"/>
                      <w:rPr/>
                    </w:pPr>
                    <w:r>
                      <w:rPr/>
                      <w:t>Stage 3</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125220"/>
              <wp:effectExtent l="0" t="0" r="0" b="0"/>
              <wp:wrapTopAndBottom/>
              <wp:docPr id="4" name="Frame4"/>
              <a:graphic xmlns:a="http://schemas.openxmlformats.org/drawingml/2006/main">
                <a:graphicData uri="http://schemas.microsoft.com/office/word/2010/wordprocessingShape">
                  <wps:wsp>
                    <wps:cNvSpPr txBox="1"/>
                    <wps:spPr>
                      <a:xfrm>
                        <a:off x="0" y="0"/>
                        <a:ext cx="6480810" cy="112522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8.6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lang w:val="nl-NL" w:eastAsia="en-US"/>
                            </w:rPr>
                          </w:pPr>
                          <w:r>
                            <w:fldChar w:fldCharType="begin"/>
                          </w:r>
                          <w:r>
                            <w:rPr>
                              <w:lang w:val="nl-NL" w:eastAsia="en-US"/>
                            </w:rPr>
                            <w:instrText> STYLEREF ZA </w:instrText>
                          </w:r>
                          <w:r>
                            <w:rPr>
                              <w:lang w:val="nl-NL" w:eastAsia="en-US"/>
                            </w:rPr>
                          </w:r>
                          <w:r>
                            <w:rPr>
                              <w:lang w:val="nl-NL" w:eastAsia="en-US"/>
                            </w:rPr>
                            <w:fldChar w:fldCharType="separate"/>
                          </w:r>
                          <w:r>
                            <w:rPr>
                              <w:lang w:val="nl-NL" w:eastAsia="en-US"/>
                            </w:rPr>
                            <w:t>3GPP TS 24.173 V10.0.0 (2010-09)</w:t>
                          </w:r>
                          <w:r>
                            <w:rPr>
                              <w:lang w:val="nl-NL" w:eastAsia="en-US"/>
                            </w:rPr>
                          </w:r>
                          <w:r>
                            <w:rPr>
                              <w:lang w:val="nl-NL"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lang w:val="nl-NL" w:eastAsia="en-US"/>
                      </w:rPr>
                    </w:pPr>
                    <w:r>
                      <w:fldChar w:fldCharType="begin"/>
                    </w:r>
                    <w:r>
                      <w:rPr>
                        <w:lang w:val="nl-NL" w:eastAsia="en-US"/>
                      </w:rPr>
                      <w:instrText> STYLEREF ZA </w:instrText>
                    </w:r>
                    <w:r>
                      <w:rPr>
                        <w:lang w:val="nl-NL" w:eastAsia="en-US"/>
                      </w:rPr>
                    </w:r>
                    <w:r>
                      <w:rPr>
                        <w:lang w:val="nl-NL" w:eastAsia="en-US"/>
                      </w:rPr>
                      <w:fldChar w:fldCharType="separate"/>
                    </w:r>
                    <w:r>
                      <w:rPr>
                        <w:lang w:val="nl-NL" w:eastAsia="en-US"/>
                      </w:rPr>
                      <w:t>3GPP TS 24.173 V10.0.0 (2010-09)</w:t>
                    </w:r>
                    <w:r>
                      <w:rPr>
                        <w:lang w:val="nl-NL" w:eastAsia="en-US"/>
                      </w:rPr>
                    </w:r>
                    <w:r>
                      <w:rPr>
                        <w:lang w:val="nl-NL"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rPr/>
    </w:lvl>
  </w:abstractNum>
  <w:abstractNum w:abstractNumId="3">
    <w:lvl w:ilvl="0">
      <w:start w:val="1"/>
      <w:numFmt w:val="decimal"/>
      <w:lvlText w:val="%1."/>
      <w:lvlJc w:val="start"/>
      <w:pPr>
        <w:tabs>
          <w:tab w:val="num" w:pos="1209"/>
        </w:tabs>
        <w:ind w:start="1209" w:hanging="360"/>
      </w:pPr>
      <w:rPr/>
    </w:lvl>
  </w:abstractNum>
  <w:abstractNum w:abstractNumId="4">
    <w:lvl w:ilvl="0">
      <w:start w:val="1"/>
      <w:numFmt w:val="bullet"/>
      <w:lvlText w:val=""/>
      <w:lvlJc w:val="start"/>
      <w:pPr>
        <w:tabs>
          <w:tab w:val="num" w:pos="1644"/>
        </w:tabs>
        <w:ind w:start="1644" w:hanging="453"/>
      </w:pPr>
      <w:rPr>
        <w:rFonts w:ascii="Wingdings" w:hAnsi="Wingdings" w:cs="Wingdings" w:hint="default"/>
      </w:rPr>
    </w:lvl>
  </w:abstractNum>
  <w:abstractNum w:abstractNumId="5">
    <w:lvl w:ilvl="0">
      <w:start w:val="1"/>
      <w:numFmt w:val="bullet"/>
      <w:lvlText w:val=""/>
      <w:lvlJc w:val="start"/>
      <w:pPr>
        <w:tabs>
          <w:tab w:val="num" w:pos="737"/>
        </w:tabs>
        <w:ind w:start="737" w:hanging="453"/>
      </w:pPr>
      <w:rPr>
        <w:rFonts w:ascii="Symbol" w:hAnsi="Symbol" w:cs="Symbol" w:hint="default"/>
      </w:rPr>
    </w:lvl>
  </w:abstractNum>
  <w:abstractNum w:abstractNumId="6">
    <w:lvl w:ilvl="0">
      <w:start w:val="1"/>
      <w:numFmt w:val="decimal"/>
      <w:lvlText w:val="%1)"/>
      <w:lvlJc w:val="start"/>
      <w:pPr>
        <w:tabs>
          <w:tab w:val="num" w:pos="737"/>
        </w:tabs>
        <w:ind w:start="737" w:hanging="453"/>
      </w:pPr>
      <w:rPr/>
    </w:lvl>
  </w:abstractNum>
  <w:abstractNum w:abstractNumId="7">
    <w:lvl w:ilvl="0">
      <w:start w:val="1"/>
      <w:numFmt w:val="lowerLetter"/>
      <w:lvlText w:val="%1)"/>
      <w:lvlJc w:val="start"/>
      <w:pPr>
        <w:tabs>
          <w:tab w:val="num" w:pos="737"/>
        </w:tabs>
        <w:ind w:start="737" w:hanging="453"/>
      </w:pPr>
      <w:rPr/>
    </w:lvl>
  </w:abstractNum>
  <w:abstractNum w:abstractNumId="8">
    <w:lvl w:ilvl="0">
      <w:start w:val="1"/>
      <w:numFmt w:val="bullet"/>
      <w:lvlText w:val="-"/>
      <w:lvlJc w:val="start"/>
      <w:pPr>
        <w:tabs>
          <w:tab w:val="num" w:pos="1191"/>
        </w:tabs>
        <w:ind w:start="1191" w:hanging="454"/>
      </w:pPr>
      <w:rPr>
        <w:rFonts w:ascii="Liberation Serif" w:hAnsi="Liberation Serif" w:cs="Liberation Serif" w:hint="default"/>
      </w:rPr>
    </w:lvl>
  </w:abstractNum>
  <w:abstractNum w:abstractNumId="9">
    <w:lvl w:ilvl="0">
      <w:numFmt w:val="bullet"/>
      <w:lvlText w:val=""/>
      <w:lvlJc w:val="start"/>
      <w:pPr>
        <w:tabs>
          <w:tab w:val="num" w:pos="283"/>
        </w:tabs>
        <w:ind w:start="567" w:hanging="283"/>
      </w:pPr>
      <w:rPr>
        <w:rFonts w:ascii="Symbol" w:hAnsi="Symbol" w:cs="Symbol" w:hint="default"/>
      </w:rPr>
    </w:lvl>
  </w:abstractNum>
  <w:abstractNum w:abstractNumId="10">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Arial" w:hAnsi="Arial" w:eastAsia="SimSun;Arial Unicode MS"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rFonts w:ascii="Symbol" w:hAnsi="Symbol" w:cs="Symbol"/>
      <w:color w:val="00000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b w:val="false"/>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NOZchn">
    <w:name w:val="NO Zchn"/>
    <w:basedOn w:val="DefaultParagraphFont"/>
    <w:qFormat/>
    <w:rPr>
      <w:lang w:val="en-GB" w:bidi="ar-SA"/>
    </w:rPr>
  </w:style>
  <w:style w:type="character" w:styleId="Emphasis">
    <w:name w:val="Emphasis"/>
    <w:basedOn w:val="DefaultParagraphFont"/>
    <w:qFormat/>
    <w:rPr>
      <w:i/>
      <w:iCs/>
    </w:rPr>
  </w:style>
  <w:style w:type="character" w:styleId="EndnoteCharacters">
    <w:name w:val="Endnote Characters"/>
    <w:basedOn w:val="DefaultParagraphFont"/>
    <w:qFormat/>
    <w:rPr>
      <w:vertAlign w:val="superscript"/>
    </w:rPr>
  </w:style>
  <w:style w:type="character" w:styleId="HTMLAcronym">
    <w:name w:val="HTML Acronym"/>
    <w:basedOn w:val="DefaultParagraphFont"/>
    <w:qFormat/>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basedOn w:val="DefaultParagraphFont"/>
    <w:qFormat/>
    <w:rPr>
      <w:b/>
      <w:bCs/>
    </w:rPr>
  </w:style>
  <w:style w:type="character" w:styleId="ListChar">
    <w:name w:val="List Char"/>
    <w:basedOn w:val="DefaultParagraphFont"/>
    <w:qFormat/>
    <w:rPr>
      <w:lang w:val="en-GB" w:bidi="ar-SA"/>
    </w:rPr>
  </w:style>
  <w:style w:type="character" w:styleId="B1Char">
    <w:name w:val="B1 Char"/>
    <w:basedOn w:val="ListChar"/>
    <w:qFormat/>
    <w:rPr/>
  </w:style>
  <w:style w:type="character" w:styleId="EditorsNoteCar">
    <w:name w:val="Editor's Note Car"/>
    <w:basedOn w:val="DefaultParagraphFont"/>
    <w:qFormat/>
    <w:rPr>
      <w:color w:val="FF0000"/>
      <w:lang w:val="en-GB" w:bidi="ar-SA"/>
    </w:rPr>
  </w:style>
  <w:style w:type="character" w:styleId="PropfontBOLD10">
    <w:name w:val="Prop.font BOLD 10"/>
    <w:qFormat/>
    <w:rPr>
      <w:rFonts w:ascii="Helvetica" w:hAnsi="Helvetica" w:cs="Helvetica"/>
      <w:b/>
      <w:sz w:val="20"/>
    </w:rPr>
  </w:style>
  <w:style w:type="character" w:styleId="EXChar">
    <w:name w:val="EX Char"/>
    <w:basedOn w:val="DefaultParagraphFont"/>
    <w:qFormat/>
    <w:rPr>
      <w:lang w:val="en-GB" w:bidi="ar-SA"/>
    </w:rPr>
  </w:style>
  <w:style w:type="character" w:styleId="B4Char">
    <w:name w:val="B4 Char"/>
    <w:basedOn w:val="DefaultParagraphFont"/>
    <w:qFormat/>
    <w:rPr>
      <w:lang w:val="en-GB" w:bidi="ar-SA"/>
    </w:rPr>
  </w:style>
  <w:style w:type="character" w:styleId="B3Char2">
    <w:name w:val="B3 Char2"/>
    <w:basedOn w:val="DefaultParagraphFont"/>
    <w:qFormat/>
    <w:rPr>
      <w:lang w:val="en-GB" w:bidi="ar-SA"/>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4"/>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3"/>
      </w:numPr>
      <w:tabs>
        <w:tab w:val="clear" w:pos="284"/>
        <w:tab w:val="left" w:pos="1134" w:leader="none"/>
      </w:tabs>
      <w:overflowPunct w:val="false"/>
      <w:autoSpaceDE w:val="false"/>
      <w:textAlignment w:val="baseline"/>
    </w:pPr>
    <w:rPr/>
  </w:style>
  <w:style w:type="paragraph" w:styleId="B11">
    <w:name w:val="B1+"/>
    <w:basedOn w:val="B1"/>
    <w:qFormat/>
    <w:pPr>
      <w:numPr>
        <w:ilvl w:val="0"/>
        <w:numId w:val="9"/>
      </w:numPr>
      <w:overflowPunct w:val="false"/>
      <w:autoSpaceDE w:val="false"/>
      <w:textAlignment w:val="baseline"/>
    </w:pPr>
    <w:rPr/>
  </w:style>
  <w:style w:type="paragraph" w:styleId="B21">
    <w:name w:val="B2+"/>
    <w:basedOn w:val="B2"/>
    <w:qFormat/>
    <w:pPr>
      <w:numPr>
        <w:ilvl w:val="0"/>
        <w:numId w:val="8"/>
      </w:numPr>
      <w:overflowPunct w:val="false"/>
      <w:autoSpaceDE w:val="false"/>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2"/>
      </w:numPr>
      <w:overflowPunct w:val="false"/>
      <w:autoSpaceDE w:val="false"/>
      <w:textAlignment w:val="baseline"/>
    </w:pPr>
    <w:rPr/>
  </w:style>
  <w:style w:type="paragraph" w:styleId="BlockText">
    <w:name w:val="Block Text"/>
    <w:basedOn w:val="Normal"/>
    <w:qFormat/>
    <w:pPr>
      <w:overflowPunct w:val="false"/>
      <w:autoSpaceDE w:val="false"/>
      <w:spacing w:before="0" w:after="120"/>
      <w:ind w:start="1440" w:end="1440" w:hanging="0"/>
      <w:textAlignment w:val="baseline"/>
    </w:pPr>
    <w:rPr/>
  </w:style>
  <w:style w:type="paragraph" w:styleId="BodyText2">
    <w:name w:val="Body Text 2"/>
    <w:basedOn w:val="Normal"/>
    <w:qFormat/>
    <w:pPr>
      <w:numPr>
        <w:ilvl w:val="0"/>
        <w:numId w:val="4"/>
      </w:numPr>
      <w:tabs>
        <w:tab w:val="clear" w:pos="284"/>
      </w:tabs>
      <w:overflowPunct w:val="false"/>
      <w:autoSpaceDE w:val="false"/>
      <w:spacing w:lineRule="auto" w:line="480" w:before="0" w:after="120"/>
      <w:ind w:start="0" w:hanging="0"/>
      <w:textAlignment w:val="baseline"/>
    </w:pPr>
    <w:rPr/>
  </w:style>
  <w:style w:type="paragraph" w:styleId="BodyText3">
    <w:name w:val="Body Text 3"/>
    <w:basedOn w:val="Normal"/>
    <w:qFormat/>
    <w:pPr>
      <w:numPr>
        <w:ilvl w:val="0"/>
        <w:numId w:val="5"/>
      </w:numPr>
      <w:tabs>
        <w:tab w:val="clear" w:pos="284"/>
      </w:tabs>
      <w:overflowPunct w:val="false"/>
      <w:autoSpaceDE w:val="false"/>
      <w:spacing w:before="0" w:after="120"/>
      <w:ind w:start="0" w:hanging="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numPr>
        <w:ilvl w:val="0"/>
        <w:numId w:val="7"/>
      </w:numPr>
      <w:tabs>
        <w:tab w:val="clear" w:pos="284"/>
      </w:tabs>
      <w:overflowPunct w:val="false"/>
      <w:autoSpaceDE w:val="false"/>
      <w:spacing w:before="0" w:after="120"/>
      <w:ind w:start="283" w:hanging="0"/>
      <w:textAlignment w:val="baseline"/>
    </w:pPr>
    <w:rPr/>
  </w:style>
  <w:style w:type="paragraph" w:styleId="BodyTextFirstIndent2">
    <w:name w:val="Body Text First Indent 2"/>
    <w:basedOn w:val="TextBodyIndent"/>
    <w:qFormat/>
    <w:pPr>
      <w:numPr>
        <w:ilvl w:val="0"/>
        <w:numId w:val="6"/>
      </w:numPr>
    </w:pPr>
    <w:rPr/>
  </w:style>
  <w:style w:type="paragraph" w:styleId="BodyTextIndent2">
    <w:name w:val="Body Text Indent 2"/>
    <w:basedOn w:val="Normal"/>
    <w:qFormat/>
    <w:pPr>
      <w:overflowPunct w:val="false"/>
      <w:autoSpaceDE w:val="false"/>
      <w:spacing w:lineRule="auto" w:line="480" w:before="0" w:after="120"/>
      <w:ind w:start="283" w:hanging="0"/>
      <w:textAlignment w:val="baseline"/>
    </w:pPr>
    <w:rPr/>
  </w:style>
  <w:style w:type="paragraph" w:styleId="BodyTextIndent3">
    <w:name w:val="Body Text Indent 3"/>
    <w:basedOn w:val="Normal"/>
    <w:qFormat/>
    <w:pPr>
      <w:overflowPunct w:val="false"/>
      <w:autoSpaceDE w:val="false"/>
      <w:spacing w:before="0" w:after="120"/>
      <w:ind w:start="283" w:hanging="0"/>
      <w:textAlignment w:val="baseline"/>
    </w:pPr>
    <w:rPr>
      <w:sz w:val="16"/>
      <w:szCs w:val="16"/>
    </w:rPr>
  </w:style>
  <w:style w:type="paragraph" w:styleId="Closing">
    <w:name w:val="Closing"/>
    <w:basedOn w:val="Normal"/>
    <w:qFormat/>
    <w:pPr>
      <w:overflowPunct w:val="false"/>
      <w:autoSpaceDE w:val="false"/>
      <w:ind w:star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Endnote">
    <w:name w:val="Endnote Text"/>
    <w:basedOn w:val="Normal"/>
    <w:pPr>
      <w:overflowPunct w:val="false"/>
      <w:autoSpaceDE w:val="false"/>
      <w:textAlignment w:val="baseline"/>
    </w:pPr>
    <w:rPr/>
  </w:style>
  <w:style w:type="paragraph" w:styleId="Addressee">
    <w:name w:val="Envelope Address"/>
    <w:basedOn w:val="Normal"/>
    <w:pPr>
      <w:overflowPunct w:val="false"/>
      <w:autoSpaceDE w:val="false"/>
      <w:ind w:star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3">
    <w:name w:val="Index 3"/>
    <w:basedOn w:val="Normal"/>
    <w:next w:val="Normal"/>
    <w:pPr>
      <w:overflowPunct w:val="false"/>
      <w:autoSpaceDE w:val="false"/>
      <w:ind w:start="600" w:hanging="200"/>
      <w:textAlignment w:val="baseline"/>
    </w:pPr>
    <w:rPr/>
  </w:style>
  <w:style w:type="paragraph" w:styleId="Index4">
    <w:name w:val="Index 4"/>
    <w:basedOn w:val="Normal"/>
    <w:next w:val="Normal"/>
    <w:qFormat/>
    <w:pPr>
      <w:overflowPunct w:val="false"/>
      <w:autoSpaceDE w:val="false"/>
      <w:ind w:start="800" w:hanging="200"/>
      <w:textAlignment w:val="baseline"/>
    </w:pPr>
    <w:rPr/>
  </w:style>
  <w:style w:type="paragraph" w:styleId="Index5">
    <w:name w:val="Index 5"/>
    <w:basedOn w:val="Normal"/>
    <w:next w:val="Normal"/>
    <w:qFormat/>
    <w:pPr>
      <w:overflowPunct w:val="false"/>
      <w:autoSpaceDE w:val="false"/>
      <w:ind w:start="1000" w:hanging="200"/>
      <w:textAlignment w:val="baseline"/>
    </w:pPr>
    <w:rPr/>
  </w:style>
  <w:style w:type="paragraph" w:styleId="Index6">
    <w:name w:val="Index 6"/>
    <w:basedOn w:val="Normal"/>
    <w:next w:val="Normal"/>
    <w:qFormat/>
    <w:pPr>
      <w:overflowPunct w:val="false"/>
      <w:autoSpaceDE w:val="false"/>
      <w:ind w:start="1200" w:hanging="200"/>
      <w:textAlignment w:val="baseline"/>
    </w:pPr>
    <w:rPr/>
  </w:style>
  <w:style w:type="paragraph" w:styleId="Index7">
    <w:name w:val="Index 7"/>
    <w:basedOn w:val="Normal"/>
    <w:next w:val="Normal"/>
    <w:qFormat/>
    <w:pPr>
      <w:overflowPunct w:val="false"/>
      <w:autoSpaceDE w:val="false"/>
      <w:ind w:start="1400" w:hanging="200"/>
      <w:textAlignment w:val="baseline"/>
    </w:pPr>
    <w:rPr/>
  </w:style>
  <w:style w:type="paragraph" w:styleId="Index8">
    <w:name w:val="Index 8"/>
    <w:basedOn w:val="Normal"/>
    <w:next w:val="Normal"/>
    <w:qFormat/>
    <w:pPr>
      <w:overflowPunct w:val="false"/>
      <w:autoSpaceDE w:val="false"/>
      <w:ind w:start="1600" w:hanging="200"/>
      <w:textAlignment w:val="baseline"/>
    </w:pPr>
    <w:rPr/>
  </w:style>
  <w:style w:type="paragraph" w:styleId="Index9">
    <w:name w:val="Index 9"/>
    <w:basedOn w:val="Normal"/>
    <w:next w:val="Normal"/>
    <w:qFormat/>
    <w:pPr>
      <w:overflowPunct w:val="false"/>
      <w:autoSpaceDE w:val="false"/>
      <w:ind w:start="1800" w:hanging="200"/>
      <w:textAlignment w:val="baseline"/>
    </w:pPr>
    <w:rPr/>
  </w:style>
  <w:style w:type="paragraph" w:styleId="ListContinue">
    <w:name w:val="List Continue"/>
    <w:basedOn w:val="Normal"/>
    <w:qFormat/>
    <w:pPr>
      <w:overflowPunct w:val="false"/>
      <w:autoSpaceDE w:val="false"/>
      <w:spacing w:before="0" w:after="120"/>
      <w:ind w:start="283" w:hanging="0"/>
      <w:textAlignment w:val="baseline"/>
    </w:pPr>
    <w:rPr/>
  </w:style>
  <w:style w:type="paragraph" w:styleId="ListContinue2">
    <w:name w:val="List Continue 2"/>
    <w:basedOn w:val="Normal"/>
    <w:qFormat/>
    <w:pPr>
      <w:overflowPunct w:val="false"/>
      <w:autoSpaceDE w:val="false"/>
      <w:spacing w:before="0" w:after="120"/>
      <w:ind w:start="566" w:hanging="0"/>
      <w:textAlignment w:val="baseline"/>
    </w:pPr>
    <w:rPr/>
  </w:style>
  <w:style w:type="paragraph" w:styleId="ListContinue3">
    <w:name w:val="List Continue 3"/>
    <w:basedOn w:val="Normal"/>
    <w:qFormat/>
    <w:pPr>
      <w:overflowPunct w:val="false"/>
      <w:autoSpaceDE w:val="false"/>
      <w:spacing w:before="0" w:after="120"/>
      <w:ind w:start="849" w:hanging="0"/>
      <w:textAlignment w:val="baseline"/>
    </w:pPr>
    <w:rPr/>
  </w:style>
  <w:style w:type="paragraph" w:styleId="ListContinue4">
    <w:name w:val="List Continue 4"/>
    <w:basedOn w:val="Normal"/>
    <w:qFormat/>
    <w:pPr>
      <w:overflowPunct w:val="false"/>
      <w:autoSpaceDE w:val="false"/>
      <w:spacing w:before="0" w:after="120"/>
      <w:ind w:start="1132" w:hanging="0"/>
      <w:textAlignment w:val="baseline"/>
    </w:pPr>
    <w:rPr/>
  </w:style>
  <w:style w:type="paragraph" w:styleId="ListContinue5">
    <w:name w:val="List Continue 5"/>
    <w:basedOn w:val="Normal"/>
    <w:qFormat/>
    <w:pPr>
      <w:overflowPunct w:val="false"/>
      <w:autoSpaceDE w:val="false"/>
      <w:spacing w:before="0" w:after="120"/>
      <w:ind w:star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6"/>
      </w:numPr>
      <w:overflowPunct w:val="false"/>
      <w:autoSpaceDE w:val="false"/>
      <w:textAlignment w:val="baseline"/>
    </w:pPr>
    <w:rPr/>
  </w:style>
  <w:style w:type="paragraph" w:styleId="ListNumber5">
    <w:name w:val="List Number 5"/>
    <w:basedOn w:val="Normal"/>
    <w:qFormat/>
    <w:pPr>
      <w:numPr>
        <w:ilvl w:val="0"/>
        <w:numId w:val="7"/>
      </w:numPr>
      <w:overflowPunct w:val="false"/>
      <w:autoSpaceDE w:val="false"/>
      <w:textAlignment w:val="baseline"/>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star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star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star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TableofAuthorities">
    <w:name w:val="Table of Authorities"/>
    <w:basedOn w:val="Normal"/>
    <w:next w:val="Normal"/>
    <w:qFormat/>
    <w:pPr>
      <w:overflowPunct w:val="false"/>
      <w:autoSpaceDE w:val="false"/>
      <w:ind w:start="200" w:hanging="200"/>
      <w:textAlignment w:val="baseline"/>
    </w:pPr>
    <w:rPr/>
  </w:style>
  <w:style w:type="paragraph" w:styleId="TableofFigures">
    <w:name w:val="Table of Figures"/>
    <w:basedOn w:val="Normal"/>
    <w:next w:val="Normal"/>
    <w:qFormat/>
    <w:pPr>
      <w:overflowPunct w:val="false"/>
      <w:autoSpaceDE w:val="false"/>
      <w:ind w:star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ASN1">
    <w:name w:val="ASN.1"/>
    <w:basedOn w:val="Normal"/>
    <w:qFormat/>
    <w:pPr>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overflowPunct w:val="false"/>
      <w:autoSpaceDE w:val="false"/>
      <w:spacing w:before="0" w:after="0"/>
      <w:textAlignment w:val="baseline"/>
    </w:pPr>
    <w:rPr>
      <w:b/>
      <w:lang w:val="en-US" w:eastAsia="en-US"/>
    </w:rPr>
  </w:style>
  <w:style w:type="paragraph" w:styleId="Fig">
    <w:name w:val="Fig"/>
    <w:basedOn w:val="Normal"/>
    <w:next w:val="Normal"/>
    <w:qFormat/>
    <w:pPr>
      <w:tabs>
        <w:tab w:val="clear" w:pos="284"/>
        <w:tab w:val="left" w:pos="794" w:leader="none"/>
        <w:tab w:val="left" w:pos="1191" w:leader="none"/>
        <w:tab w:val="left" w:pos="1588" w:leader="none"/>
        <w:tab w:val="left" w:pos="1985" w:leader="none"/>
      </w:tabs>
      <w:spacing w:before="136" w:after="0"/>
      <w:jc w:val="center"/>
    </w:pPr>
    <w:rPr>
      <w:lang w:val="en-US"/>
    </w:rPr>
  </w:style>
  <w:style w:type="paragraph" w:styleId="Celnor0">
    <w:name w:val="celnor0"/>
    <w:basedOn w:val="Normal"/>
    <w:qFormat/>
    <w:pPr>
      <w:spacing w:lineRule="atLeast" w:line="240" w:before="0" w:after="0"/>
      <w:jc w:val="both"/>
    </w:pPr>
    <w:rPr>
      <w:lang w:val="fr-FR"/>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TableTitle">
    <w:name w:val="Table_Title"/>
    <w:basedOn w:val="Normal"/>
    <w:next w:val="TableText"/>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480" w:after="120"/>
      <w:jc w:val="center"/>
      <w:textAlignment w:val="baseline"/>
    </w:pPr>
    <w:rPr>
      <w:b/>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start="794" w:hanging="794"/>
      <w:jc w:val="both"/>
      <w:textAlignment w:val="baseline"/>
    </w:pPr>
    <w:rPr>
      <w:sz w:val="24"/>
    </w:rPr>
  </w:style>
  <w:style w:type="paragraph" w:styleId="Enumlev3">
    <w:name w:val="enumlev3"/>
    <w:basedOn w:val="Enumlev2"/>
    <w:qFormat/>
    <w:pPr>
      <w:overflowPunct w:val="false"/>
      <w:autoSpaceDE w:val="false"/>
      <w:spacing w:before="80" w:after="0"/>
      <w:textAlignment w:val="baseline"/>
    </w:pPr>
    <w:rPr>
      <w:sz w:val="24"/>
      <w:lang w:val="en-GB"/>
    </w:rPr>
  </w:style>
  <w:style w:type="paragraph" w:styleId="TableHead">
    <w:name w:val="Table_Head"/>
    <w:basedOn w:val="TableText"/>
    <w:qFormat/>
    <w:pPr>
      <w:spacing w:before="80" w:after="80"/>
      <w:jc w:val="center"/>
    </w:pPr>
    <w:rPr>
      <w:b/>
    </w:rPr>
  </w:style>
  <w:style w:type="paragraph" w:styleId="UL">
    <w:name w:val="UL"/>
    <w:basedOn w:val="Normal"/>
    <w:qFormat/>
    <w:pPr>
      <w:tabs>
        <w:tab w:val="clear" w:pos="284"/>
        <w:tab w:val="left" w:pos="720" w:leader="none"/>
      </w:tabs>
      <w:overflowPunct w:val="false"/>
      <w:autoSpaceDE w:val="false"/>
      <w:spacing w:before="40" w:after="40"/>
      <w:ind w:start="720" w:hanging="360"/>
      <w:textAlignment w:val="baseline"/>
    </w:pPr>
    <w:rPr>
      <w:rFonts w:ascii="Arial" w:hAnsi="Arial" w:cs="Arial"/>
      <w:lang w:val="en-US"/>
    </w:rPr>
  </w:style>
  <w:style w:type="paragraph" w:styleId="B12">
    <w:name w:val="B1#"/>
    <w:basedOn w:val="Normal"/>
    <w:qFormat/>
    <w:pPr>
      <w:overflowPunct w:val="false"/>
      <w:autoSpaceDE w:val="false"/>
      <w:textAlignment w:val="baseline"/>
    </w:pPr>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2010-03-30T09:12:00Z</dcterms:created>
  <dc:creator>MCC Support</dc:creator>
  <dc:description/>
  <cp:keywords>UMTS supplementary service IP multimedia telephony LTE</cp:keywords>
  <dc:language>en-US</dc:language>
  <cp:lastModifiedBy>FF</cp:lastModifiedBy>
  <cp:lastPrinted>2007-09-26T11:32:00Z</cp:lastPrinted>
  <dcterms:modified xsi:type="dcterms:W3CDTF">2010-09-27T16:05:00Z</dcterms:modified>
  <cp:revision>7</cp:revision>
  <dc:subject>IMS multimedia telephony communication service and supplementary services; Stage 3 (Release 9)</dc:subject>
  <dc:title>3GPP TS 24.173</dc:title>
</cp:coreProperties>
</file>