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819"/>
          <w:tab w:val="clear" w:pos="9071"/>
          <w:tab w:val="right" w:pos="10206" w:leader="none"/>
        </w:tabs>
        <w:bidi w:val="0"/>
        <w:rPr/>
      </w:pPr>
      <w:r>
        <w:rPr>
          <w:sz w:val="24"/>
        </w:rPr>
        <w:t>TSG-RAN ITU Ad-hoc group meeting #1</w:t>
      </w:r>
      <w:r>
        <w:rPr>
          <w:b/>
          <w:i/>
          <w:sz w:val="32"/>
        </w:rPr>
        <w:tab/>
        <w:t>TSGR-ITU#1(99)001</w:t>
      </w:r>
    </w:p>
    <w:p>
      <w:pPr>
        <w:pStyle w:val="Header"/>
        <w:tabs>
          <w:tab w:val="clear" w:pos="4819"/>
          <w:tab w:val="clear" w:pos="9071"/>
          <w:tab w:val="right" w:pos="10206" w:leader="none"/>
        </w:tabs>
        <w:bidi w:val="0"/>
        <w:rPr/>
      </w:pPr>
      <w:r>
        <w:rPr>
          <w:sz w:val="24"/>
        </w:rPr>
        <w:t>joint with SMG2 UMTS ITU Expert Group</w:t>
      </w:r>
    </w:p>
    <w:p>
      <w:pPr>
        <w:pStyle w:val="Header"/>
        <w:tabs>
          <w:tab w:val="clear" w:pos="4819"/>
          <w:tab w:val="clear" w:pos="9071"/>
          <w:tab w:val="right" w:pos="10206" w:leader="none"/>
        </w:tabs>
        <w:bidi w:val="0"/>
        <w:rPr/>
      </w:pPr>
      <w:r>
        <w:rPr>
          <w:sz w:val="24"/>
        </w:rPr>
        <w:t>Espoo, Finland, 19 - 21 January 1999</w:t>
      </w:r>
      <w:r>
        <w:rPr/>
        <w:tab/>
        <w:t xml:space="preserve">Page </w:t>
      </w:r>
      <w:r>
        <w:rPr>
          <w:lang w:val="en-US"/>
        </w:rPr>
        <w:fldChar w:fldCharType="begin"/>
      </w:r>
      <w:r>
        <w:rPr>
          <w:lang w:val="en-US"/>
        </w:rPr>
        <w:instrText> PAGE </w:instrText>
      </w:r>
      <w:r>
        <w:rPr>
          <w:lang w:val="en-US"/>
        </w:rPr>
        <w:fldChar w:fldCharType="separate"/>
      </w:r>
      <w:r>
        <w:rPr>
          <w:lang w:val="en-US"/>
        </w:rPr>
        <w:t>1</w:t>
      </w:r>
      <w:r>
        <w:rPr>
          <w:lang w:val="en-US"/>
        </w:rPr>
        <w:fldChar w:fldCharType="end"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20"/>
          <w:tab w:val="left" w:pos="1985" w:leader="none"/>
        </w:tabs>
        <w:bidi w:val="0"/>
        <w:jc w:val="start"/>
        <w:rPr/>
      </w:pPr>
      <w:r>
        <w:rPr>
          <w:rFonts w:ascii="Arial" w:hAnsi="Arial"/>
          <w:b/>
          <w:sz w:val="24"/>
        </w:rPr>
        <w:t>Agenda Item:</w:t>
      </w:r>
      <w:r>
        <w:rPr>
          <w:rFonts w:ascii="Arial" w:hAnsi="Arial"/>
          <w:sz w:val="24"/>
        </w:rPr>
        <w:tab/>
      </w:r>
      <w:bookmarkStart w:id="0" w:name="Source"/>
      <w:bookmarkEnd w:id="0"/>
      <w:r>
        <w:rPr>
          <w:rFonts w:ascii="Arial" w:hAnsi="Arial"/>
          <w:sz w:val="24"/>
        </w:rPr>
        <w:t>2</w:t>
      </w:r>
    </w:p>
    <w:p>
      <w:pPr>
        <w:pStyle w:val="Normal"/>
        <w:tabs>
          <w:tab w:val="clear" w:pos="720"/>
          <w:tab w:val="left" w:pos="1985" w:leader="none"/>
        </w:tabs>
        <w:bidi w:val="0"/>
        <w:jc w:val="star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tabs>
          <w:tab w:val="clear" w:pos="720"/>
          <w:tab w:val="left" w:pos="1985" w:leader="none"/>
        </w:tabs>
        <w:bidi w:val="0"/>
        <w:jc w:val="start"/>
        <w:rPr/>
      </w:pPr>
      <w:r>
        <w:rPr>
          <w:rFonts w:ascii="Arial" w:hAnsi="Arial"/>
          <w:b/>
          <w:sz w:val="24"/>
        </w:rPr>
        <w:t>Source:</w:t>
      </w:r>
      <w:r>
        <w:rPr>
          <w:rFonts w:ascii="Arial" w:hAnsi="Arial"/>
          <w:sz w:val="24"/>
        </w:rPr>
        <w:tab/>
        <w:t>Convenor</w:t>
      </w:r>
    </w:p>
    <w:p>
      <w:pPr>
        <w:pStyle w:val="Normal"/>
        <w:tabs>
          <w:tab w:val="clear" w:pos="720"/>
          <w:tab w:val="left" w:pos="1985" w:leader="none"/>
        </w:tabs>
        <w:bidi w:val="0"/>
        <w:jc w:val="star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tabs>
          <w:tab w:val="clear" w:pos="720"/>
          <w:tab w:val="left" w:pos="1985" w:leader="none"/>
        </w:tabs>
        <w:bidi w:val="0"/>
        <w:jc w:val="start"/>
        <w:rPr/>
      </w:pPr>
      <w:r>
        <w:rPr>
          <w:rFonts w:ascii="Arial" w:hAnsi="Arial"/>
          <w:b/>
          <w:sz w:val="24"/>
        </w:rPr>
        <w:t>Title:</w:t>
      </w:r>
      <w:r>
        <w:rPr>
          <w:rFonts w:ascii="Arial" w:hAnsi="Arial"/>
          <w:sz w:val="24"/>
        </w:rPr>
        <w:tab/>
      </w:r>
      <w:bookmarkStart w:id="1" w:name="Title"/>
      <w:bookmarkEnd w:id="1"/>
      <w:r>
        <w:rPr>
          <w:rFonts w:ascii="Arial" w:hAnsi="Arial"/>
          <w:sz w:val="24"/>
        </w:rPr>
        <w:t>Agenda</w:t>
      </w:r>
    </w:p>
    <w:p>
      <w:pPr>
        <w:pStyle w:val="Normal"/>
        <w:tabs>
          <w:tab w:val="clear" w:pos="720"/>
          <w:tab w:val="left" w:pos="1985" w:leader="none"/>
        </w:tabs>
        <w:bidi w:val="0"/>
        <w:jc w:val="star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tabs>
          <w:tab w:val="clear" w:pos="720"/>
          <w:tab w:val="left" w:pos="1985" w:leader="none"/>
        </w:tabs>
        <w:bidi w:val="0"/>
        <w:jc w:val="start"/>
        <w:rPr/>
      </w:pPr>
      <w:r>
        <w:rPr>
          <w:rFonts w:ascii="Arial" w:hAnsi="Arial"/>
          <w:b/>
          <w:sz w:val="24"/>
        </w:rPr>
        <w:t>Document for:</w:t>
      </w:r>
      <w:r>
        <w:rPr>
          <w:rFonts w:ascii="Arial" w:hAnsi="Arial"/>
          <w:sz w:val="24"/>
        </w:rPr>
        <w:tab/>
      </w:r>
      <w:bookmarkStart w:id="2" w:name="DocumentFor"/>
      <w:bookmarkEnd w:id="2"/>
      <w:r>
        <w:rPr>
          <w:rFonts w:ascii="Arial" w:hAnsi="Arial"/>
          <w:sz w:val="24"/>
        </w:rPr>
        <w:t>Approval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widowControl/>
        <w:bidi w:val="0"/>
        <w:jc w:val="start"/>
        <w:rPr/>
      </w:pPr>
      <w:r>
        <w:rPr/>
        <w:t>___________________________________________________________________________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</w:rPr>
        <w:t>ETSI SMG2 UMTS ITU Expert Group / 3GPP RAN TSG ITU Ad Hoc</w:t>
      </w:r>
    </w:p>
    <w:p>
      <w:pPr>
        <w:pStyle w:val="Normal"/>
        <w:bidi w:val="0"/>
        <w:spacing w:lineRule="atLeast" w:line="24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sz w:val="28"/>
        </w:rPr>
        <w:t>AGENDA</w:t>
      </w:r>
    </w:p>
    <w:p>
      <w:pPr>
        <w:pStyle w:val="Normal"/>
        <w:bidi w:val="0"/>
        <w:spacing w:lineRule="atLeast" w:line="24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tLeast" w:line="240"/>
        <w:jc w:val="start"/>
        <w:rPr/>
      </w:pPr>
      <w:r>
        <w:rPr/>
        <w:t>Opening of the meeting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Approval of the agenda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Report of the ETSI/SMG2 ITU Expert Group activity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Report of the first meeting of 3GPP TSG RAN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Report of other activities toward ITU from 3GPP members (SDO’s)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Consideration of liaisons from ITU-R TG 8/1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Consideration of input contributions for the ITU-R TG 8/1 WG5 meeting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Future activity toward ITU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A.O.B.</w:t>
      </w:r>
    </w:p>
    <w:p>
      <w:pPr>
        <w:pStyle w:val="Normal"/>
        <w:numPr>
          <w:ilvl w:val="0"/>
          <w:numId w:val="1"/>
        </w:numPr>
        <w:bidi w:val="0"/>
        <w:spacing w:lineRule="atLeast" w:line="240" w:before="120" w:after="0"/>
        <w:jc w:val="start"/>
        <w:rPr/>
      </w:pPr>
      <w:r>
        <w:rPr/>
        <w:t>Closing of the meeting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851" w:right="851" w:header="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 "/>
      <w:lvlJc w:val="start"/>
      <w:pPr>
        <w:tabs>
          <w:tab w:val="num" w:pos="0"/>
        </w:tabs>
        <w:ind w:start="283" w:hanging="283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Courier New" w:cs="Noto Sans Devanagari"/>
      <w:color w:val="auto"/>
      <w:kern w:val="2"/>
      <w:sz w:val="20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ind w:end="-2835" w:hanging="0"/>
    </w:pPr>
    <w:rPr>
      <w:rFonts w:ascii="Courier New" w:hAnsi="Courier New" w:eastAsia="Courier New" w:cs="Noto Sans Devanagari"/>
      <w:color w:val="auto"/>
      <w:kern w:val="2"/>
      <w:sz w:val="16"/>
      <w:szCs w:val="24"/>
      <w:lang w:val="en-GB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071" w:leader="none"/>
      </w:tabs>
      <w:jc w:val="both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99</Pages>
  <Words>108</Words>
  <Characters>0</Characters>
  <CharactersWithSpaces>619</CharactersWithSpaces>
  <Company>ETSI Sophia Antipolis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1999-01-15T10:07:00Z</dcterms:created>
  <dc:creator>Maurice Pope</dc:creator>
  <dc:description>For use in production of documents for TSG-R meetings</dc:description>
  <cp:keywords>3GPP TSG-R</cp:keywords>
  <dc:language>en-US</dc:language>
  <cp:lastModifiedBy/>
  <dcterms:modified xsi:type="dcterms:W3CDTF">1999-01-15T10:07:00Z</dcterms:modified>
  <cp:revision>2</cp:revision>
  <dc:subject>3GPP</dc:subject>
  <dc:title>TSG-R Template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ETSI Sophia Antipolis</vt:lpwstr>
  </property>
  <property fmtid="{D5CDD505-2E9C-101B-9397-08002B2CF9AE}" pid="3" name="Operator">
    <vt:lpwstr>Maurice Pope</vt:lpwstr>
  </property>
</Properties>
</file>