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Explicación técnica del sistema Nexo</w:t>
      </w:r>
    </w:p>
    <w:p>
      <w:pPr>
        <w:pStyle w:val="Subtitle"/>
      </w:pPr>
      <w:r>
        <w:t>Plataforma de recursos humanos con inteligencia artificial</w:t>
      </w:r>
    </w:p>
    <w:p>
      <w:pPr>
        <w:pStyle w:val="Subtitle"/>
      </w:pPr>
      <w:r>
        <w:t>Manual para comprender ejecutar y mantener el sistema</w:t>
      </w:r>
    </w:p>
    <w:p>
      <w:r>
        <w:t>Edición del 28 de septiembre de 2026</w:t>
      </w:r>
    </w:p>
    <w:p>
      <w:pPr>
        <w:pStyle w:val="Heading2"/>
      </w:pPr>
      <w:r>
        <w:t>Propósito y alcance</w:t>
      </w:r>
    </w:p>
    <w:p>
      <w:r>
        <w:t>Nexo reúne reclutamiento, contratación, incorporación, capacitación, tareas, desempeño y ambiente laboral. La aplicación coordina estos procesos con permisos por rol y jerarquía, archivos privados y apoyo de inteligencia artificial sujeto a revisión humana.</w:t>
      </w:r>
    </w:p>
    <w:p>
      <w:r>
        <w:t>Este documento está dirigido a desarrolladores, responsables técnicos y personas que deban explicar el proyecto. Describe el código del espacio de trabajo actual, sus reglas de negocio, las relaciones entre datos y los procedimientos de operación local.</w:t>
      </w:r>
    </w:p>
    <w:p>
      <w:pPr>
        <w:pStyle w:val="Heading2"/>
      </w:pPr>
      <w:r>
        <w:t>Estado documentado</w:t>
      </w:r>
    </w:p>
    <w:p>
      <w:r>
        <w:t>La referencia de Git es fa6f318. Se incluyen además las correcciones locales de seguridad y pruebas realizadas después de ese commit. Estas correcciones aún no se habían guardado en un nuevo commit al preparar el manual.</w:t>
      </w:r>
    </w:p>
    <w:p>
      <w:r>
        <w:t>El sistema se ejecuta como una aplicación web Next.js. Que la interfaz esté en localhost no significa que toda la información permanezca en la computadora: Supabase puede ser alojado y Gemini es un servicio externo. El destino efectivo depende de la configuración del servidor.</w:t>
      </w:r>
    </w:p>
    <w:p>
      <w:pPr>
        <w:pStyle w:val="Heading2"/>
      </w:pPr>
      <w:r>
        <w:t>Punto de activación pendiente</w:t>
      </w:r>
    </w:p>
    <w:p>
      <w:r>
        <w:t>La revisión anterior confirmó mx_working_day en el Supabase configurado, pero next_working_day todavía no estaba disponible. La corrección de la fecha automática de bienvenida requiere aplicar la migración 202609280007_hiring_working_day.sql después de sus dependencias. No se ha ejecutado esa migración remota desde esta documentación.</w:t>
      </w:r>
    </w:p>
    <w:p>
      <w:r>
        <w:t>Los resultados de pruebas descritos son evidencia de la revisión del 28 de septiembre de 2026. No equivalen a certificar todos los recorridos reales con cada rol ni la disponibilidad futura de los servicios.</w:t>
      </w:r>
    </w:p>
    <w:p>
      <w:r>
        <w:br w:type="page"/>
      </w:r>
    </w:p>
    <w:p>
      <w:pPr>
        <w:pStyle w:val="Heading1"/>
      </w:pPr>
      <w:r>
        <w:t>Guía de lectura</w:t>
      </w:r>
    </w:p>
    <w:p>
      <w:r>
        <w:t>Las secciones siguen el recorrido de una solicitud y después explican cada proceso de negocio. Las rutas de archivos se expresan desde la raíz del repositorio, para que el manual pueda utilizarse en otra computadora.</w:t>
      </w:r>
    </w:p>
    <w:tbl>
      <w:tblPr>
        <w:tblStyle w:val="TableGrid"/>
        <w:tblW w:type="auto" w:w="0"/>
        <w:tblLayout w:type="fixed"/>
        <w:tblLook w:firstColumn="1" w:firstRow="1" w:lastColumn="0" w:lastRow="0" w:noHBand="0" w:noVBand="1" w:val="04A0"/>
      </w:tblPr>
      <w:tblGrid>
        <w:gridCol w:w="2438"/>
        <w:gridCol w:w="6066"/>
        <w:gridCol w:w="1020"/>
      </w:tblGrid>
      <w:tr>
        <w:trPr>
          <w:cantSplit/>
          <w:tblHeader/>
        </w:trPr>
        <w:tc>
          <w:tcPr>
            <w:tcW w:type="dxa" w:w="2438"/>
            <w:shd w:fill="E8ECEF"/>
          </w:tcPr>
          <w:p>
            <w:pPr>
              <w:spacing w:after="80" w:before="60" w:line="247" w:lineRule="auto"/>
            </w:pPr>
            <w:r>
              <w:rPr>
                <w:b/>
                <w:color w:val="000000"/>
                <w:sz w:val="18"/>
              </w:rPr>
              <w:t>Sección</w:t>
            </w:r>
          </w:p>
        </w:tc>
        <w:tc>
          <w:tcPr>
            <w:tcW w:type="dxa" w:w="6066"/>
            <w:shd w:fill="E8ECEF"/>
          </w:tcPr>
          <w:p>
            <w:pPr>
              <w:spacing w:after="80" w:before="60" w:line="247" w:lineRule="auto"/>
            </w:pPr>
            <w:r>
              <w:rPr>
                <w:b/>
                <w:color w:val="000000"/>
                <w:sz w:val="18"/>
              </w:rPr>
              <w:t>Contenido</w:t>
            </w:r>
          </w:p>
        </w:tc>
        <w:tc>
          <w:tcPr>
            <w:tcW w:type="dxa" w:w="1020"/>
            <w:shd w:fill="E8ECEF"/>
          </w:tcPr>
          <w:p>
            <w:pPr>
              <w:spacing w:after="80" w:before="60" w:line="247" w:lineRule="auto"/>
            </w:pPr>
            <w:r>
              <w:rPr>
                <w:b/>
                <w:color w:val="000000"/>
                <w:sz w:val="18"/>
              </w:rPr>
              <w:t>Página</w:t>
            </w:r>
          </w:p>
        </w:tc>
      </w:tr>
      <w:tr>
        <w:trPr>
          <w:cantSplit/>
        </w:trPr>
        <w:tc>
          <w:tcPr>
            <w:tcW w:type="dxa" w:w="2438"/>
          </w:tcPr>
          <w:p>
            <w:pPr>
              <w:spacing w:after="80" w:before="60" w:line="247" w:lineRule="auto"/>
            </w:pPr>
            <w:r>
              <w:rPr>
                <w:b w:val="0"/>
                <w:color w:val="000000"/>
                <w:sz w:val="18"/>
              </w:rPr>
              <w:t>Arquitectura</w:t>
            </w:r>
          </w:p>
        </w:tc>
        <w:tc>
          <w:tcPr>
            <w:tcW w:type="dxa" w:w="6066"/>
          </w:tcPr>
          <w:p>
            <w:pPr>
              <w:spacing w:after="80" w:before="60" w:line="247" w:lineRule="auto"/>
            </w:pPr>
            <w:r>
              <w:rPr>
                <w:b w:val="0"/>
                <w:color w:val="000000"/>
                <w:sz w:val="18"/>
              </w:rPr>
              <w:t>Componentes y comunicación</w:t>
            </w:r>
          </w:p>
        </w:tc>
        <w:tc>
          <w:tcPr>
            <w:tcW w:type="dxa" w:w="1020"/>
          </w:tcPr>
          <w:p>
            <w:pPr>
              <w:spacing w:after="80" w:before="60" w:line="247" w:lineRule="auto"/>
            </w:pPr>
            <w:r>
              <w:rPr>
                <w:b w:val="0"/>
                <w:color w:val="000000"/>
                <w:sz w:val="18"/>
              </w:rPr>
              <w:t>3</w:t>
            </w:r>
          </w:p>
        </w:tc>
      </w:tr>
      <w:tr>
        <w:trPr>
          <w:cantSplit/>
        </w:trPr>
        <w:tc>
          <w:tcPr>
            <w:tcW w:type="dxa" w:w="2438"/>
          </w:tcPr>
          <w:p>
            <w:pPr>
              <w:spacing w:after="80" w:before="60" w:line="247" w:lineRule="auto"/>
            </w:pPr>
            <w:r>
              <w:rPr>
                <w:b w:val="0"/>
                <w:color w:val="000000"/>
                <w:sz w:val="18"/>
              </w:rPr>
              <w:t>Código e interfaz</w:t>
            </w:r>
          </w:p>
        </w:tc>
        <w:tc>
          <w:tcPr>
            <w:tcW w:type="dxa" w:w="6066"/>
          </w:tcPr>
          <w:p>
            <w:pPr>
              <w:spacing w:after="80" w:before="60" w:line="247" w:lineRule="auto"/>
            </w:pPr>
            <w:r>
              <w:rPr>
                <w:b w:val="0"/>
                <w:color w:val="000000"/>
                <w:sz w:val="18"/>
              </w:rPr>
              <w:t>Organización y navegación</w:t>
            </w:r>
          </w:p>
        </w:tc>
        <w:tc>
          <w:tcPr>
            <w:tcW w:type="dxa" w:w="1020"/>
          </w:tcPr>
          <w:p>
            <w:pPr>
              <w:spacing w:after="80" w:before="60" w:line="247" w:lineRule="auto"/>
            </w:pPr>
            <w:r>
              <w:rPr>
                <w:b w:val="0"/>
                <w:color w:val="000000"/>
                <w:sz w:val="18"/>
              </w:rPr>
              <w:t>4</w:t>
            </w:r>
          </w:p>
        </w:tc>
      </w:tr>
      <w:tr>
        <w:trPr>
          <w:cantSplit/>
        </w:trPr>
        <w:tc>
          <w:tcPr>
            <w:tcW w:type="dxa" w:w="2438"/>
          </w:tcPr>
          <w:p>
            <w:pPr>
              <w:spacing w:after="80" w:before="60" w:line="247" w:lineRule="auto"/>
            </w:pPr>
            <w:r>
              <w:rPr>
                <w:b w:val="0"/>
                <w:color w:val="000000"/>
                <w:sz w:val="18"/>
              </w:rPr>
              <w:t>Identidad y permisos</w:t>
            </w:r>
          </w:p>
        </w:tc>
        <w:tc>
          <w:tcPr>
            <w:tcW w:type="dxa" w:w="6066"/>
          </w:tcPr>
          <w:p>
            <w:pPr>
              <w:spacing w:after="80" w:before="60" w:line="247" w:lineRule="auto"/>
            </w:pPr>
            <w:r>
              <w:rPr>
                <w:b w:val="0"/>
                <w:color w:val="000000"/>
                <w:sz w:val="18"/>
              </w:rPr>
              <w:t>Roles y jerarquía</w:t>
            </w:r>
          </w:p>
        </w:tc>
        <w:tc>
          <w:tcPr>
            <w:tcW w:type="dxa" w:w="1020"/>
          </w:tcPr>
          <w:p>
            <w:pPr>
              <w:spacing w:after="80" w:before="60" w:line="247" w:lineRule="auto"/>
            </w:pPr>
            <w:r>
              <w:rPr>
                <w:b w:val="0"/>
                <w:color w:val="000000"/>
                <w:sz w:val="18"/>
              </w:rPr>
              <w:t>5</w:t>
            </w:r>
          </w:p>
        </w:tc>
      </w:tr>
      <w:tr>
        <w:trPr>
          <w:cantSplit/>
        </w:trPr>
        <w:tc>
          <w:tcPr>
            <w:tcW w:type="dxa" w:w="2438"/>
          </w:tcPr>
          <w:p>
            <w:pPr>
              <w:spacing w:after="80" w:before="60" w:line="247" w:lineRule="auto"/>
            </w:pPr>
            <w:r>
              <w:rPr>
                <w:b w:val="0"/>
                <w:color w:val="000000"/>
                <w:sz w:val="18"/>
              </w:rPr>
              <w:t>Modelo de datos</w:t>
            </w:r>
          </w:p>
        </w:tc>
        <w:tc>
          <w:tcPr>
            <w:tcW w:type="dxa" w:w="6066"/>
          </w:tcPr>
          <w:p>
            <w:pPr>
              <w:spacing w:after="80" w:before="60" w:line="247" w:lineRule="auto"/>
            </w:pPr>
            <w:r>
              <w:rPr>
                <w:b w:val="0"/>
                <w:color w:val="000000"/>
                <w:sz w:val="18"/>
              </w:rPr>
              <w:t>Entidades y relaciones</w:t>
            </w:r>
          </w:p>
        </w:tc>
        <w:tc>
          <w:tcPr>
            <w:tcW w:type="dxa" w:w="1020"/>
          </w:tcPr>
          <w:p>
            <w:pPr>
              <w:spacing w:after="80" w:before="60" w:line="247" w:lineRule="auto"/>
            </w:pPr>
            <w:r>
              <w:rPr>
                <w:b w:val="0"/>
                <w:color w:val="000000"/>
                <w:sz w:val="18"/>
              </w:rPr>
              <w:t>6</w:t>
            </w:r>
          </w:p>
        </w:tc>
      </w:tr>
      <w:tr>
        <w:trPr>
          <w:cantSplit/>
        </w:trPr>
        <w:tc>
          <w:tcPr>
            <w:tcW w:type="dxa" w:w="2438"/>
          </w:tcPr>
          <w:p>
            <w:pPr>
              <w:spacing w:after="80" w:before="60" w:line="247" w:lineRule="auto"/>
            </w:pPr>
            <w:r>
              <w:rPr>
                <w:b w:val="0"/>
                <w:color w:val="000000"/>
                <w:sz w:val="18"/>
              </w:rPr>
              <w:t>Reclutamiento</w:t>
            </w:r>
          </w:p>
        </w:tc>
        <w:tc>
          <w:tcPr>
            <w:tcW w:type="dxa" w:w="6066"/>
          </w:tcPr>
          <w:p>
            <w:pPr>
              <w:spacing w:after="80" w:before="60" w:line="247" w:lineRule="auto"/>
            </w:pPr>
            <w:r>
              <w:rPr>
                <w:b w:val="0"/>
                <w:color w:val="000000"/>
                <w:sz w:val="18"/>
              </w:rPr>
              <w:t>Vacantes, entrevistas y contratación</w:t>
            </w:r>
          </w:p>
        </w:tc>
        <w:tc>
          <w:tcPr>
            <w:tcW w:type="dxa" w:w="1020"/>
          </w:tcPr>
          <w:p>
            <w:pPr>
              <w:spacing w:after="80" w:before="60" w:line="247" w:lineRule="auto"/>
            </w:pPr>
            <w:r>
              <w:rPr>
                <w:b w:val="0"/>
                <w:color w:val="000000"/>
                <w:sz w:val="18"/>
              </w:rPr>
              <w:t>7</w:t>
            </w:r>
          </w:p>
        </w:tc>
      </w:tr>
      <w:tr>
        <w:trPr>
          <w:cantSplit/>
        </w:trPr>
        <w:tc>
          <w:tcPr>
            <w:tcW w:type="dxa" w:w="2438"/>
          </w:tcPr>
          <w:p>
            <w:pPr>
              <w:spacing w:after="80" w:before="60" w:line="247" w:lineRule="auto"/>
            </w:pPr>
            <w:r>
              <w:rPr>
                <w:b w:val="0"/>
                <w:color w:val="000000"/>
                <w:sz w:val="18"/>
              </w:rPr>
              <w:t>Organización</w:t>
            </w:r>
          </w:p>
        </w:tc>
        <w:tc>
          <w:tcPr>
            <w:tcW w:type="dxa" w:w="6066"/>
          </w:tcPr>
          <w:p>
            <w:pPr>
              <w:spacing w:after="80" w:before="60" w:line="247" w:lineRule="auto"/>
            </w:pPr>
            <w:r>
              <w:rPr>
                <w:b w:val="0"/>
                <w:color w:val="000000"/>
                <w:sz w:val="18"/>
              </w:rPr>
              <w:t>Áreas, puestos y equipos</w:t>
            </w:r>
          </w:p>
        </w:tc>
        <w:tc>
          <w:tcPr>
            <w:tcW w:type="dxa" w:w="1020"/>
          </w:tcPr>
          <w:p>
            <w:pPr>
              <w:spacing w:after="80" w:before="60" w:line="247" w:lineRule="auto"/>
            </w:pPr>
            <w:r>
              <w:rPr>
                <w:b w:val="0"/>
                <w:color w:val="000000"/>
                <w:sz w:val="18"/>
              </w:rPr>
              <w:t>8</w:t>
            </w:r>
          </w:p>
        </w:tc>
      </w:tr>
      <w:tr>
        <w:trPr>
          <w:cantSplit/>
        </w:trPr>
        <w:tc>
          <w:tcPr>
            <w:tcW w:type="dxa" w:w="2438"/>
          </w:tcPr>
          <w:p>
            <w:pPr>
              <w:spacing w:after="80" w:before="60" w:line="247" w:lineRule="auto"/>
            </w:pPr>
            <w:r>
              <w:rPr>
                <w:b w:val="0"/>
                <w:color w:val="000000"/>
                <w:sz w:val="18"/>
              </w:rPr>
              <w:t>Incorporación</w:t>
            </w:r>
          </w:p>
        </w:tc>
        <w:tc>
          <w:tcPr>
            <w:tcW w:type="dxa" w:w="6066"/>
          </w:tcPr>
          <w:p>
            <w:pPr>
              <w:spacing w:after="80" w:before="60" w:line="247" w:lineRule="auto"/>
            </w:pPr>
            <w:r>
              <w:rPr>
                <w:b w:val="0"/>
                <w:color w:val="000000"/>
                <w:sz w:val="18"/>
              </w:rPr>
              <w:t>Planes, documentos y evaluaciones</w:t>
            </w:r>
          </w:p>
        </w:tc>
        <w:tc>
          <w:tcPr>
            <w:tcW w:type="dxa" w:w="1020"/>
          </w:tcPr>
          <w:p>
            <w:pPr>
              <w:spacing w:after="80" w:before="60" w:line="247" w:lineRule="auto"/>
            </w:pPr>
            <w:r>
              <w:rPr>
                <w:b w:val="0"/>
                <w:color w:val="000000"/>
                <w:sz w:val="18"/>
              </w:rPr>
              <w:t>9</w:t>
            </w:r>
          </w:p>
        </w:tc>
      </w:tr>
      <w:tr>
        <w:trPr>
          <w:cantSplit/>
        </w:trPr>
        <w:tc>
          <w:tcPr>
            <w:tcW w:type="dxa" w:w="2438"/>
          </w:tcPr>
          <w:p>
            <w:pPr>
              <w:spacing w:after="80" w:before="60" w:line="247" w:lineRule="auto"/>
            </w:pPr>
            <w:r>
              <w:rPr>
                <w:b w:val="0"/>
                <w:color w:val="000000"/>
                <w:sz w:val="18"/>
              </w:rPr>
              <w:t>Capacitación</w:t>
            </w:r>
          </w:p>
        </w:tc>
        <w:tc>
          <w:tcPr>
            <w:tcW w:type="dxa" w:w="6066"/>
          </w:tcPr>
          <w:p>
            <w:pPr>
              <w:spacing w:after="80" w:before="60" w:line="247" w:lineRule="auto"/>
            </w:pPr>
            <w:r>
              <w:rPr>
                <w:b w:val="0"/>
                <w:color w:val="000000"/>
                <w:sz w:val="18"/>
              </w:rPr>
              <w:t>Cursos, avances y revisión</w:t>
            </w:r>
          </w:p>
        </w:tc>
        <w:tc>
          <w:tcPr>
            <w:tcW w:type="dxa" w:w="1020"/>
          </w:tcPr>
          <w:p>
            <w:pPr>
              <w:spacing w:after="80" w:before="60" w:line="247" w:lineRule="auto"/>
            </w:pPr>
            <w:r>
              <w:rPr>
                <w:b w:val="0"/>
                <w:color w:val="000000"/>
                <w:sz w:val="18"/>
              </w:rPr>
              <w:t>10</w:t>
            </w:r>
          </w:p>
        </w:tc>
      </w:tr>
      <w:tr>
        <w:trPr>
          <w:cantSplit/>
        </w:trPr>
        <w:tc>
          <w:tcPr>
            <w:tcW w:type="dxa" w:w="2438"/>
          </w:tcPr>
          <w:p>
            <w:pPr>
              <w:spacing w:after="80" w:before="60" w:line="247" w:lineRule="auto"/>
            </w:pPr>
            <w:r>
              <w:rPr>
                <w:b w:val="0"/>
                <w:color w:val="000000"/>
                <w:sz w:val="18"/>
              </w:rPr>
              <w:t>Tareas</w:t>
            </w:r>
          </w:p>
        </w:tc>
        <w:tc>
          <w:tcPr>
            <w:tcW w:type="dxa" w:w="6066"/>
          </w:tcPr>
          <w:p>
            <w:pPr>
              <w:spacing w:after="80" w:before="60" w:line="247" w:lineRule="auto"/>
            </w:pPr>
            <w:r>
              <w:rPr>
                <w:b w:val="0"/>
                <w:color w:val="000000"/>
                <w:sz w:val="18"/>
              </w:rPr>
              <w:t>Evidencias, calendario y conversación</w:t>
            </w:r>
          </w:p>
        </w:tc>
        <w:tc>
          <w:tcPr>
            <w:tcW w:type="dxa" w:w="1020"/>
          </w:tcPr>
          <w:p>
            <w:pPr>
              <w:spacing w:after="80" w:before="60" w:line="247" w:lineRule="auto"/>
            </w:pPr>
            <w:r>
              <w:rPr>
                <w:b w:val="0"/>
                <w:color w:val="000000"/>
                <w:sz w:val="18"/>
              </w:rPr>
              <w:t>11</w:t>
            </w:r>
          </w:p>
        </w:tc>
      </w:tr>
      <w:tr>
        <w:trPr>
          <w:cantSplit/>
        </w:trPr>
        <w:tc>
          <w:tcPr>
            <w:tcW w:type="dxa" w:w="2438"/>
          </w:tcPr>
          <w:p>
            <w:pPr>
              <w:spacing w:after="80" w:before="60" w:line="247" w:lineRule="auto"/>
            </w:pPr>
            <w:r>
              <w:rPr>
                <w:b w:val="0"/>
                <w:color w:val="000000"/>
                <w:sz w:val="18"/>
              </w:rPr>
              <w:t>Inteligencia artificial</w:t>
            </w:r>
          </w:p>
        </w:tc>
        <w:tc>
          <w:tcPr>
            <w:tcW w:type="dxa" w:w="6066"/>
          </w:tcPr>
          <w:p>
            <w:pPr>
              <w:spacing w:after="80" w:before="60" w:line="247" w:lineRule="auto"/>
            </w:pPr>
            <w:r>
              <w:rPr>
                <w:b w:val="0"/>
                <w:color w:val="000000"/>
                <w:sz w:val="18"/>
              </w:rPr>
              <w:t>Orquestación y proveedores</w:t>
            </w:r>
          </w:p>
        </w:tc>
        <w:tc>
          <w:tcPr>
            <w:tcW w:type="dxa" w:w="1020"/>
          </w:tcPr>
          <w:p>
            <w:pPr>
              <w:spacing w:after="80" w:before="60" w:line="247" w:lineRule="auto"/>
            </w:pPr>
            <w:r>
              <w:rPr>
                <w:b w:val="0"/>
                <w:color w:val="000000"/>
                <w:sz w:val="18"/>
              </w:rPr>
              <w:t>12</w:t>
            </w:r>
          </w:p>
        </w:tc>
      </w:tr>
      <w:tr>
        <w:trPr>
          <w:cantSplit/>
        </w:trPr>
        <w:tc>
          <w:tcPr>
            <w:tcW w:type="dxa" w:w="2438"/>
          </w:tcPr>
          <w:p>
            <w:pPr>
              <w:spacing w:after="80" w:before="60" w:line="247" w:lineRule="auto"/>
            </w:pPr>
            <w:r>
              <w:rPr>
                <w:b w:val="0"/>
                <w:color w:val="000000"/>
                <w:sz w:val="18"/>
              </w:rPr>
              <w:t>Archivos y visión</w:t>
            </w:r>
          </w:p>
        </w:tc>
        <w:tc>
          <w:tcPr>
            <w:tcW w:type="dxa" w:w="6066"/>
          </w:tcPr>
          <w:p>
            <w:pPr>
              <w:spacing w:after="80" w:before="60" w:line="247" w:lineRule="auto"/>
            </w:pPr>
            <w:r>
              <w:rPr>
                <w:b w:val="0"/>
                <w:color w:val="000000"/>
                <w:sz w:val="18"/>
              </w:rPr>
              <w:t>PDF, imágenes y límites</w:t>
            </w:r>
          </w:p>
        </w:tc>
        <w:tc>
          <w:tcPr>
            <w:tcW w:type="dxa" w:w="1020"/>
          </w:tcPr>
          <w:p>
            <w:pPr>
              <w:spacing w:after="80" w:before="60" w:line="247" w:lineRule="auto"/>
            </w:pPr>
            <w:r>
              <w:rPr>
                <w:b w:val="0"/>
                <w:color w:val="000000"/>
                <w:sz w:val="18"/>
              </w:rPr>
              <w:t>13</w:t>
            </w:r>
          </w:p>
        </w:tc>
      </w:tr>
      <w:tr>
        <w:trPr>
          <w:cantSplit/>
        </w:trPr>
        <w:tc>
          <w:tcPr>
            <w:tcW w:type="dxa" w:w="2438"/>
          </w:tcPr>
          <w:p>
            <w:pPr>
              <w:spacing w:after="80" w:before="60" w:line="247" w:lineRule="auto"/>
            </w:pPr>
            <w:r>
              <w:rPr>
                <w:b w:val="0"/>
                <w:color w:val="000000"/>
                <w:sz w:val="18"/>
              </w:rPr>
              <w:t>Indicadores</w:t>
            </w:r>
          </w:p>
        </w:tc>
        <w:tc>
          <w:tcPr>
            <w:tcW w:type="dxa" w:w="6066"/>
          </w:tcPr>
          <w:p>
            <w:pPr>
              <w:spacing w:after="80" w:before="60" w:line="247" w:lineRule="auto"/>
            </w:pPr>
            <w:r>
              <w:rPr>
                <w:b w:val="0"/>
                <w:color w:val="000000"/>
                <w:sz w:val="18"/>
              </w:rPr>
              <w:t>Desempeño y analíticas</w:t>
            </w:r>
          </w:p>
        </w:tc>
        <w:tc>
          <w:tcPr>
            <w:tcW w:type="dxa" w:w="1020"/>
          </w:tcPr>
          <w:p>
            <w:pPr>
              <w:spacing w:after="80" w:before="60" w:line="247" w:lineRule="auto"/>
            </w:pPr>
            <w:r>
              <w:rPr>
                <w:b w:val="0"/>
                <w:color w:val="000000"/>
                <w:sz w:val="18"/>
              </w:rPr>
              <w:t>14</w:t>
            </w:r>
          </w:p>
        </w:tc>
      </w:tr>
      <w:tr>
        <w:trPr>
          <w:cantSplit/>
        </w:trPr>
        <w:tc>
          <w:tcPr>
            <w:tcW w:type="dxa" w:w="2438"/>
          </w:tcPr>
          <w:p>
            <w:pPr>
              <w:spacing w:after="80" w:before="60" w:line="247" w:lineRule="auto"/>
            </w:pPr>
            <w:r>
              <w:rPr>
                <w:b w:val="0"/>
                <w:color w:val="000000"/>
                <w:sz w:val="18"/>
              </w:rPr>
              <w:t>Ambiente laboral</w:t>
            </w:r>
          </w:p>
        </w:tc>
        <w:tc>
          <w:tcPr>
            <w:tcW w:type="dxa" w:w="6066"/>
          </w:tcPr>
          <w:p>
            <w:pPr>
              <w:spacing w:after="80" w:before="60" w:line="247" w:lineRule="auto"/>
            </w:pPr>
            <w:r>
              <w:rPr>
                <w:b w:val="0"/>
                <w:color w:val="000000"/>
                <w:sz w:val="18"/>
              </w:rPr>
              <w:t>Encuestas y anonimato</w:t>
            </w:r>
          </w:p>
        </w:tc>
        <w:tc>
          <w:tcPr>
            <w:tcW w:type="dxa" w:w="1020"/>
          </w:tcPr>
          <w:p>
            <w:pPr>
              <w:spacing w:after="80" w:before="60" w:line="247" w:lineRule="auto"/>
            </w:pPr>
            <w:r>
              <w:rPr>
                <w:b w:val="0"/>
                <w:color w:val="000000"/>
                <w:sz w:val="18"/>
              </w:rPr>
              <w:t>15</w:t>
            </w:r>
          </w:p>
        </w:tc>
      </w:tr>
      <w:tr>
        <w:trPr>
          <w:cantSplit/>
        </w:trPr>
        <w:tc>
          <w:tcPr>
            <w:tcW w:type="dxa" w:w="2438"/>
          </w:tcPr>
          <w:p>
            <w:pPr>
              <w:spacing w:after="80" w:before="60" w:line="247" w:lineRule="auto"/>
            </w:pPr>
            <w:r>
              <w:rPr>
                <w:b w:val="0"/>
                <w:color w:val="000000"/>
                <w:sz w:val="18"/>
              </w:rPr>
              <w:t>Seguridad y auditoría</w:t>
            </w:r>
          </w:p>
        </w:tc>
        <w:tc>
          <w:tcPr>
            <w:tcW w:type="dxa" w:w="6066"/>
          </w:tcPr>
          <w:p>
            <w:pPr>
              <w:spacing w:after="80" w:before="60" w:line="247" w:lineRule="auto"/>
            </w:pPr>
            <w:r>
              <w:rPr>
                <w:b w:val="0"/>
                <w:color w:val="000000"/>
                <w:sz w:val="18"/>
              </w:rPr>
              <w:t>Controles y trazabilidad</w:t>
            </w:r>
          </w:p>
        </w:tc>
        <w:tc>
          <w:tcPr>
            <w:tcW w:type="dxa" w:w="1020"/>
          </w:tcPr>
          <w:p>
            <w:pPr>
              <w:spacing w:after="80" w:before="60" w:line="247" w:lineRule="auto"/>
            </w:pPr>
            <w:r>
              <w:rPr>
                <w:b w:val="0"/>
                <w:color w:val="000000"/>
                <w:sz w:val="18"/>
              </w:rPr>
              <w:t>16</w:t>
            </w:r>
          </w:p>
        </w:tc>
      </w:tr>
      <w:tr>
        <w:trPr>
          <w:cantSplit/>
        </w:trPr>
        <w:tc>
          <w:tcPr>
            <w:tcW w:type="dxa" w:w="2438"/>
          </w:tcPr>
          <w:p>
            <w:pPr>
              <w:spacing w:after="80" w:before="60" w:line="247" w:lineRule="auto"/>
            </w:pPr>
            <w:r>
              <w:rPr>
                <w:b w:val="0"/>
                <w:color w:val="000000"/>
                <w:sz w:val="18"/>
              </w:rPr>
              <w:t>Contratos HTTP</w:t>
            </w:r>
          </w:p>
        </w:tc>
        <w:tc>
          <w:tcPr>
            <w:tcW w:type="dxa" w:w="6066"/>
          </w:tcPr>
          <w:p>
            <w:pPr>
              <w:spacing w:after="80" w:before="60" w:line="247" w:lineRule="auto"/>
            </w:pPr>
            <w:r>
              <w:rPr>
                <w:b w:val="0"/>
                <w:color w:val="000000"/>
                <w:sz w:val="18"/>
              </w:rPr>
              <w:t>API y errores</w:t>
            </w:r>
          </w:p>
        </w:tc>
        <w:tc>
          <w:tcPr>
            <w:tcW w:type="dxa" w:w="1020"/>
          </w:tcPr>
          <w:p>
            <w:pPr>
              <w:spacing w:after="80" w:before="60" w:line="247" w:lineRule="auto"/>
            </w:pPr>
            <w:r>
              <w:rPr>
                <w:b w:val="0"/>
                <w:color w:val="000000"/>
                <w:sz w:val="18"/>
              </w:rPr>
              <w:t>17</w:t>
            </w:r>
          </w:p>
        </w:tc>
      </w:tr>
      <w:tr>
        <w:trPr>
          <w:cantSplit/>
        </w:trPr>
        <w:tc>
          <w:tcPr>
            <w:tcW w:type="dxa" w:w="2438"/>
          </w:tcPr>
          <w:p>
            <w:pPr>
              <w:spacing w:after="80" w:before="60" w:line="247" w:lineRule="auto"/>
            </w:pPr>
            <w:r>
              <w:rPr>
                <w:b w:val="0"/>
                <w:color w:val="000000"/>
                <w:sz w:val="18"/>
              </w:rPr>
              <w:t>Ejecución local</w:t>
            </w:r>
          </w:p>
        </w:tc>
        <w:tc>
          <w:tcPr>
            <w:tcW w:type="dxa" w:w="6066"/>
          </w:tcPr>
          <w:p>
            <w:pPr>
              <w:spacing w:after="80" w:before="60" w:line="247" w:lineRule="auto"/>
            </w:pPr>
            <w:r>
              <w:rPr>
                <w:b w:val="0"/>
                <w:color w:val="000000"/>
                <w:sz w:val="18"/>
              </w:rPr>
              <w:t>Configuración y arranque</w:t>
            </w:r>
          </w:p>
        </w:tc>
        <w:tc>
          <w:tcPr>
            <w:tcW w:type="dxa" w:w="1020"/>
          </w:tcPr>
          <w:p>
            <w:pPr>
              <w:spacing w:after="80" w:before="60" w:line="247" w:lineRule="auto"/>
            </w:pPr>
            <w:r>
              <w:rPr>
                <w:b w:val="0"/>
                <w:color w:val="000000"/>
                <w:sz w:val="18"/>
              </w:rPr>
              <w:t>18</w:t>
            </w:r>
          </w:p>
        </w:tc>
      </w:tr>
      <w:tr>
        <w:trPr>
          <w:cantSplit/>
        </w:trPr>
        <w:tc>
          <w:tcPr>
            <w:tcW w:type="dxa" w:w="2438"/>
          </w:tcPr>
          <w:p>
            <w:pPr>
              <w:spacing w:after="80" w:before="60" w:line="247" w:lineRule="auto"/>
            </w:pPr>
            <w:r>
              <w:rPr>
                <w:b w:val="0"/>
                <w:color w:val="000000"/>
                <w:sz w:val="18"/>
              </w:rPr>
              <w:t>Migraciones</w:t>
            </w:r>
          </w:p>
        </w:tc>
        <w:tc>
          <w:tcPr>
            <w:tcW w:type="dxa" w:w="6066"/>
          </w:tcPr>
          <w:p>
            <w:pPr>
              <w:spacing w:after="80" w:before="60" w:line="247" w:lineRule="auto"/>
            </w:pPr>
            <w:r>
              <w:rPr>
                <w:b w:val="0"/>
                <w:color w:val="000000"/>
                <w:sz w:val="18"/>
              </w:rPr>
              <w:t>Actualización del esquema</w:t>
            </w:r>
          </w:p>
        </w:tc>
        <w:tc>
          <w:tcPr>
            <w:tcW w:type="dxa" w:w="1020"/>
          </w:tcPr>
          <w:p>
            <w:pPr>
              <w:spacing w:after="80" w:before="60" w:line="247" w:lineRule="auto"/>
            </w:pPr>
            <w:r>
              <w:rPr>
                <w:b w:val="0"/>
                <w:color w:val="000000"/>
                <w:sz w:val="18"/>
              </w:rPr>
              <w:t>19</w:t>
            </w:r>
          </w:p>
        </w:tc>
      </w:tr>
      <w:tr>
        <w:trPr>
          <w:cantSplit/>
        </w:trPr>
        <w:tc>
          <w:tcPr>
            <w:tcW w:type="dxa" w:w="2438"/>
          </w:tcPr>
          <w:p>
            <w:pPr>
              <w:spacing w:after="80" w:before="60" w:line="247" w:lineRule="auto"/>
            </w:pPr>
            <w:r>
              <w:rPr>
                <w:b w:val="0"/>
                <w:color w:val="000000"/>
                <w:sz w:val="18"/>
              </w:rPr>
              <w:t>Pruebas y mantenimiento</w:t>
            </w:r>
          </w:p>
        </w:tc>
        <w:tc>
          <w:tcPr>
            <w:tcW w:type="dxa" w:w="6066"/>
          </w:tcPr>
          <w:p>
            <w:pPr>
              <w:spacing w:after="80" w:before="60" w:line="247" w:lineRule="auto"/>
            </w:pPr>
            <w:r>
              <w:rPr>
                <w:b w:val="0"/>
                <w:color w:val="000000"/>
                <w:sz w:val="18"/>
              </w:rPr>
              <w:t>Verificación y límites</w:t>
            </w:r>
          </w:p>
        </w:tc>
        <w:tc>
          <w:tcPr>
            <w:tcW w:type="dxa" w:w="1020"/>
          </w:tcPr>
          <w:p>
            <w:pPr>
              <w:spacing w:after="80" w:before="60" w:line="247" w:lineRule="auto"/>
            </w:pPr>
            <w:r>
              <w:rPr>
                <w:b w:val="0"/>
                <w:color w:val="000000"/>
                <w:sz w:val="18"/>
              </w:rPr>
              <w:t>20</w:t>
            </w:r>
          </w:p>
        </w:tc>
      </w:tr>
    </w:tbl>
    <w:p/>
    <w:p>
      <w:pPr>
        <w:pStyle w:val="Heading2"/>
      </w:pPr>
      <w:r>
        <w:t>Convenciones</w:t>
      </w:r>
    </w:p>
    <w:p>
      <w:r>
        <w:t>Los nombres como task.save, RH_ADMIN o onboarding_items son identificadores internos. Se conservan para localizar el código. La interfaz utiliza etiquetas en español; cambiar el texto visible no implica renombrar tablas, estados ni contratos.</w:t>
      </w:r>
    </w:p>
    <w:p>
      <w:r>
        <w:t>RLS significa seguridad por fila. RPC es la invocación de una función de PostgreSQL a través de Supabase. Un UUID identifica un registro, pero conocerlo nunca debe conceder permiso para consultarlo o modificarlo.</w:t>
      </w:r>
    </w:p>
    <w:p>
      <w:r>
        <w:br w:type="page"/>
      </w:r>
    </w:p>
    <w:p>
      <w:pPr>
        <w:pStyle w:val="Heading1"/>
      </w:pPr>
      <w:r>
        <w:t>Arquitectura del sistema</w:t>
      </w:r>
    </w:p>
    <w:p>
      <w:r>
        <w:t>La implementación es una aplicación monolítica modular: la interfaz y las API viven en el mismo proyecto Next.js. PostgreSQL concentra las reglas transaccionales. No existen microservicios de negocio independientes; Supabase y el proveedor de IA son las dependencias principales.</w:t>
      </w:r>
    </w:p>
    <w:p>
      <w:r>
        <w:drawing>
          <wp:inline xmlns:a="http://schemas.openxmlformats.org/drawingml/2006/main" xmlns:pic="http://schemas.openxmlformats.org/drawingml/2006/picture">
            <wp:extent cx="5940000" cy="2166353"/>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940000" cy="2166353"/>
                    </a:xfrm>
                    <a:prstGeom prst="rect"/>
                  </pic:spPr>
                </pic:pic>
              </a:graphicData>
            </a:graphic>
          </wp:inline>
        </w:drawing>
      </w:r>
    </w:p>
    <w:p>
      <w:r>
        <w:t>Figura 1. El servidor conecta la sesión con los datos autorizados y con el proveedor de IA. El modelo no accede directamente a la base de datos.</w:t>
      </w:r>
    </w:p>
    <w:tbl>
      <w:tblPr>
        <w:tblStyle w:val="TableGrid"/>
        <w:tblW w:type="auto" w:w="0"/>
        <w:tblLayout w:type="fixed"/>
        <w:tblLook w:firstColumn="1" w:firstRow="1" w:lastColumn="0" w:lastRow="0" w:noHBand="0" w:noVBand="1" w:val="04A0"/>
      </w:tblPr>
      <w:tblGrid>
        <w:gridCol w:w="3402"/>
        <w:gridCol w:w="6123"/>
      </w:tblGrid>
      <w:tr>
        <w:trPr>
          <w:cantSplit/>
          <w:tblHeader/>
        </w:trPr>
        <w:tc>
          <w:tcPr>
            <w:tcW w:type="dxa" w:w="3402"/>
            <w:shd w:fill="E8ECEF"/>
          </w:tcPr>
          <w:p>
            <w:pPr>
              <w:spacing w:after="80" w:before="60" w:line="247" w:lineRule="auto"/>
            </w:pPr>
            <w:r>
              <w:rPr>
                <w:b/>
                <w:color w:val="000000"/>
                <w:sz w:val="18"/>
              </w:rPr>
              <w:t>Componente</w:t>
            </w:r>
          </w:p>
        </w:tc>
        <w:tc>
          <w:tcPr>
            <w:tcW w:type="dxa" w:w="6123"/>
            <w:shd w:fill="E8ECEF"/>
          </w:tcPr>
          <w:p>
            <w:pPr>
              <w:spacing w:after="80" w:before="60" w:line="247" w:lineRule="auto"/>
            </w:pPr>
            <w:r>
              <w:rPr>
                <w:b/>
                <w:color w:val="000000"/>
                <w:sz w:val="18"/>
              </w:rPr>
              <w:t>Uso en el proyecto</w:t>
            </w:r>
          </w:p>
        </w:tc>
      </w:tr>
      <w:tr>
        <w:trPr>
          <w:cantSplit/>
        </w:trPr>
        <w:tc>
          <w:tcPr>
            <w:tcW w:type="dxa" w:w="3402"/>
          </w:tcPr>
          <w:p>
            <w:pPr>
              <w:spacing w:after="80" w:before="60" w:line="247" w:lineRule="auto"/>
            </w:pPr>
            <w:r>
              <w:rPr>
                <w:b w:val="0"/>
                <w:color w:val="000000"/>
                <w:sz w:val="18"/>
              </w:rPr>
              <w:t>Next.js 16.3.5 y React 19.3.0</w:t>
            </w:r>
          </w:p>
        </w:tc>
        <w:tc>
          <w:tcPr>
            <w:tcW w:type="dxa" w:w="6123"/>
          </w:tcPr>
          <w:p>
            <w:pPr>
              <w:spacing w:after="80" w:before="60" w:line="247" w:lineRule="auto"/>
            </w:pPr>
            <w:r>
              <w:rPr>
                <w:b w:val="0"/>
                <w:color w:val="000000"/>
                <w:sz w:val="18"/>
              </w:rPr>
              <w:t>Páginas, componentes y handlers HTTP.</w:t>
            </w:r>
          </w:p>
        </w:tc>
      </w:tr>
      <w:tr>
        <w:trPr>
          <w:cantSplit/>
        </w:trPr>
        <w:tc>
          <w:tcPr>
            <w:tcW w:type="dxa" w:w="3402"/>
          </w:tcPr>
          <w:p>
            <w:pPr>
              <w:spacing w:after="80" w:before="60" w:line="247" w:lineRule="auto"/>
            </w:pPr>
            <w:r>
              <w:rPr>
                <w:b w:val="0"/>
                <w:color w:val="000000"/>
                <w:sz w:val="18"/>
              </w:rPr>
              <w:t>TypeScript 6 y Zod 4</w:t>
            </w:r>
          </w:p>
        </w:tc>
        <w:tc>
          <w:tcPr>
            <w:tcW w:type="dxa" w:w="6123"/>
          </w:tcPr>
          <w:p>
            <w:pPr>
              <w:spacing w:after="80" w:before="60" w:line="247" w:lineRule="auto"/>
            </w:pPr>
            <w:r>
              <w:rPr>
                <w:b w:val="0"/>
                <w:color w:val="000000"/>
                <w:sz w:val="18"/>
              </w:rPr>
              <w:t>Tipos de desarrollo y validación en ejecución.</w:t>
            </w:r>
          </w:p>
        </w:tc>
      </w:tr>
      <w:tr>
        <w:trPr>
          <w:cantSplit/>
        </w:trPr>
        <w:tc>
          <w:tcPr>
            <w:tcW w:type="dxa" w:w="3402"/>
          </w:tcPr>
          <w:p>
            <w:pPr>
              <w:spacing w:after="80" w:before="60" w:line="247" w:lineRule="auto"/>
            </w:pPr>
            <w:r>
              <w:rPr>
                <w:b w:val="0"/>
                <w:color w:val="000000"/>
                <w:sz w:val="18"/>
              </w:rPr>
              <w:t>Supabase Auth y PostgreSQL</w:t>
            </w:r>
          </w:p>
        </w:tc>
        <w:tc>
          <w:tcPr>
            <w:tcW w:type="dxa" w:w="6123"/>
          </w:tcPr>
          <w:p>
            <w:pPr>
              <w:spacing w:after="80" w:before="60" w:line="247" w:lineRule="auto"/>
            </w:pPr>
            <w:r>
              <w:rPr>
                <w:b w:val="0"/>
                <w:color w:val="000000"/>
                <w:sz w:val="18"/>
              </w:rPr>
              <w:t>Identidad, persistencia, funciones SQL, RLS y transacciones.</w:t>
            </w:r>
          </w:p>
        </w:tc>
      </w:tr>
      <w:tr>
        <w:trPr>
          <w:cantSplit/>
        </w:trPr>
        <w:tc>
          <w:tcPr>
            <w:tcW w:type="dxa" w:w="3402"/>
          </w:tcPr>
          <w:p>
            <w:pPr>
              <w:spacing w:after="80" w:before="60" w:line="247" w:lineRule="auto"/>
            </w:pPr>
            <w:r>
              <w:rPr>
                <w:b w:val="0"/>
                <w:color w:val="000000"/>
                <w:sz w:val="18"/>
              </w:rPr>
              <w:t>Supabase Storage</w:t>
            </w:r>
          </w:p>
        </w:tc>
        <w:tc>
          <w:tcPr>
            <w:tcW w:type="dxa" w:w="6123"/>
          </w:tcPr>
          <w:p>
            <w:pPr>
              <w:spacing w:after="80" w:before="60" w:line="247" w:lineRule="auto"/>
            </w:pPr>
            <w:r>
              <w:rPr>
                <w:b w:val="0"/>
                <w:color w:val="000000"/>
                <w:sz w:val="18"/>
              </w:rPr>
              <w:t>Archivos privados y descargas temporales.</w:t>
            </w:r>
          </w:p>
        </w:tc>
      </w:tr>
      <w:tr>
        <w:trPr>
          <w:cantSplit/>
        </w:trPr>
        <w:tc>
          <w:tcPr>
            <w:tcW w:type="dxa" w:w="3402"/>
          </w:tcPr>
          <w:p>
            <w:pPr>
              <w:spacing w:after="80" w:before="60" w:line="247" w:lineRule="auto"/>
            </w:pPr>
            <w:r>
              <w:rPr>
                <w:b w:val="0"/>
                <w:color w:val="000000"/>
                <w:sz w:val="18"/>
              </w:rPr>
              <w:t>Ollama o Gemini</w:t>
            </w:r>
          </w:p>
        </w:tc>
        <w:tc>
          <w:tcPr>
            <w:tcW w:type="dxa" w:w="6123"/>
          </w:tcPr>
          <w:p>
            <w:pPr>
              <w:spacing w:after="80" w:before="60" w:line="247" w:lineRule="auto"/>
            </w:pPr>
            <w:r>
              <w:rPr>
                <w:b w:val="0"/>
                <w:color w:val="000000"/>
                <w:sz w:val="18"/>
              </w:rPr>
              <w:t>Generación estructurada y análisis autorizado.</w:t>
            </w:r>
          </w:p>
        </w:tc>
      </w:tr>
      <w:tr>
        <w:trPr>
          <w:cantSplit/>
        </w:trPr>
        <w:tc>
          <w:tcPr>
            <w:tcW w:type="dxa" w:w="3402"/>
          </w:tcPr>
          <w:p>
            <w:pPr>
              <w:spacing w:after="80" w:before="60" w:line="247" w:lineRule="auto"/>
            </w:pPr>
            <w:r>
              <w:rPr>
                <w:b w:val="0"/>
                <w:color w:val="000000"/>
                <w:sz w:val="18"/>
              </w:rPr>
              <w:t>Vitest, PGlite y Playwright</w:t>
            </w:r>
          </w:p>
        </w:tc>
        <w:tc>
          <w:tcPr>
            <w:tcW w:type="dxa" w:w="6123"/>
          </w:tcPr>
          <w:p>
            <w:pPr>
              <w:spacing w:after="80" w:before="60" w:line="247" w:lineRule="auto"/>
            </w:pPr>
            <w:r>
              <w:rPr>
                <w:b w:val="0"/>
                <w:color w:val="000000"/>
                <w:sz w:val="18"/>
              </w:rPr>
              <w:t>Pruebas unitarias, SQL y navegación.</w:t>
            </w:r>
          </w:p>
        </w:tc>
      </w:tr>
    </w:tbl>
    <w:p/>
    <w:p>
      <w:pPr>
        <w:pStyle w:val="Heading2"/>
      </w:pPr>
      <w:r>
        <w:t>Cómo se procesa una operación</w:t>
      </w:r>
    </w:p>
    <w:p>
      <w:r>
        <w:t>Un formulario envía una petición a la API. El servidor comprueba origen, sesión activa y estructura. El cliente de Supabase de esa sesión llama a una función SQL; la función vuelve a comprobar rol, relación con el recurso y transición de estado antes de escribir. La respuesta actualiza la interfaz.</w:t>
      </w:r>
    </w:p>
    <w:p>
      <w:r>
        <w:t>Las lecturas se filtran con RLS y se restringen nuevamente en scopeData cuando corresponde. Los filtros de pantalla seleccionan parte de esos datos: no amplían permisos. La IA parte del contexto que ya pasó esos controles.</w:t>
      </w:r>
    </w:p>
    <w:p>
      <w:r>
        <w:rPr>
          <w:i/>
          <w:sz w:val="16"/>
        </w:rPr>
        <w:t>Referencia en el repositorio: src/app/api; src/lib/auth; src/lib/supabase/server.ts; supabase/migrations; package.json.</w:t>
      </w:r>
    </w:p>
    <w:p>
      <w:r>
        <w:br w:type="page"/>
      </w:r>
    </w:p>
    <w:p>
      <w:pPr>
        <w:pStyle w:val="Heading1"/>
      </w:pPr>
      <w:r>
        <w:t>Organización del código y la interfaz</w:t>
      </w:r>
    </w:p>
    <w:tbl>
      <w:tblPr>
        <w:tblStyle w:val="TableGrid"/>
        <w:tblW w:type="auto" w:w="0"/>
        <w:tblLayout w:type="fixed"/>
        <w:tblLook w:firstColumn="1" w:firstRow="1" w:lastColumn="0" w:lastRow="0" w:noHBand="0" w:noVBand="1" w:val="04A0"/>
      </w:tblPr>
      <w:tblGrid>
        <w:gridCol w:w="4365"/>
        <w:gridCol w:w="5159"/>
      </w:tblGrid>
      <w:tr>
        <w:trPr>
          <w:cantSplit/>
          <w:tblHeader/>
        </w:trPr>
        <w:tc>
          <w:tcPr>
            <w:tcW w:type="dxa" w:w="4365"/>
            <w:shd w:fill="E8ECEF"/>
          </w:tcPr>
          <w:p>
            <w:pPr>
              <w:spacing w:after="80" w:before="60" w:line="247" w:lineRule="auto"/>
            </w:pPr>
            <w:r>
              <w:rPr>
                <w:b/>
                <w:color w:val="000000"/>
                <w:sz w:val="18"/>
              </w:rPr>
              <w:t>Ruta</w:t>
            </w:r>
          </w:p>
        </w:tc>
        <w:tc>
          <w:tcPr>
            <w:tcW w:type="dxa" w:w="5159"/>
            <w:shd w:fill="E8ECEF"/>
          </w:tcPr>
          <w:p>
            <w:pPr>
              <w:spacing w:after="80" w:before="60" w:line="247" w:lineRule="auto"/>
            </w:pPr>
            <w:r>
              <w:rPr>
                <w:b/>
                <w:color w:val="000000"/>
                <w:sz w:val="18"/>
              </w:rPr>
              <w:t>Responsabilidad</w:t>
            </w:r>
          </w:p>
        </w:tc>
      </w:tr>
      <w:tr>
        <w:trPr>
          <w:cantSplit/>
        </w:trPr>
        <w:tc>
          <w:tcPr>
            <w:tcW w:type="dxa" w:w="4365"/>
          </w:tcPr>
          <w:p>
            <w:pPr>
              <w:spacing w:after="80" w:before="60" w:line="247" w:lineRule="auto"/>
            </w:pPr>
            <w:r>
              <w:rPr>
                <w:b w:val="0"/>
                <w:color w:val="000000"/>
                <w:sz w:val="18"/>
              </w:rPr>
              <w:t>src/app/[[...path]]/page.tsx</w:t>
            </w:r>
          </w:p>
        </w:tc>
        <w:tc>
          <w:tcPr>
            <w:tcW w:type="dxa" w:w="5159"/>
          </w:tcPr>
          <w:p>
            <w:pPr>
              <w:spacing w:after="80" w:before="60" w:line="247" w:lineRule="auto"/>
            </w:pPr>
            <w:r>
              <w:rPr>
                <w:b w:val="0"/>
                <w:color w:val="000000"/>
                <w:sz w:val="18"/>
              </w:rPr>
              <w:t>Entrada dinámica a páginas públicas y espacios privados.</w:t>
            </w:r>
          </w:p>
        </w:tc>
      </w:tr>
      <w:tr>
        <w:trPr>
          <w:cantSplit/>
        </w:trPr>
        <w:tc>
          <w:tcPr>
            <w:tcW w:type="dxa" w:w="4365"/>
          </w:tcPr>
          <w:p>
            <w:pPr>
              <w:spacing w:after="80" w:before="60" w:line="247" w:lineRule="auto"/>
            </w:pPr>
            <w:r>
              <w:rPr>
                <w:b w:val="0"/>
                <w:color w:val="000000"/>
                <w:sz w:val="18"/>
              </w:rPr>
              <w:t>src/proxy.ts</w:t>
            </w:r>
          </w:p>
        </w:tc>
        <w:tc>
          <w:tcPr>
            <w:tcW w:type="dxa" w:w="5159"/>
          </w:tcPr>
          <w:p>
            <w:pPr>
              <w:spacing w:after="80" w:before="60" w:line="247" w:lineRule="auto"/>
            </w:pPr>
            <w:r>
              <w:rPr>
                <w:b w:val="0"/>
                <w:color w:val="000000"/>
                <w:sz w:val="18"/>
              </w:rPr>
              <w:t>Renovación de cookies y control de prefijos por rol.</w:t>
            </w:r>
          </w:p>
        </w:tc>
      </w:tr>
      <w:tr>
        <w:trPr>
          <w:cantSplit/>
        </w:trPr>
        <w:tc>
          <w:tcPr>
            <w:tcW w:type="dxa" w:w="4365"/>
          </w:tcPr>
          <w:p>
            <w:pPr>
              <w:spacing w:after="80" w:before="60" w:line="247" w:lineRule="auto"/>
            </w:pPr>
            <w:r>
              <w:rPr>
                <w:b w:val="0"/>
                <w:color w:val="000000"/>
                <w:sz w:val="18"/>
              </w:rPr>
              <w:t>src/components</w:t>
            </w:r>
          </w:p>
        </w:tc>
        <w:tc>
          <w:tcPr>
            <w:tcW w:type="dxa" w:w="5159"/>
          </w:tcPr>
          <w:p>
            <w:pPr>
              <w:spacing w:after="80" w:before="60" w:line="247" w:lineRule="auto"/>
            </w:pPr>
            <w:r>
              <w:rPr>
                <w:b w:val="0"/>
                <w:color w:val="000000"/>
                <w:sz w:val="18"/>
              </w:rPr>
              <w:t>Workspace, formularios, calendarios y paneles.</w:t>
            </w:r>
          </w:p>
        </w:tc>
      </w:tr>
      <w:tr>
        <w:trPr>
          <w:cantSplit/>
        </w:trPr>
        <w:tc>
          <w:tcPr>
            <w:tcW w:type="dxa" w:w="4365"/>
          </w:tcPr>
          <w:p>
            <w:pPr>
              <w:spacing w:after="80" w:before="60" w:line="247" w:lineRule="auto"/>
            </w:pPr>
            <w:r>
              <w:rPr>
                <w:b w:val="0"/>
                <w:color w:val="000000"/>
                <w:sz w:val="18"/>
              </w:rPr>
              <w:t>src/modules/workspace</w:t>
            </w:r>
          </w:p>
        </w:tc>
        <w:tc>
          <w:tcPr>
            <w:tcW w:type="dxa" w:w="5159"/>
          </w:tcPr>
          <w:p>
            <w:pPr>
              <w:spacing w:after="80" w:before="60" w:line="247" w:lineRule="auto"/>
            </w:pPr>
            <w:r>
              <w:rPr>
                <w:b w:val="0"/>
                <w:color w:val="000000"/>
                <w:sz w:val="18"/>
              </w:rPr>
              <w:t>Consultas, filtros, etiquetas, jerarquía y agregaciones.</w:t>
            </w:r>
          </w:p>
        </w:tc>
      </w:tr>
      <w:tr>
        <w:trPr>
          <w:cantSplit/>
        </w:trPr>
        <w:tc>
          <w:tcPr>
            <w:tcW w:type="dxa" w:w="4365"/>
          </w:tcPr>
          <w:p>
            <w:pPr>
              <w:spacing w:after="80" w:before="60" w:line="247" w:lineRule="auto"/>
            </w:pPr>
            <w:r>
              <w:rPr>
                <w:b w:val="0"/>
                <w:color w:val="000000"/>
                <w:sz w:val="18"/>
              </w:rPr>
              <w:t>src/modules/commands/schemas.ts</w:t>
            </w:r>
          </w:p>
        </w:tc>
        <w:tc>
          <w:tcPr>
            <w:tcW w:type="dxa" w:w="5159"/>
          </w:tcPr>
          <w:p>
            <w:pPr>
              <w:spacing w:after="80" w:before="60" w:line="247" w:lineRule="auto"/>
            </w:pPr>
            <w:r>
              <w:rPr>
                <w:b w:val="0"/>
                <w:color w:val="000000"/>
                <w:sz w:val="18"/>
              </w:rPr>
              <w:t>Contratos estrictos de comandos de negocio.</w:t>
            </w:r>
          </w:p>
        </w:tc>
      </w:tr>
      <w:tr>
        <w:trPr>
          <w:cantSplit/>
        </w:trPr>
        <w:tc>
          <w:tcPr>
            <w:tcW w:type="dxa" w:w="4365"/>
          </w:tcPr>
          <w:p>
            <w:pPr>
              <w:spacing w:after="80" w:before="60" w:line="247" w:lineRule="auto"/>
            </w:pPr>
            <w:r>
              <w:rPr>
                <w:b w:val="0"/>
                <w:color w:val="000000"/>
                <w:sz w:val="18"/>
              </w:rPr>
              <w:t>src/lib</w:t>
            </w:r>
          </w:p>
        </w:tc>
        <w:tc>
          <w:tcPr>
            <w:tcW w:type="dxa" w:w="5159"/>
          </w:tcPr>
          <w:p>
            <w:pPr>
              <w:spacing w:after="80" w:before="60" w:line="247" w:lineRule="auto"/>
            </w:pPr>
            <w:r>
              <w:rPr>
                <w:b w:val="0"/>
                <w:color w:val="000000"/>
                <w:sz w:val="18"/>
              </w:rPr>
              <w:t>Identidad, HTTP, archivos, IA y días hábiles.</w:t>
            </w:r>
          </w:p>
        </w:tc>
      </w:tr>
      <w:tr>
        <w:trPr>
          <w:cantSplit/>
        </w:trPr>
        <w:tc>
          <w:tcPr>
            <w:tcW w:type="dxa" w:w="4365"/>
          </w:tcPr>
          <w:p>
            <w:pPr>
              <w:spacing w:after="80" w:before="60" w:line="247" w:lineRule="auto"/>
            </w:pPr>
            <w:r>
              <w:rPr>
                <w:b w:val="0"/>
                <w:color w:val="000000"/>
                <w:sz w:val="18"/>
              </w:rPr>
              <w:t>supabase/migrations</w:t>
            </w:r>
          </w:p>
        </w:tc>
        <w:tc>
          <w:tcPr>
            <w:tcW w:type="dxa" w:w="5159"/>
          </w:tcPr>
          <w:p>
            <w:pPr>
              <w:spacing w:after="80" w:before="60" w:line="247" w:lineRule="auto"/>
            </w:pPr>
            <w:r>
              <w:rPr>
                <w:b w:val="0"/>
                <w:color w:val="000000"/>
                <w:sz w:val="18"/>
              </w:rPr>
              <w:t>Historia del esquema y las reglas SQL.</w:t>
            </w:r>
          </w:p>
        </w:tc>
      </w:tr>
      <w:tr>
        <w:trPr>
          <w:cantSplit/>
        </w:trPr>
        <w:tc>
          <w:tcPr>
            <w:tcW w:type="dxa" w:w="4365"/>
          </w:tcPr>
          <w:p>
            <w:pPr>
              <w:spacing w:after="80" w:before="60" w:line="247" w:lineRule="auto"/>
            </w:pPr>
            <w:r>
              <w:rPr>
                <w:b w:val="0"/>
                <w:color w:val="000000"/>
                <w:sz w:val="18"/>
              </w:rPr>
              <w:t>scripts, tests y e2e</w:t>
            </w:r>
          </w:p>
        </w:tc>
        <w:tc>
          <w:tcPr>
            <w:tcW w:type="dxa" w:w="5159"/>
          </w:tcPr>
          <w:p>
            <w:pPr>
              <w:spacing w:after="80" w:before="60" w:line="247" w:lineRule="auto"/>
            </w:pPr>
            <w:r>
              <w:rPr>
                <w:b w:val="0"/>
                <w:color w:val="000000"/>
                <w:sz w:val="18"/>
              </w:rPr>
              <w:t>Preparación y comprobaciones automatizadas.</w:t>
            </w:r>
          </w:p>
        </w:tc>
      </w:tr>
    </w:tbl>
    <w:p/>
    <w:p>
      <w:pPr>
        <w:pStyle w:val="Heading2"/>
      </w:pPr>
      <w:r>
        <w:t>Carga y presentación</w:t>
      </w:r>
    </w:p>
    <w:p>
      <w:r>
        <w:t>La página principal se renderiza dinámicamente y entrega a Workspace el perfil y un snapshot autorizado. Este snapshot consulta las tablas en paralelo y carga como máximo 1000 filas por tabla. La auditoría solo se solicita para SUPERUSER. Una consulta fallida produce un error de disponibilidad, en lugar de tratarla como un conjunto vacío válido.</w:t>
      </w:r>
    </w:p>
    <w:p>
      <w:r>
        <w:t>Los componentes cliente gestionan pestañas, selección múltiple y filtros. La navegación cambia según el rol. El buscador de módulos facilita encontrar una sección; los indicadores muestran pendientes o registros recientes según el módulo, no una confirmación universal de contenido sin leer.</w:t>
      </w:r>
    </w:p>
    <w:p>
      <w:pPr>
        <w:pStyle w:val="Heading2"/>
      </w:pPr>
      <w:r>
        <w:t>Estados y novedades</w:t>
      </w:r>
    </w:p>
    <w:p>
      <w:r>
        <w:t>labels.ts centraliza traducciones de estados. Los calendarios agrupan entrevistas por fecha y tareas por fecha límite; el calendario de tareas usa el color de la prioridad más alta del día. Los registros aprobados o contratados permanecen consultables en historiales.</w:t>
      </w:r>
    </w:p>
    <w:p>
      <w:r>
        <w:t>module-badge.tsx cuenta pendientes de postulaciones, tareas, cursos e incorporación, entrevistas agendadas y novedades recientes en ciertos catálogos. Ambiente laboral consulta sus asignaciones. Las conversaciones tienen un mecanismo específico de mensajes no leídos; esos contadores no son equivalentes a los pendientes operativos.</w:t>
      </w:r>
    </w:p>
    <w:p>
      <w:r>
        <w:rPr>
          <w:i/>
          <w:sz w:val="16"/>
        </w:rPr>
        <w:t>Referencia en el repositorio: src/components/workspace.tsx y module-badge.tsx; src/modules/workspace/queries.ts, labels.ts y module-filters.ts.</w:t>
      </w:r>
    </w:p>
    <w:p>
      <w:r>
        <w:br w:type="page"/>
      </w:r>
    </w:p>
    <w:p>
      <w:pPr>
        <w:pStyle w:val="Heading1"/>
      </w:pPr>
      <w:r>
        <w:t>Identidad roles y autorización</w:t>
      </w:r>
    </w:p>
    <w:p>
      <w:r>
        <w:t>Supabase Auth administra las cuentas. profiles almacena nombre, rol y acceso activo. El servidor usa getUser y consulta el perfil vigente; una sesión válida con perfil inactivo no puede operar. El registro público crea candidatos y no confía en un rol enviado por el navegador.</w:t>
      </w:r>
    </w:p>
    <w:tbl>
      <w:tblPr>
        <w:tblStyle w:val="TableGrid"/>
        <w:tblW w:type="auto" w:w="0"/>
        <w:tblLayout w:type="fixed"/>
        <w:tblLook w:firstColumn="1" w:firstRow="1" w:lastColumn="0" w:lastRow="0" w:noHBand="0" w:noVBand="1" w:val="04A0"/>
      </w:tblPr>
      <w:tblGrid>
        <w:gridCol w:w="3061"/>
        <w:gridCol w:w="6463"/>
      </w:tblGrid>
      <w:tr>
        <w:trPr>
          <w:cantSplit/>
          <w:tblHeader/>
        </w:trPr>
        <w:tc>
          <w:tcPr>
            <w:tcW w:type="dxa" w:w="3061"/>
            <w:shd w:fill="E8ECEF"/>
          </w:tcPr>
          <w:p>
            <w:pPr>
              <w:spacing w:after="80" w:before="60" w:line="247" w:lineRule="auto"/>
            </w:pPr>
            <w:r>
              <w:rPr>
                <w:b/>
                <w:color w:val="000000"/>
                <w:sz w:val="18"/>
              </w:rPr>
              <w:t>Rol y entrada</w:t>
            </w:r>
          </w:p>
        </w:tc>
        <w:tc>
          <w:tcPr>
            <w:tcW w:type="dxa" w:w="6463"/>
            <w:shd w:fill="E8ECEF"/>
          </w:tcPr>
          <w:p>
            <w:pPr>
              <w:spacing w:after="80" w:before="60" w:line="247" w:lineRule="auto"/>
            </w:pPr>
            <w:r>
              <w:rPr>
                <w:b/>
                <w:color w:val="000000"/>
                <w:sz w:val="18"/>
              </w:rPr>
              <w:t>Alcance operativo</w:t>
            </w:r>
          </w:p>
        </w:tc>
      </w:tr>
      <w:tr>
        <w:trPr>
          <w:cantSplit/>
        </w:trPr>
        <w:tc>
          <w:tcPr>
            <w:tcW w:type="dxa" w:w="3061"/>
          </w:tcPr>
          <w:p>
            <w:pPr>
              <w:spacing w:after="80" w:before="60" w:line="247" w:lineRule="auto"/>
            </w:pPr>
            <w:r>
              <w:rPr>
                <w:b w:val="0"/>
                <w:color w:val="000000"/>
                <w:sz w:val="18"/>
              </w:rPr>
              <w:t>SUPERUSER  /admin</w:t>
            </w:r>
          </w:p>
        </w:tc>
        <w:tc>
          <w:tcPr>
            <w:tcW w:type="dxa" w:w="6463"/>
          </w:tcPr>
          <w:p>
            <w:pPr>
              <w:spacing w:after="80" w:before="60" w:line="247" w:lineRule="auto"/>
            </w:pPr>
            <w:r>
              <w:rPr>
                <w:b w:val="0"/>
                <w:color w:val="000000"/>
                <w:sz w:val="18"/>
              </w:rPr>
              <w:t>Gestiona usuarios y roles, hereda operaciones de RH y consulta auditoría.</w:t>
            </w:r>
          </w:p>
        </w:tc>
      </w:tr>
      <w:tr>
        <w:trPr>
          <w:cantSplit/>
        </w:trPr>
        <w:tc>
          <w:tcPr>
            <w:tcW w:type="dxa" w:w="3061"/>
          </w:tcPr>
          <w:p>
            <w:pPr>
              <w:spacing w:after="80" w:before="60" w:line="247" w:lineRule="auto"/>
            </w:pPr>
            <w:r>
              <w:rPr>
                <w:b w:val="0"/>
                <w:color w:val="000000"/>
                <w:sz w:val="18"/>
              </w:rPr>
              <w:t>RH_ADMIN  /rh</w:t>
            </w:r>
          </w:p>
        </w:tc>
        <w:tc>
          <w:tcPr>
            <w:tcW w:type="dxa" w:w="6463"/>
          </w:tcPr>
          <w:p>
            <w:pPr>
              <w:spacing w:after="80" w:before="60" w:line="247" w:lineRule="auto"/>
            </w:pPr>
            <w:r>
              <w:rPr>
                <w:b w:val="0"/>
                <w:color w:val="000000"/>
                <w:sz w:val="18"/>
              </w:rPr>
              <w:t>Gestiona procesos de RH, áreas y puestos del conjunto autorizado.</w:t>
            </w:r>
          </w:p>
        </w:tc>
      </w:tr>
      <w:tr>
        <w:trPr>
          <w:cantSplit/>
        </w:trPr>
        <w:tc>
          <w:tcPr>
            <w:tcW w:type="dxa" w:w="3061"/>
          </w:tcPr>
          <w:p>
            <w:pPr>
              <w:spacing w:after="80" w:before="60" w:line="247" w:lineRule="auto"/>
            </w:pPr>
            <w:r>
              <w:rPr>
                <w:b w:val="0"/>
                <w:color w:val="000000"/>
                <w:sz w:val="18"/>
              </w:rPr>
              <w:t>JEFE  /manager</w:t>
            </w:r>
          </w:p>
        </w:tc>
        <w:tc>
          <w:tcPr>
            <w:tcW w:type="dxa" w:w="6463"/>
          </w:tcPr>
          <w:p>
            <w:pPr>
              <w:spacing w:after="80" w:before="60" w:line="247" w:lineRule="auto"/>
            </w:pPr>
            <w:r>
              <w:rPr>
                <w:b w:val="0"/>
                <w:color w:val="000000"/>
                <w:sz w:val="18"/>
              </w:rPr>
              <w:t>Gestiona subordinados de su jerarquía y consulta su trabajo propio según la operación.</w:t>
            </w:r>
          </w:p>
        </w:tc>
      </w:tr>
      <w:tr>
        <w:trPr>
          <w:cantSplit/>
        </w:trPr>
        <w:tc>
          <w:tcPr>
            <w:tcW w:type="dxa" w:w="3061"/>
          </w:tcPr>
          <w:p>
            <w:pPr>
              <w:spacing w:after="80" w:before="60" w:line="247" w:lineRule="auto"/>
            </w:pPr>
            <w:r>
              <w:rPr>
                <w:b w:val="0"/>
                <w:color w:val="000000"/>
                <w:sz w:val="18"/>
              </w:rPr>
              <w:t>EMPLEADO  /employee</w:t>
            </w:r>
          </w:p>
        </w:tc>
        <w:tc>
          <w:tcPr>
            <w:tcW w:type="dxa" w:w="6463"/>
          </w:tcPr>
          <w:p>
            <w:pPr>
              <w:spacing w:after="80" w:before="60" w:line="247" w:lineRule="auto"/>
            </w:pPr>
            <w:r>
              <w:rPr>
                <w:b w:val="0"/>
                <w:color w:val="000000"/>
                <w:sz w:val="18"/>
              </w:rPr>
              <w:t>Consulta perfil, tareas, cursos e incorporación propios; responde encuestas asignadas.</w:t>
            </w:r>
          </w:p>
        </w:tc>
      </w:tr>
      <w:tr>
        <w:trPr>
          <w:cantSplit/>
        </w:trPr>
        <w:tc>
          <w:tcPr>
            <w:tcW w:type="dxa" w:w="3061"/>
          </w:tcPr>
          <w:p>
            <w:pPr>
              <w:spacing w:after="80" w:before="60" w:line="247" w:lineRule="auto"/>
            </w:pPr>
            <w:r>
              <w:rPr>
                <w:b w:val="0"/>
                <w:color w:val="000000"/>
                <w:sz w:val="18"/>
              </w:rPr>
              <w:t>CANDIDATO  /candidate</w:t>
            </w:r>
          </w:p>
        </w:tc>
        <w:tc>
          <w:tcPr>
            <w:tcW w:type="dxa" w:w="6463"/>
          </w:tcPr>
          <w:p>
            <w:pPr>
              <w:spacing w:after="80" w:before="60" w:line="247" w:lineRule="auto"/>
            </w:pPr>
            <w:r>
              <w:rPr>
                <w:b w:val="0"/>
                <w:color w:val="000000"/>
                <w:sz w:val="18"/>
              </w:rPr>
              <w:t>Mantiene candidatura y CV; consulta vacantes y sus postulaciones.</w:t>
            </w:r>
          </w:p>
        </w:tc>
      </w:tr>
    </w:tbl>
    <w:p/>
    <w:p>
      <w:pPr>
        <w:pStyle w:val="Heading2"/>
      </w:pPr>
      <w:r>
        <w:t>Tres niveles complementarios</w:t>
      </w:r>
    </w:p>
    <w:p>
      <w:r>
        <w:t>mayEnter controla la entrada a espacios de navegación. authenticate y requireRole protegen los handlers HTTP. Las políticas RLS y las funciones SQL deciden finalmente qué filas y operaciones autoriza la sesión. Ocultar un botón o aplicar un filtro no sustituye estos controles.</w:t>
      </w:r>
    </w:p>
    <w:p>
      <w:r>
        <w:t>isHR incluye RH_ADMIN y SUPERUSER. En requireRole, SUPERUSER hereda una operación cuando la lista admite RH_ADMIN. Esta herencia no significa que todos los prefijos de navegación sean intercambiables: mayEnter mantiene reglas explícitas por espacio.</w:t>
      </w:r>
    </w:p>
    <w:p>
      <w:pPr>
        <w:pStyle w:val="Heading2"/>
      </w:pPr>
      <w:r>
        <w:t>Permisos derivados de la jerarquía</w:t>
      </w:r>
    </w:p>
    <w:p>
      <w:r>
        <w:t>employees.manager_id forma la cadena de supervisión. Un JEFE alcanza subordinados de varios niveles, siempre que la base de datos los autorice. Las tareas no se asignan fuera de ese alcance. El propio empleado no puede aprobar sus entregas ni convertir visibilidad en permiso de revisión.</w:t>
      </w:r>
    </w:p>
    <w:p>
      <w:r>
        <w:t>En desempeño, el seguimiento colectivo se habilita para RH y JEFE con subordinados visibles. EMPLEADO conserva el análisis propio. Tener un registro de subordinación sin el rol requerido no habilita por sí solo todas las acciones de una jefatura.</w:t>
      </w:r>
    </w:p>
    <w:p>
      <w:r>
        <w:rPr>
          <w:i/>
          <w:sz w:val="16"/>
        </w:rPr>
        <w:t>Referencia en el repositorio: src/lib/permissions/index.ts; src/lib/auth/index.ts; src/proxy.ts; src/modules/workspace/insights.ts.</w:t>
      </w:r>
    </w:p>
    <w:p>
      <w:r>
        <w:br w:type="page"/>
      </w:r>
    </w:p>
    <w:p>
      <w:pPr>
        <w:pStyle w:val="Heading1"/>
      </w:pPr>
      <w:r>
        <w:t>Modelo de datos y relaciones</w:t>
      </w:r>
    </w:p>
    <w:p>
      <w:r>
        <w:t>La identidad nace en auth.users. profiles comparte su UUID y lo vincula al rol. candidates y employees representan etapas diferentes de la persona; una contratación conserva la cuenta y crea su relación laboral. Las claves foráneas mantienen la integridad de esas asociaciones.</w:t>
      </w:r>
    </w:p>
    <w:tbl>
      <w:tblPr>
        <w:tblStyle w:val="TableGrid"/>
        <w:tblW w:type="auto" w:w="0"/>
        <w:tblLayout w:type="fixed"/>
        <w:tblLook w:firstColumn="1" w:firstRow="1" w:lastColumn="0" w:lastRow="0" w:noHBand="0" w:noVBand="1" w:val="04A0"/>
      </w:tblPr>
      <w:tblGrid>
        <w:gridCol w:w="1984"/>
        <w:gridCol w:w="7540"/>
      </w:tblGrid>
      <w:tr>
        <w:trPr>
          <w:cantSplit/>
          <w:tblHeader/>
        </w:trPr>
        <w:tc>
          <w:tcPr>
            <w:tcW w:type="dxa" w:w="1984"/>
            <w:shd w:fill="E8ECEF"/>
          </w:tcPr>
          <w:p>
            <w:pPr>
              <w:spacing w:after="80" w:before="60" w:line="247" w:lineRule="auto"/>
            </w:pPr>
            <w:r>
              <w:rPr>
                <w:b/>
                <w:color w:val="000000"/>
                <w:sz w:val="18"/>
              </w:rPr>
              <w:t>Grupo</w:t>
            </w:r>
          </w:p>
        </w:tc>
        <w:tc>
          <w:tcPr>
            <w:tcW w:type="dxa" w:w="7540"/>
            <w:shd w:fill="E8ECEF"/>
          </w:tcPr>
          <w:p>
            <w:pPr>
              <w:spacing w:after="80" w:before="60" w:line="247" w:lineRule="auto"/>
            </w:pPr>
            <w:r>
              <w:rPr>
                <w:b/>
                <w:color w:val="000000"/>
                <w:sz w:val="18"/>
              </w:rPr>
              <w:t>Entidades y relación principal</w:t>
            </w:r>
          </w:p>
        </w:tc>
      </w:tr>
      <w:tr>
        <w:trPr>
          <w:cantSplit/>
        </w:trPr>
        <w:tc>
          <w:tcPr>
            <w:tcW w:type="dxa" w:w="1984"/>
          </w:tcPr>
          <w:p>
            <w:pPr>
              <w:spacing w:after="80" w:before="60" w:line="247" w:lineRule="auto"/>
            </w:pPr>
            <w:r>
              <w:rPr>
                <w:b w:val="0"/>
                <w:color w:val="000000"/>
                <w:sz w:val="18"/>
              </w:rPr>
              <w:t>Organización</w:t>
            </w:r>
          </w:p>
        </w:tc>
        <w:tc>
          <w:tcPr>
            <w:tcW w:type="dxa" w:w="7540"/>
          </w:tcPr>
          <w:p>
            <w:pPr>
              <w:spacing w:after="80" w:before="60" w:line="247" w:lineRule="auto"/>
            </w:pPr>
            <w:r>
              <w:rPr>
                <w:b w:val="0"/>
                <w:color w:val="000000"/>
                <w:sz w:val="18"/>
              </w:rPr>
              <w:t>departments → positions → employees; manager_id referencia otro empleado.</w:t>
            </w:r>
          </w:p>
        </w:tc>
      </w:tr>
      <w:tr>
        <w:trPr>
          <w:cantSplit/>
        </w:trPr>
        <w:tc>
          <w:tcPr>
            <w:tcW w:type="dxa" w:w="1984"/>
          </w:tcPr>
          <w:p>
            <w:pPr>
              <w:spacing w:after="80" w:before="60" w:line="247" w:lineRule="auto"/>
            </w:pPr>
            <w:r>
              <w:rPr>
                <w:b w:val="0"/>
                <w:color w:val="000000"/>
                <w:sz w:val="18"/>
              </w:rPr>
              <w:t>Reclutamiento</w:t>
            </w:r>
          </w:p>
        </w:tc>
        <w:tc>
          <w:tcPr>
            <w:tcW w:type="dxa" w:w="7540"/>
          </w:tcPr>
          <w:p>
            <w:pPr>
              <w:spacing w:after="80" w:before="60" w:line="247" w:lineRule="auto"/>
            </w:pPr>
            <w:r>
              <w:rPr>
                <w:b w:val="0"/>
                <w:color w:val="000000"/>
                <w:sz w:val="18"/>
              </w:rPr>
              <w:t>profiles → candidates → applications ← vacancies → positions; interviews depende de applications.</w:t>
            </w:r>
          </w:p>
        </w:tc>
      </w:tr>
      <w:tr>
        <w:trPr>
          <w:cantSplit/>
        </w:trPr>
        <w:tc>
          <w:tcPr>
            <w:tcW w:type="dxa" w:w="1984"/>
          </w:tcPr>
          <w:p>
            <w:pPr>
              <w:spacing w:after="80" w:before="60" w:line="247" w:lineRule="auto"/>
            </w:pPr>
            <w:r>
              <w:rPr>
                <w:b w:val="0"/>
                <w:color w:val="000000"/>
                <w:sz w:val="18"/>
              </w:rPr>
              <w:t>Incorporación</w:t>
            </w:r>
          </w:p>
        </w:tc>
        <w:tc>
          <w:tcPr>
            <w:tcW w:type="dxa" w:w="7540"/>
          </w:tcPr>
          <w:p>
            <w:pPr>
              <w:spacing w:after="80" w:before="60" w:line="247" w:lineRule="auto"/>
            </w:pPr>
            <w:r>
              <w:rPr>
                <w:b w:val="0"/>
                <w:color w:val="000000"/>
                <w:sz w:val="18"/>
              </w:rPr>
              <w:t>employees → onboarding → onboarding_items; documentos, material e intentos dependen del proceso o actividad.</w:t>
            </w:r>
          </w:p>
        </w:tc>
      </w:tr>
      <w:tr>
        <w:trPr>
          <w:cantSplit/>
        </w:trPr>
        <w:tc>
          <w:tcPr>
            <w:tcW w:type="dxa" w:w="1984"/>
          </w:tcPr>
          <w:p>
            <w:pPr>
              <w:spacing w:after="80" w:before="60" w:line="247" w:lineRule="auto"/>
            </w:pPr>
            <w:r>
              <w:rPr>
                <w:b w:val="0"/>
                <w:color w:val="000000"/>
                <w:sz w:val="18"/>
              </w:rPr>
              <w:t>Formación</w:t>
            </w:r>
          </w:p>
        </w:tc>
        <w:tc>
          <w:tcPr>
            <w:tcW w:type="dxa" w:w="7540"/>
          </w:tcPr>
          <w:p>
            <w:pPr>
              <w:spacing w:after="80" w:before="60" w:line="247" w:lineRule="auto"/>
            </w:pPr>
            <w:r>
              <w:rPr>
                <w:b w:val="0"/>
                <w:color w:val="000000"/>
                <w:sz w:val="18"/>
              </w:rPr>
              <w:t>courses → course_assignments ← employees; course_evidence guarda archivos por asignación.</w:t>
            </w:r>
          </w:p>
        </w:tc>
      </w:tr>
      <w:tr>
        <w:trPr>
          <w:cantSplit/>
        </w:trPr>
        <w:tc>
          <w:tcPr>
            <w:tcW w:type="dxa" w:w="1984"/>
          </w:tcPr>
          <w:p>
            <w:pPr>
              <w:spacing w:after="80" w:before="60" w:line="247" w:lineRule="auto"/>
            </w:pPr>
            <w:r>
              <w:rPr>
                <w:b w:val="0"/>
                <w:color w:val="000000"/>
                <w:sz w:val="18"/>
              </w:rPr>
              <w:t>Trabajo diario</w:t>
            </w:r>
          </w:p>
        </w:tc>
        <w:tc>
          <w:tcPr>
            <w:tcW w:type="dxa" w:w="7540"/>
          </w:tcPr>
          <w:p>
            <w:pPr>
              <w:spacing w:after="80" w:before="60" w:line="247" w:lineRule="auto"/>
            </w:pPr>
            <w:r>
              <w:rPr>
                <w:b w:val="0"/>
                <w:color w:val="000000"/>
                <w:sz w:val="18"/>
              </w:rPr>
              <w:t>employees → tasks → task_evidence; task_messages y task_message_reads administran la conversación.</w:t>
            </w:r>
          </w:p>
        </w:tc>
      </w:tr>
      <w:tr>
        <w:trPr>
          <w:cantSplit/>
        </w:trPr>
        <w:tc>
          <w:tcPr>
            <w:tcW w:type="dxa" w:w="1984"/>
          </w:tcPr>
          <w:p>
            <w:pPr>
              <w:spacing w:after="80" w:before="60" w:line="247" w:lineRule="auto"/>
            </w:pPr>
            <w:r>
              <w:rPr>
                <w:b w:val="0"/>
                <w:color w:val="000000"/>
                <w:sz w:val="18"/>
              </w:rPr>
              <w:t>Ambiente laboral</w:t>
            </w:r>
          </w:p>
        </w:tc>
        <w:tc>
          <w:tcPr>
            <w:tcW w:type="dxa" w:w="7540"/>
          </w:tcPr>
          <w:p>
            <w:pPr>
              <w:spacing w:after="80" w:before="60" w:line="247" w:lineRule="auto"/>
            </w:pPr>
            <w:r>
              <w:rPr>
                <w:b w:val="0"/>
                <w:color w:val="000000"/>
                <w:sz w:val="18"/>
              </w:rPr>
              <w:t>climate_surveys, climate_assignments, climate_participation y climate_answers separan encuesta, destinatarios y respuestas.</w:t>
            </w:r>
          </w:p>
        </w:tc>
      </w:tr>
      <w:tr>
        <w:trPr>
          <w:cantSplit/>
        </w:trPr>
        <w:tc>
          <w:tcPr>
            <w:tcW w:type="dxa" w:w="1984"/>
          </w:tcPr>
          <w:p>
            <w:pPr>
              <w:spacing w:after="80" w:before="60" w:line="247" w:lineRule="auto"/>
            </w:pPr>
            <w:r>
              <w:rPr>
                <w:b w:val="0"/>
                <w:color w:val="000000"/>
                <w:sz w:val="18"/>
              </w:rPr>
              <w:t>Control</w:t>
            </w:r>
          </w:p>
        </w:tc>
        <w:tc>
          <w:tcPr>
            <w:tcW w:type="dxa" w:w="7540"/>
          </w:tcPr>
          <w:p>
            <w:pPr>
              <w:spacing w:after="80" w:before="60" w:line="247" w:lineRule="auto"/>
            </w:pPr>
            <w:r>
              <w:rPr>
                <w:b w:val="0"/>
                <w:color w:val="000000"/>
                <w:sz w:val="18"/>
              </w:rPr>
              <w:t>ai_requests, ai_results, orchestration_runs y audit_logs registran análisis y actividad.</w:t>
            </w:r>
          </w:p>
        </w:tc>
      </w:tr>
    </w:tbl>
    <w:p/>
    <w:p>
      <w:pPr>
        <w:pStyle w:val="Heading2"/>
      </w:pPr>
      <w:r>
        <w:t>Restricciones importantes</w:t>
      </w:r>
    </w:p>
    <w:p>
      <w:r>
        <w:t>applications impone unicidad de candidate_id y vacancy_id. course_assignments evita duplicar curso por empleado. onboarding mantiene un proceso por empleado. Los intentos de evaluación pueden repetirse y se conservan en onboarding_attempts.</w:t>
      </w:r>
    </w:p>
    <w:p>
      <w:r>
        <w:t>Los estados se restringen en SQL y las transiciones se ejecutan mediante funciones. La integridad referencial impide eliminar puestos o áreas con dependencias. Los índices sobre empleados, fechas y estados respaldan consultas frecuentes.</w:t>
      </w:r>
    </w:p>
    <w:p>
      <w:pPr>
        <w:pStyle w:val="Heading2"/>
      </w:pPr>
      <w:r>
        <w:t>Tablas históricas y evolución</w:t>
      </w:r>
    </w:p>
    <w:p>
      <w:r>
        <w:t>La base inicial contiene surveys, survey_questions y survey_responses. El flujo actual de ambiente laboral usa climate_*; no deben confundirse al construir reportes. performance_reviews existe en el esquema, mientras buena parte de los indicadores se calcula desde registros operativos.</w:t>
      </w:r>
    </w:p>
    <w:p>
      <w:r>
        <w:t>Las migraciones agregan campos de revisión, comentarios y controles. Para entender el esquema vigente debe leerse la secuencia completa, no únicamente foundation.sql.</w:t>
      </w:r>
    </w:p>
    <w:p>
      <w:r>
        <w:rPr>
          <w:i/>
          <w:sz w:val="16"/>
        </w:rPr>
        <w:t>Referencia en el repositorio: supabase/migrations/202609140001_foundation.sql y migraciones posteriores; src/modules/workspace/queries.ts.</w:t>
      </w:r>
    </w:p>
    <w:p>
      <w:r>
        <w:br w:type="page"/>
      </w:r>
    </w:p>
    <w:p>
      <w:pPr>
        <w:pStyle w:val="Heading1"/>
      </w:pPr>
      <w:r>
        <w:t>Reclutamiento entrevistas y contratación</w:t>
      </w:r>
    </w:p>
    <w:p>
      <w:pPr>
        <w:pStyle w:val="Heading2"/>
      </w:pPr>
      <w:r>
        <w:t>Vacantes y postulaciones</w:t>
      </w:r>
    </w:p>
    <w:p>
      <w:r>
        <w:t>RH y superadministración crean vacantes ligadas a un puesto. DRAFT, PUBLISHED y CLOSED distinguen borrador, publicación y cierre. Los visitantes solo ven vacantes publicadas. El asistente de IA prepara un borrador para revisión antes de guardar; los documentos de referencia de vacantes permanecen privados.</w:t>
      </w:r>
    </w:p>
    <w:p>
      <w:r>
        <w:t>El candidato carga CV, experiencia y habilidades, y se postula. La interfaz separa postulaciones por estado, filtra por vacante y muestra totales. La IA devuelve información estructurada y puntuación para comparar candidaturas. La contratación nunca es una decisión automática del modelo.</w:t>
      </w:r>
    </w:p>
    <w:p>
      <w:r>
        <w:rPr>
          <w:rFonts w:ascii="Consolas" w:hAnsi="Consolas"/>
          <w:sz w:val="17"/>
        </w:rPr>
        <w:t>POSTULADO → EN_REVISION → PRESELECCIONADO → ENTREVISTA</w:t>
        <w:br/>
        <w:t>ENTREVISTA → CONTRATADO mediante application.hire</w:t>
        <w:br/>
        <w:t>Los estados no terminales admiten rechazo según la transición permitida.</w:t>
      </w:r>
    </w:p>
    <w:p>
      <w:pPr>
        <w:pStyle w:val="Heading2"/>
      </w:pPr>
      <w:r>
        <w:t>Agenda</w:t>
      </w:r>
    </w:p>
    <w:p>
      <w:r>
        <w:t>interview.save reserva un intervalo de 60 minutos por entrevistador y evita otra entrevista pendiente del mismo candidato, incluso en otra vacante. El servidor y SQL rechazan nuevas fechas pasadas. La vista conserva secciones de agendadas, completadas y canceladas.</w:t>
      </w:r>
    </w:p>
    <w:p>
      <w:r>
        <w:t>Los días hábiles excluyen fines de semana y descansos nacionales recurrentes codificados. Para entrevistas se usa America/Mexico_City. Las entrevistas antiguas pueden cerrarse sin cambiar su fecha; reprogramar obliga a elegir una fecha válida. Los cierres de empresa y días electorales particulares no están incorporados.</w:t>
      </w:r>
    </w:p>
    <w:p>
      <w:pPr>
        <w:pStyle w:val="Heading2"/>
      </w:pPr>
      <w:r>
        <w:t>Contratación transaccional</w:t>
      </w:r>
    </w:p>
    <w:p>
      <w:r>
        <w:t>application.hire valida estado y entrevista, crea empleado, actualiza rol, inicia incorporación, asigna cursos obligatorios y crea una tarea inicial en una transacción. Si una operación falla, la contratación se revierte. La cuenta y contraseña se conservan.</w:t>
      </w:r>
    </w:p>
    <w:p>
      <w:r>
        <w:t>La contratación admite puesto, área y jefe directo, y valida su coherencia. También existe un aviso persistente para completar la asignación mediante /api/employee-assignment. Las plantillas de onboarding se inicializan según la configuración aplicable.</w:t>
      </w:r>
    </w:p>
    <w:p>
      <w:r>
        <w:t>La migración 202609280007 mueve la fecha automática de la tarea inicial al siguiente día hábil. Evita que un festivo interrumpa una contratación; las fechas elegidas manualmente continúan sujetas al rechazo por día no hábil.</w:t>
      </w:r>
    </w:p>
    <w:p>
      <w:r>
        <w:rPr>
          <w:i/>
          <w:sz w:val="16"/>
        </w:rPr>
        <w:t>Referencia en el repositorio: src/modules/commands/schemas.ts; src/components/interview-calendar.tsx; migraciones de entrevistas, contratación y días hábiles.</w:t>
      </w:r>
    </w:p>
    <w:p>
      <w:r>
        <w:br w:type="page"/>
      </w:r>
    </w:p>
    <w:p>
      <w:pPr>
        <w:pStyle w:val="Heading1"/>
      </w:pPr>
      <w:r>
        <w:t>Áreas puestos y estructura del equipo</w:t>
      </w:r>
    </w:p>
    <w:p>
      <w:r>
        <w:t>Un área agrupa puestos, y cada empleado ocupa un puesto. El jefe directo se guarda por separado: la jerarquía no se deduce únicamente del área ni del nombre del puesto. Esto permite representar jefes con otros jefes por encima y cadenas de responsabilidad de varios niveles.</w:t>
      </w:r>
    </w:p>
    <w:p>
      <w:pPr>
        <w:pStyle w:val="Heading2"/>
      </w:pPr>
      <w:r>
        <w:t>Catálogos administrados por RH</w:t>
      </w:r>
    </w:p>
    <w:p>
      <w:r>
        <w:t>RH y SUPERUSER pueden crear o modificar áreas y puestos. save_department es una función dedicada de PostgreSQL; la creación de puestos continúa integrada con command. Formularios y servidor validan campos y UUID antes de invocar las funciones.</w:t>
      </w:r>
    </w:p>
    <w:p>
      <w:r>
        <w:t>delete_unused_position bloquea la eliminación cuando el puesto está asignado a cualquier empleado, incluso inactivo. Las claves foráneas también impiden borrar puestos relacionados con vacantes o plantillas. delete_unused_department rechaza áreas con puestos u otras referencias. La API responde con un conflicto; no borra dependencias en cascada para forzar la operación.</w:t>
      </w:r>
    </w:p>
    <w:p>
      <w:pPr>
        <w:pStyle w:val="Heading2"/>
      </w:pPr>
      <w:r>
        <w:t>Organigrama y perfiles</w:t>
      </w:r>
    </w:p>
    <w:p>
      <w:r>
        <w:t>organization.ts construye raíces y relaciones a partir del conjunto visible. TeamTree representa integrantes y conexiones, permite plegar ramas y filtrar por área. La vista general agrupa los integrantes de cada área. Los perfiles enlazados muestran información según el alcance autorizado.</w:t>
      </w:r>
    </w:p>
    <w:p>
      <w:r>
        <w:t>El buscador de jefe directo localiza personas por nombre. La asignación se confirma en assign_team_manager y un trigger rechaza ciclos. No puede asignarse una persona como su propio superior ni crear una cadena que regrese al punto de partida.</w:t>
      </w:r>
    </w:p>
    <w:p>
      <w:pPr>
        <w:pStyle w:val="Heading2"/>
      </w:pPr>
      <w:r>
        <w:t>Protección de la jerarquía de RH</w:t>
      </w:r>
    </w:p>
    <w:p>
      <w:r>
        <w:t>Los integrantes de RH aparecen en el organigrama, pero no todos los administradores de RH pueden modificar a sus pares. La regla reserva los cambios del integrante de RH al superior de RH más alto de su cadena o al superusuario. También se protege la edición del propio puesto.</w:t>
      </w:r>
    </w:p>
    <w:p>
      <w:r>
        <w:t>Los jefes trabajan sobre su equipo autorizado; no reciben la gestión global de áreas en su navegación. Un filtro visual de área nunca sustituye la comprobación de subordinación en SQL.</w:t>
      </w:r>
    </w:p>
    <w:p>
      <w:r>
        <w:rPr>
          <w:i/>
          <w:sz w:val="16"/>
        </w:rPr>
        <w:t>Referencia en el repositorio: src/modules/workspace/organization.ts; src/app/api/teams/route.ts; componentes de equipo; migraciones hr_hierarchy, hr_positions y hr_departments.</w:t>
      </w:r>
    </w:p>
    <w:p>
      <w:r>
        <w:br w:type="page"/>
      </w:r>
    </w:p>
    <w:p>
      <w:pPr>
        <w:pStyle w:val="Heading1"/>
      </w:pPr>
      <w:r>
        <w:t>Incorporación y evaluaciones de lectura</w:t>
      </w:r>
    </w:p>
    <w:p>
      <w:r>
        <w:t>onboarding representa el proceso y onboarding_items sus actividades. Las plantillas onboarding_templates permiten reutilizar pasos, responsables, requisitos documentales y plazos. El panel separa seguimiento, asignación, plantillas y resumen con IA.</w:t>
      </w:r>
    </w:p>
    <w:p>
      <w:pPr>
        <w:pStyle w:val="Heading2"/>
      </w:pPr>
      <w:r>
        <w:t>Asignar y completar actividades</w:t>
      </w:r>
    </w:p>
    <w:p>
      <w:r>
        <w:t>Una actividad puede corresponder a la persona incorporada, la jefatura o RH. Los planes con avances o documentos no se reemplazan libremente; se ajustan datos permitidos sin perder evidencia. Los filtros de persona y área trabajan dentro del alcance autorizado.</w:t>
      </w:r>
    </w:p>
    <w:p>
      <w:r>
        <w:t>Cuando se requieren documentos, el empleado puede adjuntar varios archivos. Solicitar finalización no equivale a aprobarla. El flujo distingue entrega y revisión; RH o el responsable autorizado revisa archivos y confirma la terminación o solicita correcciones. Los procesos finalizados se consultan en el historial.</w:t>
      </w:r>
    </w:p>
    <w:p>
      <w:pPr>
        <w:pStyle w:val="Heading2"/>
      </w:pPr>
      <w:r>
        <w:t>Documento y cuestionario opcional</w:t>
      </w:r>
    </w:p>
    <w:p>
      <w:r>
        <w:t>onboarding_learning guarda material de lectura, instrucciones, nota mínima y preguntas. El responsable escoge solo lectura o añade evaluación breve. La configuración admite hasta 20 preguntas, de 2 a 6 opciones y una respuesta correcta por pregunta. La nota mínima se expresa entre 1 y 100.</w:t>
      </w:r>
    </w:p>
    <w:p>
      <w:r>
        <w:t>El servidor devuelve preguntas sin el índice correcto. PostgreSQL corrige el intento: aciertos divididos entre preguntas, multiplicados por 100 y redondeados hacia abajo. onboarding_attempts conserva resultado, aprobación y fecha. Quien reprueba puede repetir; no se configuró un máximo de intentos.</w:t>
      </w:r>
    </w:p>
    <w:p>
      <w:r>
        <w:t>Un trigger bloquea enviar o completar la actividad si tiene cuestionario y no existe un intento aprobado. Si la lista de preguntas está vacía, es lectura sin examen. Una configuración con intentos queda bloqueada para evitar cambiar la evaluación después de responder.</w:t>
      </w:r>
    </w:p>
    <w:p>
      <w:pPr>
        <w:pStyle w:val="Heading2"/>
      </w:pPr>
      <w:r>
        <w:t>Protección de materiales</w:t>
      </w:r>
    </w:p>
    <w:p>
      <w:r>
        <w:t>El bucket onboarding-learning es privado. La API autoriza lectura por RPC antes de firmar el archivo. La carga administrativa exige RH o JEFE y SQL vuelve a comprobar alcance. Los empleados envían respuestas por JSON, pero no suben material de evaluación usando el cliente administrativo.</w:t>
      </w:r>
    </w:p>
    <w:p>
      <w:r>
        <w:rPr>
          <w:i/>
          <w:sz w:val="16"/>
        </w:rPr>
        <w:t>Referencia en el repositorio: src/components/onboarding-panel.tsx y onboarding-learning.tsx; src/app/api/onboarding-plans y onboarding-learning; migraciones 202609280001 y 202609280002.</w:t>
      </w:r>
    </w:p>
    <w:p>
      <w:r>
        <w:br w:type="page"/>
      </w:r>
    </w:p>
    <w:p>
      <w:pPr>
        <w:pStyle w:val="Heading1"/>
      </w:pPr>
      <w:r>
        <w:t>Capacitación y validación del avance</w:t>
      </w:r>
    </w:p>
    <w:p>
      <w:r>
        <w:t>courses contiene contenido reutilizable. course_assignments asocia curso y empleado, con progreso, fecha límite y estado. La selección múltiple permite buscar por nombre y área autorizada. assign_many omite asignaciones existentes dentro de una transacción.</w:t>
      </w:r>
    </w:p>
    <w:p>
      <w:pPr>
        <w:pStyle w:val="Heading2"/>
      </w:pPr>
      <w:r>
        <w:t>Contenido y apoyo de IA</w:t>
      </w:r>
    </w:p>
    <w:p>
      <w:r>
        <w:t>El generador prepara una capacitación según puesto y descripción. Propone objetivos, lecciones, ejercicios y criterios de finalización para revisión humana. Otra operación recomienda videos o recursos como términos de búsqueda; no certifica enlaces, precios, disponibilidad ni calidad de un curso externo.</w:t>
      </w:r>
    </w:p>
    <w:p>
      <w:r>
        <w:t>El catálogo permite reutilizar cursos vinculados a área o puesto. La vista personal muestra capacitaciones asignadas y avance. La gestión distingue catálogo y asignaciones de la sección de seguimiento y revisión.</w:t>
      </w:r>
    </w:p>
    <w:p>
      <w:pPr>
        <w:pStyle w:val="Heading2"/>
      </w:pPr>
      <w:r>
        <w:t>Evidencia y revisión</w:t>
      </w:r>
    </w:p>
    <w:p>
      <w:r>
        <w:t>course_evidence guarda cada archivo junto con el porcentaje reportado. Subir evidencia o cambiar avance activa progress_review_pending y avisa a quienes pueden revisar. progress representa el avance registrado; approved_progress conserva el porcentaje reconocido por el responsable.</w:t>
      </w:r>
    </w:p>
    <w:p>
      <w:r>
        <w:t>review_course_progress acepta una decisión, un porcentaje de 0 a 100 y un comentario obligatorio. RH o el jefe autorizado puede aceptar, rechazar o corregir el porcentaje. Nadie revisa su propia asignación. Para aceptar progreso positivo se exige evidencia que respalde al menos ese porcentaje.</w:t>
      </w:r>
    </w:p>
    <w:p>
      <w:r>
        <w:t>Aceptar 100 % marca el curso como completado. Rechazar no permite aumentar el progreso aprobado y establece una fecha desde la cual se requerirá evidencia nueva. El empleado lee el comentario del revisor y prepara lo solicitado. El historial y el perfil muestran la información autorizada del curso.</w:t>
      </w:r>
    </w:p>
    <w:p>
      <w:pPr>
        <w:pStyle w:val="Heading2"/>
      </w:pPr>
      <w:r>
        <w:t>Opinión de IA</w:t>
      </w:r>
    </w:p>
    <w:p>
      <w:r>
        <w:t>/api/training contrasta evidencia visible para el revisor con el curso. Devuelve resumen, aspectos demostrados, faltantes y recomendación. No modifica porcentajes ni estados. Una captura que solo muestra un porcentaje de la interfaz no demuestra por sí misma que se realizaron los ejercicios.</w:t>
      </w:r>
    </w:p>
    <w:p>
      <w:r>
        <w:rPr>
          <w:i/>
          <w:sz w:val="16"/>
        </w:rPr>
        <w:t>Referencia en el repositorio: src/app/api/training/route.ts; src/components/training-evidence.tsx; migraciones course_evidence y training_progress_reviews.</w:t>
      </w:r>
    </w:p>
    <w:p>
      <w:r>
        <w:br w:type="page"/>
      </w:r>
    </w:p>
    <w:p>
      <w:pPr>
        <w:pStyle w:val="Heading1"/>
      </w:pPr>
      <w:r>
        <w:t>Tareas evidencias y conversaciones</w:t>
      </w:r>
    </w:p>
    <w:p>
      <w:pPr>
        <w:pStyle w:val="Heading2"/>
      </w:pPr>
      <w:r>
        <w:t>Asignación y calendario</w:t>
      </w:r>
    </w:p>
    <w:p>
      <w:r>
        <w:t>RH gestiona el conjunto autorizado y JEFE solo asigna tareas a subordinados de su jerarquía. La selección múltiple admite nombre y, cuando corresponde, área. /api/assignments valida hasta 100 destinatarios únicos y realiza la asignación en una transacción.</w:t>
      </w:r>
    </w:p>
    <w:p>
      <w:r>
        <w:t>Cada tarea guarda título, descripción, responsable, prioridad y fecha límite. El calendario agrupa por due_date y muestra el total. Rojo, ámbar y verde representan prioridad alta, media y baja. Las tarjetas se ordenan por prioridad y después fecha límite.</w:t>
      </w:r>
    </w:p>
    <w:p>
      <w:pPr>
        <w:pStyle w:val="Heading2"/>
      </w:pPr>
      <w:r>
        <w:t>Entrega y aprobación</w:t>
      </w:r>
    </w:p>
    <w:p>
      <w:r>
        <w:rPr>
          <w:rFonts w:ascii="Consolas" w:hAnsi="Consolas"/>
          <w:sz w:val="17"/>
        </w:rPr>
        <w:t>PENDING → IN_PROGRESS → SUBMITTED → APPROVED</w:t>
        <w:br/>
        <w:t>La revisión puede devolver REJECTED para solicitar correcciones.</w:t>
      </w:r>
    </w:p>
    <w:p>
      <w:r>
        <w:t>El propietario inicia trabajo y adjunta evidencia privada. La entrega pasa a revisión. El responsable consulta el archivo y puede pedir una opinión de IA antes de aprobar o rechazar. Las entregadas se separan de pendientes; las aprobadas permanecen en un historial consultable desde la persona.</w:t>
      </w:r>
    </w:p>
    <w:p>
      <w:r>
        <w:t>La aprobación depende de permisos y estado en SQL. Las tareas entregadas para revisión no se interpretan como atrasos del empleado en el cálculo de alertas. Una pendiente o en curso con fecha vencida puede producir una señal de atraso.</w:t>
      </w:r>
    </w:p>
    <w:p>
      <w:pPr>
        <w:pStyle w:val="Heading2"/>
      </w:pPr>
      <w:r>
        <w:t>Conversación de la tarea</w:t>
      </w:r>
    </w:p>
    <w:p>
      <w:r>
        <w:t>task_messages almacena texto, autor, rol, nombre, secuencia y fecha. La conversación depende del permiso de lectura de la tarea; no es un chat general entre cualquier usuario. send_task_message utiliza un identificador para resolver reintentos y limita el ritmo de envío.</w:t>
      </w:r>
    </w:p>
    <w:p>
      <w:r>
        <w:t>GET /api/task-messages devuelve páginas de hasta 50 mensajes. task_message_reads conserva hasta qué secuencia leyó cada usuario. La interfaz consulta novedades cada 15 segundos; el orquestador puede indicar título y cantidad sin leer sin reproducir el contenido privado.</w:t>
      </w:r>
    </w:p>
    <w:p>
      <w:r>
        <w:t>Al aprobar la tarea, su conversación queda en consulta. Revisiones, evidencias y mensajes conservan el contexto del trabajo; no se inicia una conversación separada al pasar al historial.</w:t>
      </w:r>
    </w:p>
    <w:p>
      <w:r>
        <w:rPr>
          <w:i/>
          <w:sz w:val="16"/>
        </w:rPr>
        <w:t>Referencia en el repositorio: src/components/task-calendar.tsx y task-conversation.tsx; src/app/api/task-messages; src/modules/workspace/tasks.ts; migraciones de mensajes y avisos.</w:t>
      </w:r>
    </w:p>
    <w:p>
      <w:r>
        <w:br w:type="page"/>
      </w:r>
    </w:p>
    <w:p>
      <w:pPr>
        <w:pStyle w:val="Heading1"/>
      </w:pPr>
      <w:r>
        <w:t>Inteligencia artificial y orquestación</w:t>
      </w:r>
    </w:p>
    <w:p>
      <w:r>
        <w:t>AIProvider expone generate con contexto, esquema Zod y adjunto opcional. GeminiProvider y OllamaProvider solicitan JSON estructurado, usan temperatura baja y validan la salida. Una respuesta solo se acepta si cumple el contrato de la operación.</w:t>
      </w:r>
    </w:p>
    <w:tbl>
      <w:tblPr>
        <w:tblStyle w:val="TableGrid"/>
        <w:tblW w:type="auto" w:w="0"/>
        <w:tblLayout w:type="fixed"/>
        <w:tblLook w:firstColumn="1" w:firstRow="1" w:lastColumn="0" w:lastRow="0" w:noHBand="0" w:noVBand="1" w:val="04A0"/>
      </w:tblPr>
      <w:tblGrid>
        <w:gridCol w:w="1984"/>
        <w:gridCol w:w="7540"/>
      </w:tblGrid>
      <w:tr>
        <w:trPr>
          <w:cantSplit/>
          <w:tblHeader/>
        </w:trPr>
        <w:tc>
          <w:tcPr>
            <w:tcW w:type="dxa" w:w="1984"/>
            <w:shd w:fill="E8ECEF"/>
          </w:tcPr>
          <w:p>
            <w:pPr>
              <w:spacing w:after="80" w:before="60" w:line="247" w:lineRule="auto"/>
            </w:pPr>
            <w:r>
              <w:rPr>
                <w:b/>
                <w:color w:val="000000"/>
                <w:sz w:val="18"/>
              </w:rPr>
              <w:t>Proveedor</w:t>
            </w:r>
          </w:p>
        </w:tc>
        <w:tc>
          <w:tcPr>
            <w:tcW w:type="dxa" w:w="7540"/>
            <w:shd w:fill="E8ECEF"/>
          </w:tcPr>
          <w:p>
            <w:pPr>
              <w:spacing w:after="80" w:before="60" w:line="247" w:lineRule="auto"/>
            </w:pPr>
            <w:r>
              <w:rPr>
                <w:b/>
                <w:color w:val="000000"/>
                <w:sz w:val="18"/>
              </w:rPr>
              <w:t>Configuración y comportamiento</w:t>
            </w:r>
          </w:p>
        </w:tc>
      </w:tr>
      <w:tr>
        <w:trPr>
          <w:cantSplit/>
        </w:trPr>
        <w:tc>
          <w:tcPr>
            <w:tcW w:type="dxa" w:w="1984"/>
          </w:tcPr>
          <w:p>
            <w:pPr>
              <w:spacing w:after="80" w:before="60" w:line="247" w:lineRule="auto"/>
            </w:pPr>
            <w:r>
              <w:rPr>
                <w:b w:val="0"/>
                <w:color w:val="000000"/>
                <w:sz w:val="18"/>
              </w:rPr>
              <w:t>Ollama</w:t>
            </w:r>
          </w:p>
        </w:tc>
        <w:tc>
          <w:tcPr>
            <w:tcW w:type="dxa" w:w="7540"/>
          </w:tcPr>
          <w:p>
            <w:pPr>
              <w:spacing w:after="80" w:before="60" w:line="247" w:lineRule="auto"/>
            </w:pPr>
            <w:r>
              <w:rPr>
                <w:b w:val="0"/>
                <w:color w:val="000000"/>
                <w:sz w:val="18"/>
              </w:rPr>
              <w:t>OLLAMA_URL y OLLAMA_MODEL para texto; OLLAMA_VISION_MODEL para visión. Timeout HTTP de 45 s en texto y 180 s con adjunto.</w:t>
            </w:r>
          </w:p>
        </w:tc>
      </w:tr>
      <w:tr>
        <w:trPr>
          <w:cantSplit/>
        </w:trPr>
        <w:tc>
          <w:tcPr>
            <w:tcW w:type="dxa" w:w="1984"/>
          </w:tcPr>
          <w:p>
            <w:pPr>
              <w:spacing w:after="80" w:before="60" w:line="247" w:lineRule="auto"/>
            </w:pPr>
            <w:r>
              <w:rPr>
                <w:b w:val="0"/>
                <w:color w:val="000000"/>
                <w:sz w:val="18"/>
              </w:rPr>
              <w:t>Gemini</w:t>
            </w:r>
          </w:p>
        </w:tc>
        <w:tc>
          <w:tcPr>
            <w:tcW w:type="dxa" w:w="7540"/>
          </w:tcPr>
          <w:p>
            <w:pPr>
              <w:spacing w:after="80" w:before="60" w:line="247" w:lineRule="auto"/>
            </w:pPr>
            <w:r>
              <w:rPr>
                <w:b w:val="0"/>
                <w:color w:val="000000"/>
                <w:sz w:val="18"/>
              </w:rPr>
              <w:t>GEMINI_API_KEY y GEMINI_MODEL solo en servidor. Adjuntos mediante inlineData. Timeout HTTP de 45 s.</w:t>
            </w:r>
          </w:p>
        </w:tc>
      </w:tr>
      <w:tr>
        <w:trPr>
          <w:cantSplit/>
        </w:trPr>
        <w:tc>
          <w:tcPr>
            <w:tcW w:type="dxa" w:w="1984"/>
          </w:tcPr>
          <w:p>
            <w:pPr>
              <w:spacing w:after="80" w:before="60" w:line="247" w:lineRule="auto"/>
            </w:pPr>
            <w:r>
              <w:rPr>
                <w:b w:val="0"/>
                <w:color w:val="000000"/>
                <w:sz w:val="18"/>
              </w:rPr>
              <w:t>Respaldo</w:t>
            </w:r>
          </w:p>
        </w:tc>
        <w:tc>
          <w:tcPr>
            <w:tcW w:type="dxa" w:w="7540"/>
          </w:tcPr>
          <w:p>
            <w:pPr>
              <w:spacing w:after="80" w:before="60" w:line="247" w:lineRule="auto"/>
            </w:pPr>
            <w:r>
              <w:rPr>
                <w:b w:val="0"/>
                <w:color w:val="000000"/>
                <w:sz w:val="18"/>
              </w:rPr>
              <w:t>AI_FALLBACK=true permite un intento con Ollama después de fallar Gemini. No hay reintentos infinitos.</w:t>
            </w:r>
          </w:p>
        </w:tc>
      </w:tr>
    </w:tbl>
    <w:p/>
    <w:p>
      <w:pPr>
        <w:pStyle w:val="Heading2"/>
      </w:pPr>
      <w:r>
        <w:t>Orquestador de novedades</w:t>
      </w:r>
    </w:p>
    <w:p>
      <w:r>
        <w:t>/api/ai/orchestrate coordina resúmenes y análisis. Consulta datos bajo permisos, reúne estados y señales verificables y registra la ejecución en orchestration_runs. La vista general puede pedir un resumen al abrirse. Una huella del contexto permite reutilizar resultados cuando no cambia la información relevante.</w:t>
      </w:r>
    </w:p>
    <w:p>
      <w:r>
        <w:t>El contexto considera registros recientes y datos actuales; no reconstruye todos los cambios desde la última visita. Se limita a 200 registros por módulo y 100 señales. readableOverview traduce estados y procesos y sustituye UUID por títulos autorizados cuando están disponibles.</w:t>
      </w:r>
    </w:p>
    <w:p>
      <w:r>
        <w:t>La base controla concurrencia y frecuencia: ai_requests limita reclutamiento o evidencia a cinco solicitudes por minuto por usuario; begin_orchestration limita a tres por minuto y evita otra ejecución pendiente reciente del mismo usuario. Son controles de generación, no un sistema general de colas.</w:t>
      </w:r>
    </w:p>
    <w:p>
      <w:pPr>
        <w:pStyle w:val="Heading2"/>
      </w:pPr>
      <w:r>
        <w:t>Límite de autoridad</w:t>
      </w:r>
    </w:p>
    <w:p>
      <w:r>
        <w:t>La IA propone borradores, comparaciones, gráficos y recomendaciones. No contrata, no asigna automáticamente cursos ni aprueba evidencias. Prompts y documentos se tratan como datos no confiables. El proveedor carece de herramientas para ejecutar SQL o modificar roles. Una salida válida puede contener errores de interpretación y requiere revisión humana.</w:t>
      </w:r>
    </w:p>
    <w:p>
      <w:r>
        <w:rPr>
          <w:i/>
          <w:sz w:val="16"/>
        </w:rPr>
        <w:t>Referencia en el repositorio: src/lib/ai/provider.ts y schemas.ts; src/app/api/ai; src/modules/workspace/overview.ts; migraciones de orquestación.</w:t>
      </w:r>
    </w:p>
    <w:p>
      <w:r>
        <w:br w:type="page"/>
      </w:r>
    </w:p>
    <w:p>
      <w:pPr>
        <w:pStyle w:val="Heading1"/>
      </w:pPr>
      <w:r>
        <w:t>Archivos privados PDF y visión</w:t>
      </w:r>
    </w:p>
    <w:p>
      <w:r>
        <w:t>Los archivos se suben por API y se vinculan a un recurso autorizado. La ruta usa el UUID del usuario y otro UUID aleatorio. La descarga obtiene la ruta desde la base de datos; no firma una ruta arbitraria enviada por el cliente. Los enlaces duran 60 segundos.</w:t>
      </w:r>
    </w:p>
    <w:tbl>
      <w:tblPr>
        <w:tblStyle w:val="TableGrid"/>
        <w:tblW w:type="auto" w:w="0"/>
        <w:tblLayout w:type="fixed"/>
        <w:tblLook w:firstColumn="1" w:firstRow="1" w:lastColumn="0" w:lastRow="0" w:noHBand="0" w:noVBand="1" w:val="04A0"/>
      </w:tblPr>
      <w:tblGrid>
        <w:gridCol w:w="3005"/>
        <w:gridCol w:w="6520"/>
      </w:tblGrid>
      <w:tr>
        <w:trPr>
          <w:cantSplit/>
          <w:tblHeader/>
        </w:trPr>
        <w:tc>
          <w:tcPr>
            <w:tcW w:type="dxa" w:w="3005"/>
            <w:shd w:fill="E8ECEF"/>
          </w:tcPr>
          <w:p>
            <w:pPr>
              <w:spacing w:after="80" w:before="60" w:line="247" w:lineRule="auto"/>
            </w:pPr>
            <w:r>
              <w:rPr>
                <w:b/>
                <w:color w:val="000000"/>
                <w:sz w:val="18"/>
              </w:rPr>
              <w:t>Tipo</w:t>
            </w:r>
          </w:p>
        </w:tc>
        <w:tc>
          <w:tcPr>
            <w:tcW w:type="dxa" w:w="6520"/>
            <w:shd w:fill="E8ECEF"/>
          </w:tcPr>
          <w:p>
            <w:pPr>
              <w:spacing w:after="80" w:before="60" w:line="247" w:lineRule="auto"/>
            </w:pPr>
            <w:r>
              <w:rPr>
                <w:b/>
                <w:color w:val="000000"/>
                <w:sz w:val="18"/>
              </w:rPr>
              <w:t>Soporte y límite actual</w:t>
            </w:r>
          </w:p>
        </w:tc>
      </w:tr>
      <w:tr>
        <w:trPr>
          <w:cantSplit/>
        </w:trPr>
        <w:tc>
          <w:tcPr>
            <w:tcW w:type="dxa" w:w="3005"/>
          </w:tcPr>
          <w:p>
            <w:pPr>
              <w:spacing w:after="80" w:before="60" w:line="247" w:lineRule="auto"/>
            </w:pPr>
            <w:r>
              <w:rPr>
                <w:b w:val="0"/>
                <w:color w:val="000000"/>
                <w:sz w:val="18"/>
              </w:rPr>
              <w:t>CV</w:t>
            </w:r>
          </w:p>
        </w:tc>
        <w:tc>
          <w:tcPr>
            <w:tcW w:type="dxa" w:w="6520"/>
          </w:tcPr>
          <w:p>
            <w:pPr>
              <w:spacing w:after="80" w:before="60" w:line="247" w:lineRule="auto"/>
            </w:pPr>
            <w:r>
              <w:rPr>
                <w:b w:val="0"/>
                <w:color w:val="000000"/>
                <w:sz w:val="18"/>
              </w:rPr>
              <w:t>PDF o TXT. Tamaño de 1 byte a 5 MB.</w:t>
            </w:r>
          </w:p>
        </w:tc>
      </w:tr>
      <w:tr>
        <w:trPr>
          <w:cantSplit/>
        </w:trPr>
        <w:tc>
          <w:tcPr>
            <w:tcW w:type="dxa" w:w="3005"/>
          </w:tcPr>
          <w:p>
            <w:pPr>
              <w:spacing w:after="80" w:before="60" w:line="247" w:lineRule="auto"/>
            </w:pPr>
            <w:r>
              <w:rPr>
                <w:b w:val="0"/>
                <w:color w:val="000000"/>
                <w:sz w:val="18"/>
              </w:rPr>
              <w:t>Evidencia y documentación</w:t>
            </w:r>
          </w:p>
        </w:tc>
        <w:tc>
          <w:tcPr>
            <w:tcW w:type="dxa" w:w="6520"/>
          </w:tcPr>
          <w:p>
            <w:pPr>
              <w:spacing w:after="80" w:before="60" w:line="247" w:lineRule="auto"/>
            </w:pPr>
            <w:r>
              <w:rPr>
                <w:b w:val="0"/>
                <w:color w:val="000000"/>
                <w:sz w:val="18"/>
              </w:rPr>
              <w:t>PDF, TXT, PNG o JPEG según el bucket; hasta 5 MB.</w:t>
            </w:r>
          </w:p>
        </w:tc>
      </w:tr>
      <w:tr>
        <w:trPr>
          <w:cantSplit/>
        </w:trPr>
        <w:tc>
          <w:tcPr>
            <w:tcW w:type="dxa" w:w="3005"/>
          </w:tcPr>
          <w:p>
            <w:pPr>
              <w:spacing w:after="80" w:before="60" w:line="247" w:lineRule="auto"/>
            </w:pPr>
            <w:r>
              <w:rPr>
                <w:b w:val="0"/>
                <w:color w:val="000000"/>
                <w:sz w:val="18"/>
              </w:rPr>
              <w:t>PDF con texto</w:t>
            </w:r>
          </w:p>
        </w:tc>
        <w:tc>
          <w:tcPr>
            <w:tcW w:type="dxa" w:w="6520"/>
          </w:tcPr>
          <w:p>
            <w:pPr>
              <w:spacing w:after="80" w:before="60" w:line="247" w:lineRule="auto"/>
            </w:pPr>
            <w:r>
              <w:rPr>
                <w:b w:val="0"/>
                <w:color w:val="000000"/>
                <w:sz w:val="18"/>
              </w:rPr>
              <w:t>PDF.js extrae hasta 20 páginas y conserva hasta 14000 caracteres.</w:t>
            </w:r>
          </w:p>
        </w:tc>
      </w:tr>
      <w:tr>
        <w:trPr>
          <w:cantSplit/>
        </w:trPr>
        <w:tc>
          <w:tcPr>
            <w:tcW w:type="dxa" w:w="3005"/>
          </w:tcPr>
          <w:p>
            <w:pPr>
              <w:spacing w:after="80" w:before="60" w:line="247" w:lineRule="auto"/>
            </w:pPr>
            <w:r>
              <w:rPr>
                <w:b w:val="0"/>
                <w:color w:val="000000"/>
                <w:sz w:val="18"/>
              </w:rPr>
              <w:t>PDF escaneado con Ollama</w:t>
            </w:r>
          </w:p>
        </w:tc>
        <w:tc>
          <w:tcPr>
            <w:tcW w:type="dxa" w:w="6520"/>
          </w:tcPr>
          <w:p>
            <w:pPr>
              <w:spacing w:after="80" w:before="60" w:line="247" w:lineRule="auto"/>
            </w:pPr>
            <w:r>
              <w:rPr>
                <w:b w:val="0"/>
                <w:color w:val="000000"/>
                <w:sz w:val="18"/>
              </w:rPr>
              <w:t>Renderizado a PNG en servidor; hasta 6 páginas, lado mayor de hasta 1600 píxeles.</w:t>
            </w:r>
          </w:p>
        </w:tc>
      </w:tr>
      <w:tr>
        <w:trPr>
          <w:cantSplit/>
        </w:trPr>
        <w:tc>
          <w:tcPr>
            <w:tcW w:type="dxa" w:w="3005"/>
          </w:tcPr>
          <w:p>
            <w:pPr>
              <w:spacing w:after="80" w:before="60" w:line="247" w:lineRule="auto"/>
            </w:pPr>
            <w:r>
              <w:rPr>
                <w:b w:val="0"/>
                <w:color w:val="000000"/>
                <w:sz w:val="18"/>
              </w:rPr>
              <w:t>Imagen</w:t>
            </w:r>
          </w:p>
        </w:tc>
        <w:tc>
          <w:tcPr>
            <w:tcW w:type="dxa" w:w="6520"/>
          </w:tcPr>
          <w:p>
            <w:pPr>
              <w:spacing w:after="80" w:before="60" w:line="247" w:lineRule="auto"/>
            </w:pPr>
            <w:r>
              <w:rPr>
                <w:b w:val="0"/>
                <w:color w:val="000000"/>
                <w:sz w:val="18"/>
              </w:rPr>
              <w:t>Adjunto al modelo visual configurado.</w:t>
            </w:r>
          </w:p>
        </w:tc>
      </w:tr>
      <w:tr>
        <w:trPr>
          <w:cantSplit/>
        </w:trPr>
        <w:tc>
          <w:tcPr>
            <w:tcW w:type="dxa" w:w="3005"/>
          </w:tcPr>
          <w:p>
            <w:pPr>
              <w:spacing w:after="80" w:before="60" w:line="247" w:lineRule="auto"/>
            </w:pPr>
            <w:r>
              <w:rPr>
                <w:b w:val="0"/>
                <w:color w:val="000000"/>
                <w:sz w:val="18"/>
              </w:rPr>
              <w:t>Gemini multimodal</w:t>
            </w:r>
          </w:p>
        </w:tc>
        <w:tc>
          <w:tcPr>
            <w:tcW w:type="dxa" w:w="6520"/>
          </w:tcPr>
          <w:p>
            <w:pPr>
              <w:spacing w:after="80" w:before="60" w:line="247" w:lineRule="auto"/>
            </w:pPr>
            <w:r>
              <w:rPr>
                <w:b w:val="0"/>
                <w:color w:val="000000"/>
                <w:sz w:val="18"/>
              </w:rPr>
              <w:t>PDF o imagen autorizados en la petición, con el límite de subida del sistema.</w:t>
            </w:r>
          </w:p>
        </w:tc>
      </w:tr>
    </w:tbl>
    <w:p/>
    <w:p>
      <w:pPr>
        <w:pStyle w:val="Heading2"/>
      </w:pPr>
      <w:r>
        <w:t>Selección de la ruta de análisis</w:t>
      </w:r>
    </w:p>
    <w:p>
      <w:r>
        <w:t>Reclutamiento y evidencias utilizan primero el texto almacenado. Sin texto útil y con un archivo compatible, authorizedAttachment descarga con los permisos de la sesión y prepara la entrada visual. Un PDF mixto puede analizarse por su texto sin interpretar todas sus imágenes; debe considerarse al validar el resultado.</w:t>
      </w:r>
    </w:p>
    <w:p>
      <w:r>
        <w:t>Para Ollama, pdfImages rechaza un PDF de más de seis páginas en lugar de analizar solo una parte silenciosamente. La extracción de texto sí se acota por páginas y caracteres. Un PDF con contraseña o ilegible genera un error.</w:t>
      </w:r>
    </w:p>
    <w:p>
      <w:pPr>
        <w:pStyle w:val="Heading2"/>
      </w:pPr>
      <w:r>
        <w:t>Validaciones y seguridad</w:t>
      </w:r>
    </w:p>
    <w:p>
      <w:r>
        <w:t>inspectFile comprueba tamaño, extensión, MIME y firma inicial. TXT debe ser UTF-8 válido y no contener bytes nulos. El servidor limita el cuerpo multipart antes de procesarlo. Estas validaciones no equivalen a un antivirus ni garantizan contenido confiable.</w:t>
      </w:r>
    </w:p>
    <w:p>
      <w:r>
        <w:t>Storage y PostgreSQL son operaciones separadas. Si falla la asociación, la API intenta retirar el objeto; una interrupción o fallo de limpieza puede dejar archivos sin referencia. Quien posea un enlace firmado válido puede utilizarlo hasta que expire.</w:t>
      </w:r>
    </w:p>
    <w:p>
      <w:r>
        <w:rPr>
          <w:i/>
          <w:sz w:val="16"/>
        </w:rPr>
        <w:t>Referencia en el repositorio: src/lib/storage/files.ts; src/lib/ai/attachments.ts y pdf-vision.ts; src/app/api/files/route.ts; next.config.ts.</w:t>
      </w:r>
    </w:p>
    <w:p>
      <w:r>
        <w:br w:type="page"/>
      </w:r>
    </w:p>
    <w:p>
      <w:pPr>
        <w:pStyle w:val="Heading1"/>
      </w:pPr>
      <w:r>
        <w:t>Desempeño y analíticas</w:t>
      </w:r>
    </w:p>
    <w:p>
      <w:pPr>
        <w:pStyle w:val="Heading2"/>
      </w:pPr>
      <w:r>
        <w:t>Desempeño de personas</w:t>
      </w:r>
    </w:p>
    <w:p>
      <w:r>
        <w:t>Desempeño reúne avance de tareas, capacitación e incorporación, con búsqueda y filtros permitidos. RH consulta el alcance organizacional, JEFE su equipo y EMPLEADO su información propia. El perfil puede pedir un resumen de IA limitado a lo que el usuario puede consultar.</w:t>
      </w:r>
    </w:p>
    <w:p>
      <w:r>
        <w:t>performance/service.ts conserva un indicador determinista: 60 % del porcentaje de tareas aprobadas más 40 % del porcentaje de cursos completados. Su señal es verde a partir de 80, amarilla desde 60 y roja por debajo. Una categoría vacía aporta cero; el resultado no constituye una valoración suficiente de la capacidad de una persona.</w:t>
      </w:r>
    </w:p>
    <w:p>
      <w:pPr>
        <w:pStyle w:val="Heading2"/>
      </w:pPr>
      <w:r>
        <w:t>Analíticas de procesos</w:t>
      </w:r>
    </w:p>
    <w:p>
      <w:r>
        <w:t>Analíticas se orienta a cantidades, estados y actividad de reclutamiento y operación. Su ruta de IA exige RH, incluida superadministración. analytics-summary.ts calcula cifras con registros filtrados y usa la IA para elegir temas de un catálogo controlado. Los conteos no se delegan a texto libre del modelo.</w:t>
      </w:r>
    </w:p>
    <w:p>
      <w:pPr>
        <w:pStyle w:val="Heading2"/>
      </w:pPr>
      <w:r>
        <w:t>Gráficas por instrucciones</w:t>
      </w:r>
    </w:p>
    <w:p>
      <w:r>
        <w:t>chartSchema restringe la selección a tareas, cursos asignados, onboarding, postulaciones, vacantes y entrevistas. Las agrupaciones son estado, área, día o mes; los tipos son barras horizontales, columnas, líneas, circular o dona. Desempeño no admite conjuntos de reclutamiento.</w:t>
      </w:r>
    </w:p>
    <w:p>
      <w:r>
        <w:t>La IA propone una descripción y chartValues calcula valores con datos autorizados. requestedCharts reconoce solicitudes explícitas y elimina gráficos repetidos. No se ejecuta código generado por el modelo ni SQL suministrado en un prompt.</w:t>
      </w:r>
    </w:p>
    <w:p>
      <w:r>
        <w:t>Agrupar por fecha de creación representa cuándo se crearon los registros. No es una serie histórica del porcentaje de desempeño de cada día. Para ello se necesitarían eventos o mediciones conservados en el tiempo. El título, la leyenda y los totales deben leerse con esta distinción.</w:t>
      </w:r>
    </w:p>
    <w:p>
      <w:pPr>
        <w:pStyle w:val="Heading2"/>
      </w:pPr>
      <w:r>
        <w:t>Instrucciones revisables</w:t>
      </w:r>
    </w:p>
    <w:p>
      <w:r>
        <w:t>La propuesta de instrucciones aparece en una tarjeta separada y se aplica explícitamente al formulario. El servidor vuelve a validar filtros e identificadores. Las instrucciones no amplían el alcance del rol ni convierten falta de datos en bajo desempeño.</w:t>
      </w:r>
    </w:p>
    <w:p>
      <w:r>
        <w:rPr>
          <w:i/>
          <w:sz w:val="16"/>
        </w:rPr>
        <w:t>Referencia en el repositorio: src/modules/workspace/workforce-ai.ts y analytics-summary.ts; src/modules/performance/service.ts; src/app/api/ai/workforce/route.ts.</w:t>
      </w:r>
    </w:p>
    <w:p>
      <w:r>
        <w:br w:type="page"/>
      </w:r>
    </w:p>
    <w:p>
      <w:pPr>
        <w:pStyle w:val="Heading1"/>
      </w:pPr>
      <w:r>
        <w:t>Ambiente laboral y participación</w:t>
      </w:r>
    </w:p>
    <w:p>
      <w:r>
        <w:t>RH y jefes autorizados preparan encuestas en borrador o piden una propuesta a IA, corrigen preguntas, eligen destinatarios y publican. La API usa de 3 a 12 preguntas con calificaciones de 1 a 5; la presentación recuerda a un formulario, pero no implementa todos los tipos de pregunta de Google Forms.</w:t>
      </w:r>
    </w:p>
    <w:p>
      <w:pPr>
        <w:pStyle w:val="Heading2"/>
      </w:pPr>
      <w:r>
        <w:t>Ciclo de una encuesta</w:t>
      </w:r>
    </w:p>
    <w:p>
      <w:r>
        <w:rPr>
          <w:rFonts w:ascii="Consolas" w:hAnsi="Consolas"/>
          <w:sz w:val="17"/>
        </w:rPr>
        <w:t>DRAFT → OPEN → CLOSED</w:t>
      </w:r>
    </w:p>
    <w:p>
      <w:r>
        <w:t>En borrador se cambian contenido y destinatarios. Al publicar se congelan preguntas y asignaciones. Se admite publicar desde una persona, pero el análisis anónimo requiere al menos cinco respuestas y la encuesta cerrada.</w:t>
      </w:r>
    </w:p>
    <w:p>
      <w:r>
        <w:t>Pendientes propios permite que un jefe responda encuestas dirigidas a él. Actualizar participación consulta cuántas personas respondieron; no responde ni modifica participantes. Se muestra la relación entre respuestas recibidas y personas invitadas.</w:t>
      </w:r>
    </w:p>
    <w:p>
      <w:pPr>
        <w:pStyle w:val="Heading2"/>
      </w:pPr>
      <w:r>
        <w:t>Separación de identidad y respuesta</w:t>
      </w:r>
    </w:p>
    <w:p>
      <w:r>
        <w:t>climate_assignments guarda destinatarios y climate_participation registra participación para evitar duplicados. climate_answers conserva puntuaciones y comentario sin autor. climate_feedback y climate_feedback_receipts aplican una separación semejante para comentarios.</w:t>
      </w:r>
    </w:p>
    <w:p>
      <w:r>
        <w:t>RLS, la separación de tablas, los grupos mínimos y la ausencia de auditoría de respuestas protegen el anonimato funcional. No debe prometerse anonimato absoluto frente a administradores de infraestructura o frente a datos identificables escritos voluntariamente en comentarios.</w:t>
      </w:r>
    </w:p>
    <w:p>
      <w:pPr>
        <w:pStyle w:val="Heading2"/>
      </w:pPr>
      <w:r>
        <w:t>Lectura y análisis</w:t>
      </w:r>
    </w:p>
    <w:p>
      <w:r>
        <w:t>climate_results devuelve resultados autorizados y respeta el grupo mínimo. La interfaz representa participación y promedios. ai.graphs envía agregados, preguntas y tamaños de grupo, sin comentarios ni identidades, para interpretar gráficas. ai.summary tiene un flujo distinto para resumir ambiente laboral y comentarios permitidos.</w:t>
      </w:r>
    </w:p>
    <w:p>
      <w:r>
        <w:t>El resumen describe observaciones, límites y recomendaciones. No es un diagnóstico psicológico ni debe utilizarse para identificar autores. Los grupos pequeños permanecen sin resultados que permitan inferir respuestas individuales.</w:t>
      </w:r>
    </w:p>
    <w:p>
      <w:r>
        <w:rPr>
          <w:i/>
          <w:sz w:val="16"/>
        </w:rPr>
        <w:t>Referencia en el repositorio: src/app/api/climate/route.ts; src/components/workplace-climate.tsx y climate-results.tsx; migraciones de clima y revisiones.</w:t>
      </w:r>
    </w:p>
    <w:p>
      <w:r>
        <w:br w:type="page"/>
      </w:r>
    </w:p>
    <w:p>
      <w:pPr>
        <w:pStyle w:val="Heading1"/>
      </w:pPr>
      <w:r>
        <w:t>Seguridad y trazabilidad</w:t>
      </w:r>
    </w:p>
    <w:p>
      <w:pPr>
        <w:pStyle w:val="Heading2"/>
      </w:pPr>
      <w:r>
        <w:t>Controles implementados</w:t>
      </w:r>
    </w:p>
    <w:p>
      <w:r>
        <w:t>Las claves privadas se consumen en servidor y .env.local queda fuera de Git. adminDb usa service_role y omite RLS; se reserva para operaciones que ya autorizaron identidad y recurso. Los clientes de sesión mantienen RLS para el trabajo ordinario.</w:t>
      </w:r>
    </w:p>
    <w:p>
      <w:r>
        <w:t>checkOrigin rechaza orígenes distintos y peticiones cross-site. readJson limita a 100000 bytes durante la lectura, aunque falte Content-Length. readFormData limita a 5 MB más 100000 bytes de campos y delimitadores. Zod comprueba datos permitidos y SQL protege propiedad, relaciones y transiciones.</w:t>
      </w:r>
    </w:p>
    <w:p>
      <w:r>
        <w:t>Las cabeceras incluyen nosniff, prohibición de marcos y una política de contenido. En desarrollo se permite unsafe-eval para herramientas; script-src mantiene unsafe-inline. Es protección parcial y no elimina por sí sola el riesgo de XSS. React presenta texto de usuario sin ejecutar instrucciones del modelo.</w:t>
      </w:r>
    </w:p>
    <w:p>
      <w:pPr>
        <w:pStyle w:val="Heading2"/>
      </w:pPr>
      <w:r>
        <w:t>Auditoría exclusiva del superusuario</w:t>
      </w:r>
    </w:p>
    <w:p>
      <w:r>
        <w:t>audit_logs registra acción, recurso, actor, rol, fecha y metadatos permitidos. La migración de detalle conserva valores operativos anteriores y nuevos: estado, prioridad, puesto, jefe y progreso, entre otros. La vista muestra primero 30 eventos y permite navegar por páginas.</w:t>
      </w:r>
    </w:p>
    <w:p>
      <w:r>
        <w:t>Se cargan como máximo 1000 eventos. Paginación y filtros actúan sobre esa muestra, no sobre todo el histórico. Las políticas y rutas excluyen a RH y jefes. Los valores anteriores no se reconstruyen si nunca se registraron.</w:t>
      </w:r>
    </w:p>
    <w:p>
      <w:r>
        <w:t>La auditoría no copia contraseñas, documentos completos ni comentarios privados. Respuestas de clima y recibos de participación se excluyen para evitar asociar personas y opiniones. Los cambios de la encuesta sí pueden auditarse.</w:t>
      </w:r>
    </w:p>
    <w:p>
      <w:pPr>
        <w:pStyle w:val="Heading2"/>
      </w:pPr>
      <w:r>
        <w:t>Alcance de las garantías</w:t>
      </w:r>
    </w:p>
    <w:p>
      <w:r>
        <w:t>Las pruebas comprueban aislamiento, roles, RLS, transacciones y rechazo de peticiones. La auditoría de paquetes no reportó vulnerabilidades conocidas, pero no prueba ausencia total de fallos. Este manual no acredita un antivirus de documentos ni una certificación externa de seguridad.</w:t>
      </w:r>
    </w:p>
    <w:p>
      <w:r>
        <w:rPr>
          <w:i/>
          <w:sz w:val="16"/>
        </w:rPr>
        <w:t>Referencia en el repositorio: src/lib/api.ts; src/lib/auth; src/lib/supabase/server.ts; next.config.ts; migraciones hardening y audit_details.</w:t>
      </w:r>
    </w:p>
    <w:p>
      <w:r>
        <w:br w:type="page"/>
      </w:r>
    </w:p>
    <w:p>
      <w:pPr>
        <w:pStyle w:val="Heading1"/>
      </w:pPr>
      <w:r>
        <w:t>Contratos de API y manejo de errores</w:t>
      </w:r>
    </w:p>
    <w:p>
      <w:r>
        <w:t>POST /api/commands recibe operación y carga útil. El catálogo de schemas impide nombres arbitrarios. Algunas operaciones llaman funciones dedicadas, como save_department; las demás delegan a command. Las rutas de dominio de /api/[...segments] complementan el contrato y mantienen las validaciones aplicables.</w:t>
      </w:r>
    </w:p>
    <w:p>
      <w:r>
        <w:rPr>
          <w:rFonts w:ascii="Consolas" w:hAnsi="Consolas"/>
          <w:sz w:val="17"/>
        </w:rPr>
        <w:t>{ "op": "task.save", "payload": {</w:t>
        <w:br/>
        <w:t xml:space="preserve">  "title": "Revisar manual", "description": "Documentar observaciones",</w:t>
        <w:br/>
        <w:t xml:space="preserve">  "employee_id": "&lt;UUID autorizado&gt;", "priority": "MEDIUM",</w:t>
        <w:br/>
        <w:t xml:space="preserve">  "due_date": "2026-09-30"</w:t>
        <w:br/>
        <w:t>} }</w:t>
      </w:r>
    </w:p>
    <w:tbl>
      <w:tblPr>
        <w:tblStyle w:val="TableGrid"/>
        <w:tblW w:type="auto" w:w="0"/>
        <w:tblLayout w:type="fixed"/>
        <w:tblLook w:firstColumn="1" w:firstRow="1" w:lastColumn="0" w:lastRow="0" w:noHBand="0" w:noVBand="1" w:val="04A0"/>
      </w:tblPr>
      <w:tblGrid>
        <w:gridCol w:w="5329"/>
        <w:gridCol w:w="4195"/>
      </w:tblGrid>
      <w:tr>
        <w:trPr>
          <w:cantSplit/>
          <w:tblHeader/>
        </w:trPr>
        <w:tc>
          <w:tcPr>
            <w:tcW w:type="dxa" w:w="5329"/>
            <w:shd w:fill="E8ECEF"/>
          </w:tcPr>
          <w:p>
            <w:pPr>
              <w:spacing w:after="80" w:before="60" w:line="247" w:lineRule="auto"/>
            </w:pPr>
            <w:r>
              <w:rPr>
                <w:b/>
                <w:color w:val="000000"/>
                <w:sz w:val="18"/>
              </w:rPr>
              <w:t>Endpoint</w:t>
            </w:r>
          </w:p>
        </w:tc>
        <w:tc>
          <w:tcPr>
            <w:tcW w:type="dxa" w:w="4195"/>
            <w:shd w:fill="E8ECEF"/>
          </w:tcPr>
          <w:p>
            <w:pPr>
              <w:spacing w:after="80" w:before="60" w:line="247" w:lineRule="auto"/>
            </w:pPr>
            <w:r>
              <w:rPr>
                <w:b/>
                <w:color w:val="000000"/>
                <w:sz w:val="18"/>
              </w:rPr>
              <w:t>Finalidad</w:t>
            </w:r>
          </w:p>
        </w:tc>
      </w:tr>
      <w:tr>
        <w:trPr>
          <w:cantSplit/>
        </w:trPr>
        <w:tc>
          <w:tcPr>
            <w:tcW w:type="dxa" w:w="5329"/>
          </w:tcPr>
          <w:p>
            <w:pPr>
              <w:spacing w:after="80" w:before="60" w:line="247" w:lineRule="auto"/>
            </w:pPr>
            <w:r>
              <w:rPr>
                <w:b w:val="0"/>
                <w:color w:val="000000"/>
                <w:sz w:val="18"/>
              </w:rPr>
              <w:t>/api/auth/{action}</w:t>
            </w:r>
          </w:p>
        </w:tc>
        <w:tc>
          <w:tcPr>
            <w:tcW w:type="dxa" w:w="4195"/>
          </w:tcPr>
          <w:p>
            <w:pPr>
              <w:spacing w:after="80" w:before="60" w:line="247" w:lineRule="auto"/>
            </w:pPr>
            <w:r>
              <w:rPr>
                <w:b w:val="0"/>
                <w:color w:val="000000"/>
                <w:sz w:val="18"/>
              </w:rPr>
              <w:t>Registro, inicio y cierre de sesión.</w:t>
            </w:r>
          </w:p>
        </w:tc>
      </w:tr>
      <w:tr>
        <w:trPr>
          <w:cantSplit/>
        </w:trPr>
        <w:tc>
          <w:tcPr>
            <w:tcW w:type="dxa" w:w="5329"/>
          </w:tcPr>
          <w:p>
            <w:pPr>
              <w:spacing w:after="80" w:before="60" w:line="247" w:lineRule="auto"/>
            </w:pPr>
            <w:r>
              <w:rPr>
                <w:b w:val="0"/>
                <w:color w:val="000000"/>
                <w:sz w:val="18"/>
              </w:rPr>
              <w:t>/api/admin/users</w:t>
            </w:r>
          </w:p>
        </w:tc>
        <w:tc>
          <w:tcPr>
            <w:tcW w:type="dxa" w:w="4195"/>
          </w:tcPr>
          <w:p>
            <w:pPr>
              <w:spacing w:after="80" w:before="60" w:line="247" w:lineRule="auto"/>
            </w:pPr>
            <w:r>
              <w:rPr>
                <w:b w:val="0"/>
                <w:color w:val="000000"/>
                <w:sz w:val="18"/>
              </w:rPr>
              <w:t>Alta de cuentas y rol.</w:t>
            </w:r>
          </w:p>
        </w:tc>
      </w:tr>
      <w:tr>
        <w:trPr>
          <w:cantSplit/>
        </w:trPr>
        <w:tc>
          <w:tcPr>
            <w:tcW w:type="dxa" w:w="5329"/>
          </w:tcPr>
          <w:p>
            <w:pPr>
              <w:spacing w:after="80" w:before="60" w:line="247" w:lineRule="auto"/>
            </w:pPr>
            <w:r>
              <w:rPr>
                <w:b w:val="0"/>
                <w:color w:val="000000"/>
                <w:sz w:val="18"/>
              </w:rPr>
              <w:t>/api/assignments</w:t>
            </w:r>
          </w:p>
        </w:tc>
        <w:tc>
          <w:tcPr>
            <w:tcW w:type="dxa" w:w="4195"/>
          </w:tcPr>
          <w:p>
            <w:pPr>
              <w:spacing w:after="80" w:before="60" w:line="247" w:lineRule="auto"/>
            </w:pPr>
            <w:r>
              <w:rPr>
                <w:b w:val="0"/>
                <w:color w:val="000000"/>
                <w:sz w:val="18"/>
              </w:rPr>
              <w:t>Asignaciones múltiples.</w:t>
            </w:r>
          </w:p>
        </w:tc>
      </w:tr>
      <w:tr>
        <w:trPr>
          <w:cantSplit/>
        </w:trPr>
        <w:tc>
          <w:tcPr>
            <w:tcW w:type="dxa" w:w="5329"/>
          </w:tcPr>
          <w:p>
            <w:pPr>
              <w:spacing w:after="80" w:before="60" w:line="247" w:lineRule="auto"/>
            </w:pPr>
            <w:r>
              <w:rPr>
                <w:b w:val="0"/>
                <w:color w:val="000000"/>
                <w:sz w:val="18"/>
              </w:rPr>
              <w:t>/api/teams y /api/employee-assignment</w:t>
            </w:r>
          </w:p>
        </w:tc>
        <w:tc>
          <w:tcPr>
            <w:tcW w:type="dxa" w:w="4195"/>
          </w:tcPr>
          <w:p>
            <w:pPr>
              <w:spacing w:after="80" w:before="60" w:line="247" w:lineRule="auto"/>
            </w:pPr>
            <w:r>
              <w:rPr>
                <w:b w:val="0"/>
                <w:color w:val="000000"/>
                <w:sz w:val="18"/>
              </w:rPr>
              <w:t>Jefatura y asignación de contratación.</w:t>
            </w:r>
          </w:p>
        </w:tc>
      </w:tr>
      <w:tr>
        <w:trPr>
          <w:cantSplit/>
        </w:trPr>
        <w:tc>
          <w:tcPr>
            <w:tcW w:type="dxa" w:w="5329"/>
          </w:tcPr>
          <w:p>
            <w:pPr>
              <w:spacing w:after="80" w:before="60" w:line="247" w:lineRule="auto"/>
            </w:pPr>
            <w:r>
              <w:rPr>
                <w:b w:val="0"/>
                <w:color w:val="000000"/>
                <w:sz w:val="18"/>
              </w:rPr>
              <w:t>/api/files y /api/vacancy-documents</w:t>
            </w:r>
          </w:p>
        </w:tc>
        <w:tc>
          <w:tcPr>
            <w:tcW w:type="dxa" w:w="4195"/>
          </w:tcPr>
          <w:p>
            <w:pPr>
              <w:spacing w:after="80" w:before="60" w:line="247" w:lineRule="auto"/>
            </w:pPr>
            <w:r>
              <w:rPr>
                <w:b w:val="0"/>
                <w:color w:val="000000"/>
                <w:sz w:val="18"/>
              </w:rPr>
              <w:t>Subida y acceso a archivos privados.</w:t>
            </w:r>
          </w:p>
        </w:tc>
      </w:tr>
      <w:tr>
        <w:trPr>
          <w:cantSplit/>
        </w:trPr>
        <w:tc>
          <w:tcPr>
            <w:tcW w:type="dxa" w:w="5329"/>
          </w:tcPr>
          <w:p>
            <w:pPr>
              <w:spacing w:after="80" w:before="60" w:line="247" w:lineRule="auto"/>
            </w:pPr>
            <w:r>
              <w:rPr>
                <w:b w:val="0"/>
                <w:color w:val="000000"/>
                <w:sz w:val="18"/>
              </w:rPr>
              <w:t>/api/onboarding-plans y /api/onboarding-learning</w:t>
            </w:r>
          </w:p>
        </w:tc>
        <w:tc>
          <w:tcPr>
            <w:tcW w:type="dxa" w:w="4195"/>
          </w:tcPr>
          <w:p>
            <w:pPr>
              <w:spacing w:after="80" w:before="60" w:line="247" w:lineRule="auto"/>
            </w:pPr>
            <w:r>
              <w:rPr>
                <w:b w:val="0"/>
                <w:color w:val="000000"/>
                <w:sz w:val="18"/>
              </w:rPr>
              <w:t>Planes, lectura y cuestionarios.</w:t>
            </w:r>
          </w:p>
        </w:tc>
      </w:tr>
      <w:tr>
        <w:trPr>
          <w:cantSplit/>
        </w:trPr>
        <w:tc>
          <w:tcPr>
            <w:tcW w:type="dxa" w:w="5329"/>
          </w:tcPr>
          <w:p>
            <w:pPr>
              <w:spacing w:after="80" w:before="60" w:line="247" w:lineRule="auto"/>
            </w:pPr>
            <w:r>
              <w:rPr>
                <w:b w:val="0"/>
                <w:color w:val="000000"/>
                <w:sz w:val="18"/>
              </w:rPr>
              <w:t>/api/training</w:t>
            </w:r>
          </w:p>
        </w:tc>
        <w:tc>
          <w:tcPr>
            <w:tcW w:type="dxa" w:w="4195"/>
          </w:tcPr>
          <w:p>
            <w:pPr>
              <w:spacing w:after="80" w:before="60" w:line="247" w:lineRule="auto"/>
            </w:pPr>
            <w:r>
              <w:rPr>
                <w:b w:val="0"/>
                <w:color w:val="000000"/>
                <w:sz w:val="18"/>
              </w:rPr>
              <w:t>Recursos y opinión de evidencia.</w:t>
            </w:r>
          </w:p>
        </w:tc>
      </w:tr>
      <w:tr>
        <w:trPr>
          <w:cantSplit/>
        </w:trPr>
        <w:tc>
          <w:tcPr>
            <w:tcW w:type="dxa" w:w="5329"/>
          </w:tcPr>
          <w:p>
            <w:pPr>
              <w:spacing w:after="80" w:before="60" w:line="247" w:lineRule="auto"/>
            </w:pPr>
            <w:r>
              <w:rPr>
                <w:b w:val="0"/>
                <w:color w:val="000000"/>
                <w:sz w:val="18"/>
              </w:rPr>
              <w:t>/api/task-messages</w:t>
            </w:r>
          </w:p>
        </w:tc>
        <w:tc>
          <w:tcPr>
            <w:tcW w:type="dxa" w:w="4195"/>
          </w:tcPr>
          <w:p>
            <w:pPr>
              <w:spacing w:after="80" w:before="60" w:line="247" w:lineRule="auto"/>
            </w:pPr>
            <w:r>
              <w:rPr>
                <w:b w:val="0"/>
                <w:color w:val="000000"/>
                <w:sz w:val="18"/>
              </w:rPr>
              <w:t>Mensajes y acuses de lectura.</w:t>
            </w:r>
          </w:p>
        </w:tc>
      </w:tr>
      <w:tr>
        <w:trPr>
          <w:cantSplit/>
        </w:trPr>
        <w:tc>
          <w:tcPr>
            <w:tcW w:type="dxa" w:w="5329"/>
          </w:tcPr>
          <w:p>
            <w:pPr>
              <w:spacing w:after="80" w:before="60" w:line="247" w:lineRule="auto"/>
            </w:pPr>
            <w:r>
              <w:rPr>
                <w:b w:val="0"/>
                <w:color w:val="000000"/>
                <w:sz w:val="18"/>
              </w:rPr>
              <w:t>/api/climate</w:t>
            </w:r>
          </w:p>
        </w:tc>
        <w:tc>
          <w:tcPr>
            <w:tcW w:type="dxa" w:w="4195"/>
          </w:tcPr>
          <w:p>
            <w:pPr>
              <w:spacing w:after="80" w:before="60" w:line="247" w:lineRule="auto"/>
            </w:pPr>
            <w:r>
              <w:rPr>
                <w:b w:val="0"/>
                <w:color w:val="000000"/>
                <w:sz w:val="18"/>
              </w:rPr>
              <w:t>Encuestas, participación y análisis.</w:t>
            </w:r>
          </w:p>
        </w:tc>
      </w:tr>
      <w:tr>
        <w:trPr>
          <w:cantSplit/>
        </w:trPr>
        <w:tc>
          <w:tcPr>
            <w:tcW w:type="dxa" w:w="5329"/>
          </w:tcPr>
          <w:p>
            <w:pPr>
              <w:spacing w:after="80" w:before="60" w:line="247" w:lineRule="auto"/>
            </w:pPr>
            <w:r>
              <w:rPr>
                <w:b w:val="0"/>
                <w:color w:val="000000"/>
                <w:sz w:val="18"/>
              </w:rPr>
              <w:t>/api/ai/recruitment y /api/ai/evidence</w:t>
            </w:r>
          </w:p>
        </w:tc>
        <w:tc>
          <w:tcPr>
            <w:tcW w:type="dxa" w:w="4195"/>
          </w:tcPr>
          <w:p>
            <w:pPr>
              <w:spacing w:after="80" w:before="60" w:line="247" w:lineRule="auto"/>
            </w:pPr>
            <w:r>
              <w:rPr>
                <w:b w:val="0"/>
                <w:color w:val="000000"/>
                <w:sz w:val="18"/>
              </w:rPr>
              <w:t>Evaluaciones de CV y evidencia.</w:t>
            </w:r>
          </w:p>
        </w:tc>
      </w:tr>
      <w:tr>
        <w:trPr>
          <w:cantSplit/>
        </w:trPr>
        <w:tc>
          <w:tcPr>
            <w:tcW w:type="dxa" w:w="5329"/>
          </w:tcPr>
          <w:p>
            <w:pPr>
              <w:spacing w:after="80" w:before="60" w:line="247" w:lineRule="auto"/>
            </w:pPr>
            <w:r>
              <w:rPr>
                <w:b w:val="0"/>
                <w:color w:val="000000"/>
                <w:sz w:val="18"/>
              </w:rPr>
              <w:t>/api/ai/orchestrate y /api/ai/workforce</w:t>
            </w:r>
          </w:p>
        </w:tc>
        <w:tc>
          <w:tcPr>
            <w:tcW w:type="dxa" w:w="4195"/>
          </w:tcPr>
          <w:p>
            <w:pPr>
              <w:spacing w:after="80" w:before="60" w:line="247" w:lineRule="auto"/>
            </w:pPr>
            <w:r>
              <w:rPr>
                <w:b w:val="0"/>
                <w:color w:val="000000"/>
                <w:sz w:val="18"/>
              </w:rPr>
              <w:t>Resúmenes, gráficos y borradores.</w:t>
            </w:r>
          </w:p>
        </w:tc>
      </w:tr>
      <w:tr>
        <w:trPr>
          <w:cantSplit/>
        </w:trPr>
        <w:tc>
          <w:tcPr>
            <w:tcW w:type="dxa" w:w="5329"/>
          </w:tcPr>
          <w:p>
            <w:pPr>
              <w:spacing w:after="80" w:before="60" w:line="247" w:lineRule="auto"/>
            </w:pPr>
            <w:r>
              <w:rPr>
                <w:b w:val="0"/>
                <w:color w:val="000000"/>
                <w:sz w:val="18"/>
              </w:rPr>
              <w:t>/api/ai/vacancy</w:t>
            </w:r>
          </w:p>
        </w:tc>
        <w:tc>
          <w:tcPr>
            <w:tcW w:type="dxa" w:w="4195"/>
          </w:tcPr>
          <w:p>
            <w:pPr>
              <w:spacing w:after="80" w:before="60" w:line="247" w:lineRule="auto"/>
            </w:pPr>
            <w:r>
              <w:rPr>
                <w:b w:val="0"/>
                <w:color w:val="000000"/>
                <w:sz w:val="18"/>
              </w:rPr>
              <w:t>Borrador de vacante.</w:t>
            </w:r>
          </w:p>
        </w:tc>
      </w:tr>
    </w:tbl>
    <w:p/>
    <w:p>
      <w:pPr>
        <w:pStyle w:val="Heading2"/>
      </w:pPr>
      <w:r>
        <w:t>Respuestas de error</w:t>
      </w:r>
    </w:p>
    <w:p>
      <w:r>
        <w:t>401 indica falta de sesión; 403, permiso u origen rechazado; 404, recurso no disponible; 409, conflicto; 413, petición excesiva; 422, datos o estado incompatible; 429, límite de solicitudes. Fallos de proveedor pueden devolver 502 y servicios o migraciones no disponibles, 503. failure oculta detalles internos y conserva mensajes públicos controlados.</w:t>
      </w:r>
    </w:p>
    <w:p>
      <w:r>
        <w:rPr>
          <w:i/>
          <w:sz w:val="16"/>
        </w:rPr>
        <w:t>Referencia en el repositorio: src/app/api; src/lib/api.ts; src/modules/commands/schemas.ts. El ejemplo usa un marcador, no una identidad real.</w:t>
      </w:r>
    </w:p>
    <w:p>
      <w:r>
        <w:br w:type="page"/>
      </w:r>
    </w:p>
    <w:p>
      <w:pPr>
        <w:pStyle w:val="Heading1"/>
      </w:pPr>
      <w:r>
        <w:t>Configuración y arranque local</w:t>
      </w:r>
    </w:p>
    <w:p>
      <w:r>
        <w:t>Se recomienda Node.js 24 y las dependencias fijadas por package-lock.json. Next.js usa el puerto 3000. Supabase local requiere Docker Desktop con motor Linux y su CLI; con Supabase alojado la aplicación local no necesita levantar la base en Docker.</w:t>
      </w:r>
    </w:p>
    <w:p>
      <w:pPr>
        <w:pStyle w:val="Heading2"/>
      </w:pPr>
      <w:r>
        <w:t>Instalación y configuración</w:t>
      </w:r>
    </w:p>
    <w:p>
      <w:r>
        <w:rPr>
          <w:rFonts w:ascii="Consolas" w:hAnsi="Consolas"/>
          <w:sz w:val="17"/>
        </w:rPr>
        <w:t>npm.cmd ci</w:t>
        <w:br/>
        <w:t>Copy-Item .env.example .env.local</w:t>
        <w:br/>
        <w:t># Completar variables sin publicar claves</w:t>
        <w:br/>
        <w:t>npm.cmd run dev -- --hostname 127.0.0.1</w:t>
      </w:r>
    </w:p>
    <w:p>
      <w:r>
        <w:t>No copies .env.example sobre una configuración existente. Reinicia Next.js tras cambiar variables. Accede a http://127.0.0.1:3000/login y mantén consistente el origen del navegador.</w:t>
      </w:r>
    </w:p>
    <w:tbl>
      <w:tblPr>
        <w:tblStyle w:val="TableGrid"/>
        <w:tblW w:type="auto" w:w="0"/>
        <w:tblLayout w:type="fixed"/>
        <w:tblLook w:firstColumn="1" w:firstRow="1" w:lastColumn="0" w:lastRow="0" w:noHBand="0" w:noVBand="1" w:val="04A0"/>
      </w:tblPr>
      <w:tblGrid>
        <w:gridCol w:w="5272"/>
        <w:gridCol w:w="4252"/>
      </w:tblGrid>
      <w:tr>
        <w:trPr>
          <w:cantSplit/>
          <w:tblHeader/>
        </w:trPr>
        <w:tc>
          <w:tcPr>
            <w:tcW w:type="dxa" w:w="5272"/>
            <w:shd w:fill="E8ECEF"/>
          </w:tcPr>
          <w:p>
            <w:pPr>
              <w:spacing w:after="80" w:before="60" w:line="247" w:lineRule="auto"/>
            </w:pPr>
            <w:r>
              <w:rPr>
                <w:b/>
                <w:color w:val="000000"/>
                <w:sz w:val="18"/>
              </w:rPr>
              <w:t>Variable</w:t>
            </w:r>
          </w:p>
        </w:tc>
        <w:tc>
          <w:tcPr>
            <w:tcW w:type="dxa" w:w="4252"/>
            <w:shd w:fill="E8ECEF"/>
          </w:tcPr>
          <w:p>
            <w:pPr>
              <w:spacing w:after="80" w:before="60" w:line="247" w:lineRule="auto"/>
            </w:pPr>
            <w:r>
              <w:rPr>
                <w:b/>
                <w:color w:val="000000"/>
                <w:sz w:val="18"/>
              </w:rPr>
              <w:t>Uso</w:t>
            </w:r>
          </w:p>
        </w:tc>
      </w:tr>
      <w:tr>
        <w:trPr>
          <w:cantSplit/>
        </w:trPr>
        <w:tc>
          <w:tcPr>
            <w:tcW w:type="dxa" w:w="5272"/>
          </w:tcPr>
          <w:p>
            <w:pPr>
              <w:spacing w:after="80" w:before="60" w:line="247" w:lineRule="auto"/>
            </w:pPr>
            <w:r>
              <w:rPr>
                <w:b w:val="0"/>
                <w:color w:val="000000"/>
                <w:sz w:val="18"/>
              </w:rPr>
              <w:t>NEXT_PUBLIC_SUPABASE_URL</w:t>
            </w:r>
          </w:p>
        </w:tc>
        <w:tc>
          <w:tcPr>
            <w:tcW w:type="dxa" w:w="4252"/>
          </w:tcPr>
          <w:p>
            <w:pPr>
              <w:spacing w:after="80" w:before="60" w:line="247" w:lineRule="auto"/>
            </w:pPr>
            <w:r>
              <w:rPr>
                <w:b w:val="0"/>
                <w:color w:val="000000"/>
                <w:sz w:val="18"/>
              </w:rPr>
              <w:t>URL del proyecto Supabase.</w:t>
            </w:r>
          </w:p>
        </w:tc>
      </w:tr>
      <w:tr>
        <w:trPr>
          <w:cantSplit/>
        </w:trPr>
        <w:tc>
          <w:tcPr>
            <w:tcW w:type="dxa" w:w="5272"/>
          </w:tcPr>
          <w:p>
            <w:pPr>
              <w:spacing w:after="80" w:before="60" w:line="247" w:lineRule="auto"/>
            </w:pPr>
            <w:r>
              <w:rPr>
                <w:b w:val="0"/>
                <w:color w:val="000000"/>
                <w:sz w:val="18"/>
              </w:rPr>
              <w:t>NEXT_PUBLIC_SUPABASE_PUBLISHABLE_KEY</w:t>
            </w:r>
          </w:p>
        </w:tc>
        <w:tc>
          <w:tcPr>
            <w:tcW w:type="dxa" w:w="4252"/>
          </w:tcPr>
          <w:p>
            <w:pPr>
              <w:spacing w:after="80" w:before="60" w:line="247" w:lineRule="auto"/>
            </w:pPr>
            <w:r>
              <w:rPr>
                <w:b w:val="0"/>
                <w:color w:val="000000"/>
                <w:sz w:val="18"/>
              </w:rPr>
              <w:t>Clave publicable; ANON_KEY es la alternativa heredada.</w:t>
            </w:r>
          </w:p>
        </w:tc>
      </w:tr>
      <w:tr>
        <w:trPr>
          <w:cantSplit/>
        </w:trPr>
        <w:tc>
          <w:tcPr>
            <w:tcW w:type="dxa" w:w="5272"/>
          </w:tcPr>
          <w:p>
            <w:pPr>
              <w:spacing w:after="80" w:before="60" w:line="247" w:lineRule="auto"/>
            </w:pPr>
            <w:r>
              <w:rPr>
                <w:b w:val="0"/>
                <w:color w:val="000000"/>
                <w:sz w:val="18"/>
              </w:rPr>
              <w:t>SUPABASE_SERVICE_ROLE_KEY</w:t>
            </w:r>
          </w:p>
        </w:tc>
        <w:tc>
          <w:tcPr>
            <w:tcW w:type="dxa" w:w="4252"/>
          </w:tcPr>
          <w:p>
            <w:pPr>
              <w:spacing w:after="80" w:before="60" w:line="247" w:lineRule="auto"/>
            </w:pPr>
            <w:r>
              <w:rPr>
                <w:b w:val="0"/>
                <w:color w:val="000000"/>
                <w:sz w:val="18"/>
              </w:rPr>
              <w:t>Clave administrativa privada de servidor.</w:t>
            </w:r>
          </w:p>
        </w:tc>
      </w:tr>
      <w:tr>
        <w:trPr>
          <w:cantSplit/>
        </w:trPr>
        <w:tc>
          <w:tcPr>
            <w:tcW w:type="dxa" w:w="5272"/>
          </w:tcPr>
          <w:p>
            <w:pPr>
              <w:spacing w:after="80" w:before="60" w:line="247" w:lineRule="auto"/>
            </w:pPr>
            <w:r>
              <w:rPr>
                <w:b w:val="0"/>
                <w:color w:val="000000"/>
                <w:sz w:val="18"/>
              </w:rPr>
              <w:t>SUPABASE_INTERNAL_URL</w:t>
            </w:r>
          </w:p>
        </w:tc>
        <w:tc>
          <w:tcPr>
            <w:tcW w:type="dxa" w:w="4252"/>
          </w:tcPr>
          <w:p>
            <w:pPr>
              <w:spacing w:after="80" w:before="60" w:line="247" w:lineRule="auto"/>
            </w:pPr>
            <w:r>
              <w:rPr>
                <w:b w:val="0"/>
                <w:color w:val="000000"/>
                <w:sz w:val="18"/>
              </w:rPr>
              <w:t>URL opcional dentro de contenedores.</w:t>
            </w:r>
          </w:p>
        </w:tc>
      </w:tr>
      <w:tr>
        <w:trPr>
          <w:cantSplit/>
        </w:trPr>
        <w:tc>
          <w:tcPr>
            <w:tcW w:type="dxa" w:w="5272"/>
          </w:tcPr>
          <w:p>
            <w:pPr>
              <w:spacing w:after="80" w:before="60" w:line="247" w:lineRule="auto"/>
            </w:pPr>
            <w:r>
              <w:rPr>
                <w:b w:val="0"/>
                <w:color w:val="000000"/>
                <w:sz w:val="18"/>
              </w:rPr>
              <w:t>AI_PROVIDER</w:t>
            </w:r>
          </w:p>
        </w:tc>
        <w:tc>
          <w:tcPr>
            <w:tcW w:type="dxa" w:w="4252"/>
          </w:tcPr>
          <w:p>
            <w:pPr>
              <w:spacing w:after="80" w:before="60" w:line="247" w:lineRule="auto"/>
            </w:pPr>
            <w:r>
              <w:rPr>
                <w:b w:val="0"/>
                <w:color w:val="000000"/>
                <w:sz w:val="18"/>
              </w:rPr>
              <w:t>ollama o gemini.</w:t>
            </w:r>
          </w:p>
        </w:tc>
      </w:tr>
      <w:tr>
        <w:trPr>
          <w:cantSplit/>
        </w:trPr>
        <w:tc>
          <w:tcPr>
            <w:tcW w:type="dxa" w:w="5272"/>
          </w:tcPr>
          <w:p>
            <w:pPr>
              <w:spacing w:after="80" w:before="60" w:line="247" w:lineRule="auto"/>
            </w:pPr>
            <w:r>
              <w:rPr>
                <w:b w:val="0"/>
                <w:color w:val="000000"/>
                <w:sz w:val="18"/>
              </w:rPr>
              <w:t>OLLAMA_URL y OLLAMA_MODEL</w:t>
            </w:r>
          </w:p>
        </w:tc>
        <w:tc>
          <w:tcPr>
            <w:tcW w:type="dxa" w:w="4252"/>
          </w:tcPr>
          <w:p>
            <w:pPr>
              <w:spacing w:after="80" w:before="60" w:line="247" w:lineRule="auto"/>
            </w:pPr>
            <w:r>
              <w:rPr>
                <w:b w:val="0"/>
                <w:color w:val="000000"/>
                <w:sz w:val="18"/>
              </w:rPr>
              <w:t>Servicio y modelo de texto.</w:t>
            </w:r>
          </w:p>
        </w:tc>
      </w:tr>
      <w:tr>
        <w:trPr>
          <w:cantSplit/>
        </w:trPr>
        <w:tc>
          <w:tcPr>
            <w:tcW w:type="dxa" w:w="5272"/>
          </w:tcPr>
          <w:p>
            <w:pPr>
              <w:spacing w:after="80" w:before="60" w:line="247" w:lineRule="auto"/>
            </w:pPr>
            <w:r>
              <w:rPr>
                <w:b w:val="0"/>
                <w:color w:val="000000"/>
                <w:sz w:val="18"/>
              </w:rPr>
              <w:t>OLLAMA_VISION_MODEL</w:t>
            </w:r>
          </w:p>
        </w:tc>
        <w:tc>
          <w:tcPr>
            <w:tcW w:type="dxa" w:w="4252"/>
          </w:tcPr>
          <w:p>
            <w:pPr>
              <w:spacing w:after="80" w:before="60" w:line="247" w:lineRule="auto"/>
            </w:pPr>
            <w:r>
              <w:rPr>
                <w:b w:val="0"/>
                <w:color w:val="000000"/>
                <w:sz w:val="18"/>
              </w:rPr>
              <w:t>Modelo visual descargado.</w:t>
            </w:r>
          </w:p>
        </w:tc>
      </w:tr>
      <w:tr>
        <w:trPr>
          <w:cantSplit/>
        </w:trPr>
        <w:tc>
          <w:tcPr>
            <w:tcW w:type="dxa" w:w="5272"/>
          </w:tcPr>
          <w:p>
            <w:pPr>
              <w:spacing w:after="80" w:before="60" w:line="247" w:lineRule="auto"/>
            </w:pPr>
            <w:r>
              <w:rPr>
                <w:b w:val="0"/>
                <w:color w:val="000000"/>
                <w:sz w:val="18"/>
              </w:rPr>
              <w:t>GEMINI_API_KEY y GEMINI_MODEL</w:t>
            </w:r>
          </w:p>
        </w:tc>
        <w:tc>
          <w:tcPr>
            <w:tcW w:type="dxa" w:w="4252"/>
          </w:tcPr>
          <w:p>
            <w:pPr>
              <w:spacing w:after="80" w:before="60" w:line="247" w:lineRule="auto"/>
            </w:pPr>
            <w:r>
              <w:rPr>
                <w:b w:val="0"/>
                <w:color w:val="000000"/>
                <w:sz w:val="18"/>
              </w:rPr>
              <w:t>Credencial privada y modelo remoto.</w:t>
            </w:r>
          </w:p>
        </w:tc>
      </w:tr>
      <w:tr>
        <w:trPr>
          <w:cantSplit/>
        </w:trPr>
        <w:tc>
          <w:tcPr>
            <w:tcW w:type="dxa" w:w="5272"/>
          </w:tcPr>
          <w:p>
            <w:pPr>
              <w:spacing w:after="80" w:before="60" w:line="247" w:lineRule="auto"/>
            </w:pPr>
            <w:r>
              <w:rPr>
                <w:b w:val="0"/>
                <w:color w:val="000000"/>
                <w:sz w:val="18"/>
              </w:rPr>
              <w:t>AI_FALLBACK</w:t>
            </w:r>
          </w:p>
        </w:tc>
        <w:tc>
          <w:tcPr>
            <w:tcW w:type="dxa" w:w="4252"/>
          </w:tcPr>
          <w:p>
            <w:pPr>
              <w:spacing w:after="80" w:before="60" w:line="247" w:lineRule="auto"/>
            </w:pPr>
            <w:r>
              <w:rPr>
                <w:b w:val="0"/>
                <w:color w:val="000000"/>
                <w:sz w:val="18"/>
              </w:rPr>
              <w:t>Respaldo a Ollama cuando vale true.</w:t>
            </w:r>
          </w:p>
        </w:tc>
      </w:tr>
      <w:tr>
        <w:trPr>
          <w:cantSplit/>
        </w:trPr>
        <w:tc>
          <w:tcPr>
            <w:tcW w:type="dxa" w:w="5272"/>
          </w:tcPr>
          <w:p>
            <w:pPr>
              <w:spacing w:after="80" w:before="60" w:line="247" w:lineRule="auto"/>
            </w:pPr>
            <w:r>
              <w:rPr>
                <w:b w:val="0"/>
                <w:color w:val="000000"/>
                <w:sz w:val="18"/>
              </w:rPr>
              <w:t>DEMO_PASSWORD</w:t>
            </w:r>
          </w:p>
        </w:tc>
        <w:tc>
          <w:tcPr>
            <w:tcW w:type="dxa" w:w="4252"/>
          </w:tcPr>
          <w:p>
            <w:pPr>
              <w:spacing w:after="80" w:before="60" w:line="247" w:lineRule="auto"/>
            </w:pPr>
            <w:r>
              <w:rPr>
                <w:b w:val="0"/>
                <w:color w:val="000000"/>
                <w:sz w:val="18"/>
              </w:rPr>
              <w:t>Contraseña de cuentas de demostración.</w:t>
            </w:r>
          </w:p>
        </w:tc>
      </w:tr>
    </w:tbl>
    <w:p/>
    <w:p>
      <w:pPr>
        <w:pStyle w:val="Heading2"/>
      </w:pPr>
      <w:r>
        <w:t>Servicios opcionales</w:t>
      </w:r>
    </w:p>
    <w:p>
      <w:r>
        <w:rPr>
          <w:rFonts w:ascii="Consolas" w:hAnsi="Consolas"/>
          <w:sz w:val="17"/>
        </w:rPr>
        <w:t>ollama pull qwen2.5:3b</w:t>
        <w:br/>
        <w:t>ollama pull gemma3:4b</w:t>
      </w:r>
    </w:p>
    <w:p>
      <w:r>
        <w:t>Son nombres de la configuración de ejemplo. El modelo debe estar descargado y admitir la modalidad. Si 11434 está ocupado, comprueba si Ollama ya funciona antes de iniciar otra instancia.</w:t>
      </w:r>
    </w:p>
    <w:p>
      <w:r>
        <w:t>Compose ejecuta la aplicación y, con perfil ai, Ollama. Usa host.docker.internal para Supabase local; no debe trasladarse sin revisión a una base alojada. El build Docker no se verificó en la última revisión.</w:t>
      </w:r>
    </w:p>
    <w:p>
      <w:r>
        <w:rPr>
          <w:i/>
          <w:sz w:val="16"/>
        </w:rPr>
        <w:t>Referencia en el repositorio: .env.example; package.json; scripts/setup-local.mjs; compose.yaml; Dockerfile.</w:t>
      </w:r>
    </w:p>
    <w:p>
      <w:r>
        <w:br w:type="page"/>
      </w:r>
    </w:p>
    <w:p>
      <w:pPr>
        <w:pStyle w:val="Heading1"/>
      </w:pPr>
      <w:r>
        <w:t>Migraciones y actualización del esquema</w:t>
      </w:r>
    </w:p>
    <w:p>
      <w:r>
        <w:t>Los 28 archivos de supabase/migrations forman la secuencia vigente. Se aplican por nombre sobre la misma base configurada en la aplicación. Algunas migraciones envuelven o sustituyen funciones anteriores; ejecutar una mejora aislada sobre una base vacía produce errores como relation does not exist.</w:t>
      </w:r>
    </w:p>
    <w:tbl>
      <w:tblPr>
        <w:tblStyle w:val="TableGrid"/>
        <w:tblW w:type="auto" w:w="0"/>
        <w:tblLayout w:type="fixed"/>
        <w:tblLook w:firstColumn="1" w:firstRow="1" w:lastColumn="0" w:lastRow="0" w:noHBand="0" w:noVBand="1" w:val="04A0"/>
      </w:tblPr>
      <w:tblGrid>
        <w:gridCol w:w="3402"/>
        <w:gridCol w:w="6123"/>
      </w:tblGrid>
      <w:tr>
        <w:trPr>
          <w:cantSplit/>
          <w:tblHeader/>
        </w:trPr>
        <w:tc>
          <w:tcPr>
            <w:tcW w:type="dxa" w:w="3402"/>
            <w:shd w:fill="E8ECEF"/>
          </w:tcPr>
          <w:p>
            <w:pPr>
              <w:spacing w:after="80" w:before="60" w:line="247" w:lineRule="auto"/>
            </w:pPr>
            <w:r>
              <w:rPr>
                <w:b/>
                <w:color w:val="000000"/>
                <w:sz w:val="18"/>
              </w:rPr>
              <w:t>Familia</w:t>
            </w:r>
          </w:p>
        </w:tc>
        <w:tc>
          <w:tcPr>
            <w:tcW w:type="dxa" w:w="6123"/>
            <w:shd w:fill="E8ECEF"/>
          </w:tcPr>
          <w:p>
            <w:pPr>
              <w:spacing w:after="80" w:before="60" w:line="247" w:lineRule="auto"/>
            </w:pPr>
            <w:r>
              <w:rPr>
                <w:b/>
                <w:color w:val="000000"/>
                <w:sz w:val="18"/>
              </w:rPr>
              <w:t>Qué incorpora</w:t>
            </w:r>
          </w:p>
        </w:tc>
      </w:tr>
      <w:tr>
        <w:trPr>
          <w:cantSplit/>
        </w:trPr>
        <w:tc>
          <w:tcPr>
            <w:tcW w:type="dxa" w:w="3402"/>
          </w:tcPr>
          <w:p>
            <w:pPr>
              <w:spacing w:after="80" w:before="60" w:line="247" w:lineRule="auto"/>
            </w:pPr>
            <w:r>
              <w:rPr>
                <w:b w:val="0"/>
                <w:color w:val="000000"/>
                <w:sz w:val="18"/>
              </w:rPr>
              <w:t>20260914 y 20260915</w:t>
            </w:r>
          </w:p>
        </w:tc>
        <w:tc>
          <w:tcPr>
            <w:tcW w:type="dxa" w:w="6123"/>
          </w:tcPr>
          <w:p>
            <w:pPr>
              <w:spacing w:after="80" w:before="60" w:line="247" w:lineRule="auto"/>
            </w:pPr>
            <w:r>
              <w:rPr>
                <w:b w:val="0"/>
                <w:color w:val="000000"/>
                <w:sz w:val="18"/>
              </w:rPr>
              <w:t>Esquema, comandos, Storage, endurecimiento, vacantes públicas y evidencia IA.</w:t>
            </w:r>
          </w:p>
        </w:tc>
      </w:tr>
      <w:tr>
        <w:trPr>
          <w:cantSplit/>
        </w:trPr>
        <w:tc>
          <w:tcPr>
            <w:tcW w:type="dxa" w:w="3402"/>
          </w:tcPr>
          <w:p>
            <w:pPr>
              <w:spacing w:after="80" w:before="60" w:line="247" w:lineRule="auto"/>
            </w:pPr>
            <w:r>
              <w:rPr>
                <w:b w:val="0"/>
                <w:color w:val="000000"/>
                <w:sz w:val="18"/>
              </w:rPr>
              <w:t>20260917</w:t>
            </w:r>
          </w:p>
        </w:tc>
        <w:tc>
          <w:tcPr>
            <w:tcW w:type="dxa" w:w="6123"/>
          </w:tcPr>
          <w:p>
            <w:pPr>
              <w:spacing w:after="80" w:before="60" w:line="247" w:lineRule="auto"/>
            </w:pPr>
            <w:r>
              <w:rPr>
                <w:b w:val="0"/>
                <w:color w:val="000000"/>
                <w:sz w:val="18"/>
              </w:rPr>
              <w:t>Orquestación, auditoría, jerarquía multinivel y clima.</w:t>
            </w:r>
          </w:p>
        </w:tc>
      </w:tr>
      <w:tr>
        <w:trPr>
          <w:cantSplit/>
        </w:trPr>
        <w:tc>
          <w:tcPr>
            <w:tcW w:type="dxa" w:w="3402"/>
          </w:tcPr>
          <w:p>
            <w:pPr>
              <w:spacing w:after="80" w:before="60" w:line="247" w:lineRule="auto"/>
            </w:pPr>
            <w:r>
              <w:rPr>
                <w:b w:val="0"/>
                <w:color w:val="000000"/>
                <w:sz w:val="18"/>
              </w:rPr>
              <w:t>20260921</w:t>
            </w:r>
          </w:p>
        </w:tc>
        <w:tc>
          <w:tcPr>
            <w:tcW w:type="dxa" w:w="6123"/>
          </w:tcPr>
          <w:p>
            <w:pPr>
              <w:spacing w:after="80" w:before="60" w:line="247" w:lineRule="auto"/>
            </w:pPr>
            <w:r>
              <w:rPr>
                <w:b w:val="0"/>
                <w:color w:val="000000"/>
                <w:sz w:val="18"/>
              </w:rPr>
              <w:t>Operaciones RH, adjuntos y asignación múltiple.</w:t>
            </w:r>
          </w:p>
        </w:tc>
      </w:tr>
      <w:tr>
        <w:trPr>
          <w:cantSplit/>
        </w:trPr>
        <w:tc>
          <w:tcPr>
            <w:tcW w:type="dxa" w:w="3402"/>
          </w:tcPr>
          <w:p>
            <w:pPr>
              <w:spacing w:after="80" w:before="60" w:line="247" w:lineRule="auto"/>
            </w:pPr>
            <w:r>
              <w:rPr>
                <w:b w:val="0"/>
                <w:color w:val="000000"/>
                <w:sz w:val="18"/>
              </w:rPr>
              <w:t>20260922</w:t>
            </w:r>
          </w:p>
        </w:tc>
        <w:tc>
          <w:tcPr>
            <w:tcW w:type="dxa" w:w="6123"/>
          </w:tcPr>
          <w:p>
            <w:pPr>
              <w:spacing w:after="80" w:before="60" w:line="247" w:lineRule="auto"/>
            </w:pPr>
            <w:r>
              <w:rPr>
                <w:b w:val="0"/>
                <w:color w:val="000000"/>
                <w:sz w:val="18"/>
              </w:rPr>
              <w:t>Plantillas de incorporación.</w:t>
            </w:r>
          </w:p>
        </w:tc>
      </w:tr>
      <w:tr>
        <w:trPr>
          <w:cantSplit/>
        </w:trPr>
        <w:tc>
          <w:tcPr>
            <w:tcW w:type="dxa" w:w="3402"/>
          </w:tcPr>
          <w:p>
            <w:pPr>
              <w:spacing w:after="80" w:before="60" w:line="247" w:lineRule="auto"/>
            </w:pPr>
            <w:r>
              <w:rPr>
                <w:b w:val="0"/>
                <w:color w:val="000000"/>
                <w:sz w:val="18"/>
              </w:rPr>
              <w:t>20260923</w:t>
            </w:r>
          </w:p>
        </w:tc>
        <w:tc>
          <w:tcPr>
            <w:tcW w:type="dxa" w:w="6123"/>
          </w:tcPr>
          <w:p>
            <w:pPr>
              <w:spacing w:after="80" w:before="60" w:line="247" w:lineRule="auto"/>
            </w:pPr>
            <w:r>
              <w:rPr>
                <w:b w:val="0"/>
                <w:color w:val="000000"/>
                <w:sz w:val="18"/>
              </w:rPr>
              <w:t>Revisiones, destinatarios de clima, evidencias y contratación.</w:t>
            </w:r>
          </w:p>
        </w:tc>
      </w:tr>
      <w:tr>
        <w:trPr>
          <w:cantSplit/>
        </w:trPr>
        <w:tc>
          <w:tcPr>
            <w:tcW w:type="dxa" w:w="3402"/>
          </w:tcPr>
          <w:p>
            <w:pPr>
              <w:spacing w:after="80" w:before="60" w:line="247" w:lineRule="auto"/>
            </w:pPr>
            <w:r>
              <w:rPr>
                <w:b w:val="0"/>
                <w:color w:val="000000"/>
                <w:sz w:val="18"/>
              </w:rPr>
              <w:t>20260924</w:t>
            </w:r>
          </w:p>
        </w:tc>
        <w:tc>
          <w:tcPr>
            <w:tcW w:type="dxa" w:w="6123"/>
          </w:tcPr>
          <w:p>
            <w:pPr>
              <w:spacing w:after="80" w:before="60" w:line="247" w:lineRule="auto"/>
            </w:pPr>
            <w:r>
              <w:rPr>
                <w:b w:val="0"/>
                <w:color w:val="000000"/>
                <w:sz w:val="18"/>
              </w:rPr>
              <w:t>Jerarquía de RH y detalle de auditoría.</w:t>
            </w:r>
          </w:p>
        </w:tc>
      </w:tr>
      <w:tr>
        <w:trPr>
          <w:cantSplit/>
        </w:trPr>
        <w:tc>
          <w:tcPr>
            <w:tcW w:type="dxa" w:w="3402"/>
          </w:tcPr>
          <w:p>
            <w:pPr>
              <w:spacing w:after="80" w:before="60" w:line="247" w:lineRule="auto"/>
            </w:pPr>
            <w:r>
              <w:rPr>
                <w:b w:val="0"/>
                <w:color w:val="000000"/>
                <w:sz w:val="18"/>
              </w:rPr>
              <w:t>20260925</w:t>
            </w:r>
          </w:p>
        </w:tc>
        <w:tc>
          <w:tcPr>
            <w:tcW w:type="dxa" w:w="6123"/>
          </w:tcPr>
          <w:p>
            <w:pPr>
              <w:spacing w:after="80" w:before="60" w:line="247" w:lineRule="auto"/>
            </w:pPr>
            <w:r>
              <w:rPr>
                <w:b w:val="0"/>
                <w:color w:val="000000"/>
                <w:sz w:val="18"/>
              </w:rPr>
              <w:t>Asignación posterior, mensajes y revisión formativa.</w:t>
            </w:r>
          </w:p>
        </w:tc>
      </w:tr>
      <w:tr>
        <w:trPr>
          <w:cantSplit/>
        </w:trPr>
        <w:tc>
          <w:tcPr>
            <w:tcW w:type="dxa" w:w="3402"/>
          </w:tcPr>
          <w:p>
            <w:pPr>
              <w:spacing w:after="80" w:before="60" w:line="247" w:lineRule="auto"/>
            </w:pPr>
            <w:r>
              <w:rPr>
                <w:b w:val="0"/>
                <w:color w:val="000000"/>
                <w:sz w:val="18"/>
              </w:rPr>
              <w:t>20260928 del 001 al 005</w:t>
            </w:r>
          </w:p>
        </w:tc>
        <w:tc>
          <w:tcPr>
            <w:tcW w:type="dxa" w:w="6123"/>
          </w:tcPr>
          <w:p>
            <w:pPr>
              <w:spacing w:after="80" w:before="60" w:line="247" w:lineRule="auto"/>
            </w:pPr>
            <w:r>
              <w:rPr>
                <w:b w:val="0"/>
                <w:color w:val="000000"/>
                <w:sz w:val="18"/>
              </w:rPr>
              <w:t>Lecturas, examen opcional, puestos y áreas.</w:t>
            </w:r>
          </w:p>
        </w:tc>
      </w:tr>
      <w:tr>
        <w:trPr>
          <w:cantSplit/>
        </w:trPr>
        <w:tc>
          <w:tcPr>
            <w:tcW w:type="dxa" w:w="3402"/>
          </w:tcPr>
          <w:p>
            <w:pPr>
              <w:spacing w:after="80" w:before="60" w:line="247" w:lineRule="auto"/>
            </w:pPr>
            <w:r>
              <w:rPr>
                <w:b w:val="0"/>
                <w:color w:val="000000"/>
                <w:sz w:val="18"/>
              </w:rPr>
              <w:t>20260928 del 006 al 007</w:t>
            </w:r>
          </w:p>
        </w:tc>
        <w:tc>
          <w:tcPr>
            <w:tcW w:type="dxa" w:w="6123"/>
          </w:tcPr>
          <w:p>
            <w:pPr>
              <w:spacing w:after="80" w:before="60" w:line="247" w:lineRule="auto"/>
            </w:pPr>
            <w:r>
              <w:rPr>
                <w:b w:val="0"/>
                <w:color w:val="000000"/>
                <w:sz w:val="18"/>
              </w:rPr>
              <w:t>Días hábiles y fecha de bienvenida.</w:t>
            </w:r>
          </w:p>
        </w:tc>
      </w:tr>
    </w:tbl>
    <w:p/>
    <w:p>
      <w:pPr>
        <w:pStyle w:val="Heading2"/>
      </w:pPr>
      <w:r>
        <w:t>Procedimiento de actualización</w:t>
      </w:r>
    </w:p>
    <w:p>
      <w:r>
        <w:t>Identifica el proyecto y respalda datos. Compara migraciones aplicadas con el repositorio. Aplica solo las pendientes en orden mediante CLI o SQL Editor y comprueba funciones y tablas. No todos los archivos son repetibles sin cambios.</w:t>
      </w:r>
    </w:p>
    <w:p>
      <w:r>
        <w:rPr>
          <w:rFonts w:ascii="Consolas" w:hAnsi="Consolas"/>
          <w:sz w:val="17"/>
        </w:rPr>
        <w:t>npx.cmd supabase start</w:t>
        <w:br/>
        <w:t>npm.cmd run setup:local</w:t>
        <w:br/>
        <w:t># Solo para una instancia local nueva o desechable</w:t>
        <w:br/>
        <w:t>npx.cmd supabase db reset</w:t>
        <w:br/>
        <w:t>npm.cmd run seed</w:t>
      </w:r>
    </w:p>
    <w:p>
      <w:r>
        <w:t>db reset elimina datos locales. setup:local no sobrescribe .env.local. El seed crea cuentas y registros demo; rechaza repetir cuentas y exige ALLOW_REMOTE_DEMO=true para uso remoto. No es una actualización rutinaria de datos.</w:t>
      </w:r>
    </w:p>
    <w:p>
      <w:pPr>
        <w:pStyle w:val="Heading2"/>
      </w:pPr>
      <w:r>
        <w:t>Pendiente confirmado</w:t>
      </w:r>
    </w:p>
    <w:p>
      <w:r>
        <w:t>202609280007_hiring_working_day.sql agrega next_working_day y adapta la tarea de bienvenida. La prueba local pasó, pero la función no estaba disponible en Supabase. Se aplica después de 202609280006_working_days.sql. Los instaladores y activadores agrupados anteriores no sustituyen automáticamente todas las migraciones nuevas.</w:t>
      </w:r>
    </w:p>
    <w:p>
      <w:r>
        <w:rPr>
          <w:i/>
          <w:sz w:val="16"/>
        </w:rPr>
        <w:t>Referencia en el repositorio: supabase/migrations; supabase/seed.sql; scripts/seed.mjs; scripts/setup-local.mjs.</w:t>
      </w:r>
    </w:p>
    <w:p>
      <w:r>
        <w:br w:type="page"/>
      </w:r>
    </w:p>
    <w:p>
      <w:pPr>
        <w:pStyle w:val="Heading1"/>
      </w:pPr>
      <w:r>
        <w:t>Pruebas mantenimiento y límites</w:t>
      </w:r>
    </w:p>
    <w:p>
      <w:pPr>
        <w:pStyle w:val="Heading2"/>
      </w:pPr>
      <w:r>
        <w:t>Evidencia de la revisión</w:t>
      </w:r>
    </w:p>
    <w:p>
      <w:r>
        <w:t>El 28 de septiembre de 2026 pasaron 156 pruebas de la suite habitual. Las tres de visión, omitidas por defecto, se ejecutaron aparte con Ollama y pasaron para imagen, PDF escaneado y PDF con texto. TypeScript, ESLint y el build de Next.js terminaron correctamente. npm audit no reportó vulnerabilidades conocidas de producción ni desarrollo.</w:t>
      </w:r>
    </w:p>
    <w:p>
      <w:r>
        <w:t>Se comprobaron 17 endpoints privados sin sesión, todos con 401, y un origen externo con 403. El script de Supabase confirmó conectividad y rechazo anónimo a cinco tablas privadas. Se inspeccionaron pantallas de RH; no se repitieron todos los recorridos completos de navegador con cada rol.</w:t>
      </w:r>
    </w:p>
    <w:p>
      <w:pPr>
        <w:pStyle w:val="Heading2"/>
      </w:pPr>
      <w:r>
        <w:t>Repetir las comprobaciones</w:t>
      </w:r>
    </w:p>
    <w:p>
      <w:r>
        <w:rPr>
          <w:rFonts w:ascii="Consolas" w:hAnsi="Consolas"/>
          <w:sz w:val="17"/>
        </w:rPr>
        <w:t>npm.cmd run typecheck</w:t>
        <w:br/>
        <w:t>npm.cmd run lint</w:t>
        <w:br/>
        <w:t>npm.cmd test</w:t>
        <w:br/>
        <w:t>npm.cmd run build</w:t>
        <w:br/>
        <w:t>npm.cmd run test:supabase</w:t>
        <w:br/>
        <w:t># Visión real opcional con Ollama configurado</w:t>
        <w:br/>
        <w:t>$env:RUN_LOCAL_VISION="true"</w:t>
        <w:br/>
        <w:t>node --env-file=.env.local node_modules/vitest/vitest.mjs run tests/vision-live.test.ts</w:t>
      </w:r>
    </w:p>
    <w:p>
      <w:r>
        <w:t>PGlite ejecuta SQL y RLS con esquemas auxiliares de Auth y Storage; no sustituye Supabase completo. Las API usan dobles de dependencias cuando corresponde. e2e/core.spec.ts conserva expectativas anteriores a las revisiones actuales; requiere actualización antes de usarse como aceptación integral. Los scripts de recorridos reales pueden crear datos y deben usarse en una base de pruebas.</w:t>
      </w:r>
    </w:p>
    <w:p>
      <w:pPr>
        <w:pStyle w:val="Heading2"/>
      </w:pPr>
      <w:r>
        <w:t>Límites y mantenimiento</w:t>
      </w:r>
    </w:p>
    <w:p>
      <w:r>
        <w:t>Los snapshots de 1000 filas y los contextos de IA acotados limitan reportes de gran volumen. La auditoría pagina una muestra local. No se conserva una serie histórica suficiente para reconstruir cualquier indicador por fecha. Nómina, multitenancy, SSO e integración ERP no forman parte de lo implementado.</w:t>
      </w:r>
    </w:p>
    <w:p>
      <w:r>
        <w:t>La operación local depende de los servicios configurados. Se recomienda respaldar PostgreSQL y Storage, probar restauraciones, supervisar errores y archivos huérfanos y separar datos reales de sintéticos. Ampliar capacidad requiere paginación y agregaciones en servidor, medición de carga y E2E actualizados.</w:t>
      </w:r>
    </w:p>
    <w:p>
      <w:pPr>
        <w:pStyle w:val="Heading2"/>
      </w:pPr>
      <w:r>
        <w:t>Referencias de mantenimiento</w:t>
      </w:r>
    </w:p>
    <w:p>
      <w:r>
        <w:t>Consultar el código citado, los contratos de commands/schemas.ts y las migraciones completas. docs/ONBOARDING.md, CAPACITACION_AVANCES.md, CONVERSACIONES_TAREAS.md, IA_VISION_LOCAL.md y AUDITORIA.md amplían temas concretos. Si una guía antigua contradice la implementación, verificar código, migraciones y pruebas antes de modificar datos.</w:t>
      </w:r>
    </w:p>
    <w:sectPr w:rsidR="00FC693F" w:rsidRPr="0006063C" w:rsidSect="00034616">
      <w:headerReference w:type="default" r:id="rId9"/>
      <w:footerReference w:type="default" r:id="rId10"/>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Versión documental 1   ·   28 septiembre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NEXO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Explicación técnica del sistema Nexo</dc:title>
  <dc:subject>Arquitectura y operación de recursos humanos con IA</dc:subject>
  <dc:creator>Documentación del proyecto Nexo</dc:creator>
  <cp:keywords/>
  <dc:description>generated by python-docx</dc:description>
  <cp:lastModifiedBy/>
  <cp:revision>1</cp:revision>
  <dcterms:created xsi:type="dcterms:W3CDTF">2013-12-23T23:15:00Z</dcterms:created>
  <dcterms:modified xsi:type="dcterms:W3CDTF">2013-12-23T23:15:00Z</dcterms:modified>
  <cp:category/>
</cp:coreProperties>
</file>