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C0392B"/>
          <w:sz w:val="32"/>
          <w:szCs w:val="32"/>
        </w:rPr>
        <w:t xml:space="preserve">TRAPPED AT THE WRONG DOOR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How Social Barriers Redirect Patients to Emergency Care — and Where SVH Can Intervene</w:t>
      </w:r>
    </w:p>
    <w:p>
      <w:pPr>
        <w:spacing w:after="100" w:before="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ASA DataFest 2026  •  Stormont Vail Health  •  Team ORCA - Calf</w:t>
      </w:r>
    </w:p>
    <w:p>
      <w:pPr>
        <w:pBdr>
          <w:bottom w:val="single" w:color="C0392B" w:sz="8" w:space="1"/>
        </w:pBdr>
        <w:spacing w:after="0" w:before="0"/>
      </w:pPr>
    </w:p>
    <w:p>
      <w:pPr>
        <w:spacing w:after="80" w:before="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RESEARCH QUESTION</w:t>
      </w:r>
    </w:p>
    <w:p>
      <w:pPr>
        <w:spacing w:after="60" w:before="0"/>
      </w:pPr>
      <w:r>
        <w:rPr>
          <w:rFonts w:ascii="Arial" w:cs="Arial" w:eastAsia="Arial" w:hAnsi="Arial"/>
          <w:color w:val="2C2C2A"/>
          <w:sz w:val="18"/>
          <w:szCs w:val="18"/>
        </w:rPr>
        <w:t xml:space="preserve">Does a patient's social situation affect how often they end up in the emergency room — and if so, which counties and patient populations should Stormont Vail prioritize first?</w:t>
      </w:r>
    </w:p>
    <w:p>
      <w:pPr>
        <w:spacing w:after="60" w:before="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KEY FINDINGS AT A GLANCE</w:t>
      </w:r>
    </w:p>
    <w:tbl>
      <w:tblPr>
        <w:tblW w:type="dxa" w:w="9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280"/>
        <w:gridCol w:w="2200"/>
        <w:gridCol w:w="280"/>
        <w:gridCol w:w="2200"/>
        <w:gridCol w:w="280"/>
        <w:gridCol w:w="22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6.1×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ED rate,
high vs no burden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77.3%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ED return rate,
high-burden patients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+4.3pp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ED rate gap,
transport-burdened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33.3%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Top-priority county
ED visit rate</w:t>
            </w:r>
          </w:p>
        </w:tc>
      </w:tr>
    </w:tbl>
    <w:p>
      <w:pPr>
        <w:spacing w:after="100" w:before="0"/>
      </w:pPr>
    </w:p>
    <w:p>
      <w:pPr>
        <w:pBdr>
          <w:bottom w:val="single" w:color="D6D4CF" w:sz="2" w:space="1"/>
        </w:pBdr>
        <w:spacing w:after="0" w:before="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DATA &amp; METHODS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Primary data: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Stormont Vail Health EHR — 7.67M encounters, 947K patients, January 2022–December 2025.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External data: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CDC Social Vulnerability Index 2022 (county level), HRSA Health Professional Shortage Area database 2024–2025, Area Deprivation Index 2023 (census block group).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SDOH composite score: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Each patient scored across five domains — transportation, financial strain, food insecurity, housing instability, and depression — then assigned to a burden tier: No Burden (0 flags), Low Burden (1–2), High Burden (3+). Patients never surveyed excluded from comparisons.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County priority score: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Composite of ED rate (30%), CDC SVI (25%), transport burden (20%), provider count (15%), and HPSA designation (10%). All differences reported with 95% confidence intervals.</w:t>
      </w:r>
    </w:p>
    <w:p>
      <w:pPr>
        <w:spacing w:after="80" w:before="0"/>
      </w:pPr>
    </w:p>
    <w:p>
      <w:pPr>
        <w:pBdr>
          <w:bottom w:val="single" w:color="D6D4CF" w:sz="2" w:space="1"/>
        </w:pBdr>
        <w:spacing w:after="0" w:before="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FINDINGS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1. Social burden strongly predicts ED utilization.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2C2C2A"/>
          <w:sz w:val="18"/>
          <w:szCs w:val="18"/>
        </w:rPr>
        <w:t xml:space="preserve">High-burden patients (3+ SDOH flags) visit the ED at 13.3% vs 2.2% for no-burden patients — a 6.1× difference that is statistically significant across all burden tiers.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2C2C2A"/>
          <w:sz w:val="18"/>
          <w:szCs w:val="18"/>
        </w:rPr>
        <w:t xml:space="preserve">Transportation showed the most actionable domain gap (+4.3 percentage points). A patient who cannot get a ride does not reschedule — they return through the emergency department when the condition has become a crisis.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2C2C2A"/>
          <w:sz w:val="18"/>
          <w:szCs w:val="18"/>
        </w:rPr>
        <w:t xml:space="preserve">Among patients who entered the ED, 77.3% of high-burden patients returned via ED for their next visit, compared to 32.7% of no-burden patients. The system has no mechanism to redirect them to regular care.</w:t>
      </w:r>
    </w:p>
    <w:p>
      <w:pPr>
        <w:spacing w:after="5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2. Geography and provider scarcity compound the problem.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2C2C2A"/>
          <w:sz w:val="18"/>
          <w:szCs w:val="18"/>
        </w:rPr>
        <w:t xml:space="preserve">HPSA-designated counties — those with federally documented provider shortages — show that transport-burdened patients have limited options even when they find a way to travel. The 5.8% ED rate in these counties is lower not because outcomes are better, but because patients stop seeking care entirely.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2C2C2A"/>
          <w:sz w:val="18"/>
          <w:szCs w:val="18"/>
        </w:rPr>
        <w:t xml:space="preserve">CDC SVI mapping confirms the highest-vulnerability communities cluster in western and southeastern Kansas, far from SVH's main Topeka facilities. Social burden and geographic isolation co-occur in the same counties.</w:t>
      </w:r>
    </w:p>
    <w:p>
      <w:pPr>
        <w:spacing w:after="5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3. SVH has a specific, actionable intervention window.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2C2C2A"/>
          <w:sz w:val="18"/>
          <w:szCs w:val="18"/>
        </w:rPr>
        <w:t xml:space="preserve">A composite county priority score identified 20 counties where need is most urgent. Graham County (33.3% ED visit rate, zero primary care providers) sits at the top. Bourbon (16.7%), Neosho (12.8%), and Cowley (11.1%) follow.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2C2C2A"/>
          <w:sz w:val="18"/>
          <w:szCs w:val="18"/>
        </w:rPr>
        <w:t xml:space="preserve">The supply gap heatmap provides SVH a ready-to-use ranked dashboard across SVI, SDOH burden, ED rate, and HPSA shortage status — a direct prioritization tool, not a research finding to file away.</w:t>
      </w:r>
    </w:p>
    <w:p>
      <w:pPr>
        <w:spacing w:after="80" w:before="0"/>
      </w:pPr>
    </w:p>
    <w:p>
      <w:pPr>
        <w:pBdr>
          <w:bottom w:val="single" w:color="D6D4CF" w:sz="2" w:space="1"/>
        </w:pBdr>
        <w:spacing w:after="0" w:before="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2C2C2A"/>
          <w:sz w:val="18"/>
          <w:szCs w:val="18"/>
        </w:rPr>
        <w:t xml:space="preserve">Deploy provider resources and mobile clinic capacity to the top 20 priority counties, starting with Graham, Bourbon, and Neosho — where provider count is zero and ED rates exceed 12%.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2C2C2A"/>
          <w:sz w:val="18"/>
          <w:szCs w:val="18"/>
        </w:rPr>
        <w:t xml:space="preserve">Implement a transport burden flag in the SVH EHR: at a patient's first chronic diagnosis encounter, a positive transport screen triggers a social worker referral within 48 hours and a telehealth enrollment offer.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2C2C2A"/>
          <w:sz w:val="18"/>
          <w:szCs w:val="18"/>
        </w:rPr>
        <w:t xml:space="preserve">Target MyChart activation outreach specifically at transport-burdened, chronically ill patients — SVH currently has no digital channel to reach the population most likely to return via ED.</w:t>
      </w:r>
    </w:p>
    <w:p>
      <w:pPr>
        <w:spacing w:after="80" w:before="0"/>
      </w:pPr>
    </w:p>
    <w:p>
      <w:pPr>
        <w:pBdr>
          <w:bottom w:val="single" w:color="C0392B" w:sz="4" w:space="1"/>
        </w:pBdr>
        <w:spacing w:after="0" w:before="0"/>
      </w:pPr>
    </w:p>
    <w:p>
      <w:pPr>
        <w:spacing w:after="0" w:before="60"/>
      </w:pPr>
      <w:r>
        <w:rPr>
          <w:rFonts w:ascii="Arial" w:cs="Arial" w:eastAsia="Arial" w:hAnsi="Arial"/>
          <w:i/>
          <w:iCs/>
          <w:color w:val="888888"/>
          <w:sz w:val="13"/>
          <w:szCs w:val="13"/>
        </w:rPr>
        <w:t xml:space="preserve">Data source: Stormont Vail Health (proprietary, anonymized per HIPAA)  •  External: CDC SVI 2022, HRSA HPSA 2024–2025, ADI 2023  •  All statistical tests at 95% CI</w:t>
      </w:r>
    </w:p>
    <w:sectPr>
      <w:pgSz w:w="12240" w:h="15840" w:orient="portrait"/>
      <w:pgMar w:top="864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2026-05-03T02:12:54.544Z</dcterms:created>
  <dcterms:modified xsi:type="dcterms:W3CDTF">2026-05-03T02:12:54.545Z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