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>
          <w:pPr>
            <w:pStyle w:val="Nagwekspisutreci"/>
          </w:pPr>
          <w:r>
            <w:t>Spis treści</w:t>
          </w:r>
        </w:p>
        <w:p w:rsidR="004B1E38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1149" w:history="1">
            <w:r w:rsidR="004B1E38" w:rsidRPr="003A4411">
              <w:rPr>
                <w:rStyle w:val="Hipercze"/>
                <w:rFonts w:eastAsia="Calibri"/>
                <w:noProof/>
              </w:rPr>
              <w:t>2.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Wstęp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_Toc166681149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3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0" w:history="1">
            <w:r w:rsidR="004B1E38" w:rsidRPr="003A4411">
              <w:rPr>
                <w:rStyle w:val="Hipercze"/>
                <w:noProof/>
              </w:rPr>
              <w:t>3.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Podstawy teoretyczne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1" w:history="1">
            <w:r w:rsidR="004B1E38" w:rsidRPr="003A4411">
              <w:rPr>
                <w:rStyle w:val="Hipercze"/>
                <w:rFonts w:eastAsia="Calibri"/>
                <w:noProof/>
              </w:rPr>
              <w:t>2.1.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Uczenie maszynowe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2" w:history="1">
            <w:r w:rsidR="004B1E38" w:rsidRPr="003A4411">
              <w:rPr>
                <w:rStyle w:val="Hipercze"/>
                <w:rFonts w:eastAsia="Calibri"/>
                <w:noProof/>
              </w:rPr>
              <w:t>Uczenie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3" w:history="1">
            <w:r w:rsidR="004B1E38" w:rsidRPr="003A4411">
              <w:rPr>
                <w:rStyle w:val="Hipercze"/>
                <w:noProof/>
              </w:rPr>
              <w:t>Agent i środowisko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4" w:history="1">
            <w:r w:rsidR="004B1E38" w:rsidRPr="003A4411">
              <w:rPr>
                <w:rStyle w:val="Hipercze"/>
                <w:noProof/>
              </w:rPr>
              <w:t>Podstawowe pojęcia w RL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5" w:history="1">
            <w:r w:rsidR="004B1E38" w:rsidRPr="003A4411">
              <w:rPr>
                <w:rStyle w:val="Hipercze"/>
                <w:noProof/>
              </w:rPr>
              <w:t>Eksploracja, a eksploatacja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6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6" w:history="1">
            <w:r w:rsidR="004B1E38" w:rsidRPr="003A4411">
              <w:rPr>
                <w:rStyle w:val="Hipercze"/>
                <w:noProof/>
              </w:rPr>
              <w:t>Model środowiska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7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7" w:history="1">
            <w:r w:rsidR="004B1E38" w:rsidRPr="003A4411">
              <w:rPr>
                <w:rStyle w:val="Hipercze"/>
                <w:rFonts w:eastAsia="Calibri"/>
                <w:noProof/>
              </w:rPr>
              <w:t>4.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Regulacja instalacji grzewczych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_Toc166681157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8" w:history="1">
            <w:r w:rsidR="004B1E38" w:rsidRPr="003A4411">
              <w:rPr>
                <w:rStyle w:val="Hipercze"/>
                <w:rFonts w:eastAsia="Calibri"/>
                <w:noProof/>
              </w:rPr>
              <w:t>3.1. Przykłady dotychczasowych rozwiązań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_Toc166681158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9" w:history="1">
            <w:r w:rsidR="004B1E38" w:rsidRPr="003A4411">
              <w:rPr>
                <w:rStyle w:val="Hipercze"/>
                <w:noProof/>
              </w:rPr>
              <w:t>3.2. Środowisko TCLab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0" w:history="1">
            <w:r w:rsidR="004B1E38" w:rsidRPr="003A4411">
              <w:rPr>
                <w:rStyle w:val="Hipercze"/>
                <w:rFonts w:eastAsia="Calibri"/>
                <w:noProof/>
              </w:rPr>
              <w:t>5.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Algorytmy uczenia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1" w:history="1">
            <w:r w:rsidR="004B1E38" w:rsidRPr="003A4411">
              <w:rPr>
                <w:rStyle w:val="Hipercze"/>
                <w:rFonts w:eastAsia="Calibri"/>
                <w:noProof/>
              </w:rPr>
              <w:t>DQN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2" w:history="1">
            <w:r w:rsidR="004B1E38" w:rsidRPr="003A4411">
              <w:rPr>
                <w:rStyle w:val="Hipercze"/>
                <w:noProof/>
              </w:rPr>
              <w:t>DDPG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3" w:history="1">
            <w:r w:rsidR="004B1E38" w:rsidRPr="003A4411">
              <w:rPr>
                <w:rStyle w:val="Hipercze"/>
                <w:noProof/>
              </w:rPr>
              <w:t>PPO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4" w:history="1">
            <w:r w:rsidR="004B1E38" w:rsidRPr="003A4411">
              <w:rPr>
                <w:rStyle w:val="Hipercze"/>
                <w:rFonts w:eastAsia="Calibri"/>
                <w:noProof/>
              </w:rPr>
              <w:t>TD3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5" w:history="1">
            <w:r w:rsidR="004B1E38" w:rsidRPr="003A4411">
              <w:rPr>
                <w:rStyle w:val="Hipercze"/>
                <w:noProof/>
              </w:rPr>
              <w:t>Inne algorytmy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783C34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6" w:history="1">
            <w:r w:rsidR="004B1E38" w:rsidRPr="003A4411">
              <w:rPr>
                <w:rStyle w:val="Hipercze"/>
                <w:noProof/>
              </w:rPr>
              <w:t>6.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Bibliografia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11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6681149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6681150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F632DA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6681151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Default="00350448" w:rsidP="00980938">
      <w:pPr>
        <w:pStyle w:val="Nagwek2"/>
        <w:rPr>
          <w:rFonts w:eastAsia="Calibri"/>
        </w:rPr>
      </w:pPr>
      <w:bookmarkStart w:id="3" w:name="_Toc166681152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311815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6681153"/>
      <w:r>
        <w:t>Agent i środowisko</w:t>
      </w:r>
      <w:bookmarkEnd w:id="4"/>
    </w:p>
    <w:p w:rsidR="006C3EBD" w:rsidRDefault="006C3EBD" w:rsidP="006C3EBD"/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 w:rsidR="00311815">
        <w:rPr>
          <w:noProof/>
        </w:rPr>
        <w:t>1</w:t>
      </w:r>
      <w: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6681154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311815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</w:t>
      </w:r>
      <w:r w:rsidR="00A03B4B">
        <w:lastRenderedPageBreak/>
        <w:t xml:space="preserve">odpowiedniej polityki jest celem uczenia ze wzmocnieniem. Może być definiowana zarówno deterministycznie, jak i stochastycznie. </w:t>
      </w:r>
    </w:p>
    <w:p w:rsidR="0042039A" w:rsidRDefault="0042039A" w:rsidP="0042039A"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3E31A1">
        <w:tc>
          <w:tcPr>
            <w:tcW w:w="3020" w:type="dxa"/>
          </w:tcPr>
          <w:p w:rsidR="0042039A" w:rsidRDefault="0042039A" w:rsidP="003E31A1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783C34" w:rsidP="00D86EE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3E31A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783C34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  <w:r w:rsidR="00FB6CF7">
        <w:rPr>
          <w:rFonts w:eastAsia="Calibri"/>
        </w:rPr>
        <w:t>, nazywana również zwrotem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D86EE9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 w:rsidR="0042039A">
        <w:rPr>
          <w:rFonts w:eastAsia="Calibri"/>
        </w:rPr>
        <w:t xml:space="preserve"> – Przyszła przewidywana nagroda </w:t>
      </w:r>
    </w:p>
    <w:p w:rsidR="005B1021" w:rsidRDefault="005B1021" w:rsidP="005B1021">
      <w:pPr>
        <w:pStyle w:val="Nagwek2"/>
      </w:pPr>
    </w:p>
    <w:p w:rsidR="00F74D9E" w:rsidRDefault="005B1021" w:rsidP="005B1021">
      <w:pPr>
        <w:pStyle w:val="Nagwek2"/>
      </w:pPr>
      <w:r>
        <w:t xml:space="preserve">Proces decyzyjny </w:t>
      </w:r>
      <w:proofErr w:type="spellStart"/>
      <w:r>
        <w:t>Markova</w:t>
      </w:r>
      <w:proofErr w:type="spellEnd"/>
    </w:p>
    <w:p w:rsidR="005B1021" w:rsidRDefault="005B1021" w:rsidP="005B1021"/>
    <w:p w:rsidR="0032293B" w:rsidRDefault="0032293B" w:rsidP="005B1021">
      <w:r>
        <w:t xml:space="preserve">U podstaw paradygmatu uczenia ze wzmocnieniem leży proces decyzyjny </w:t>
      </w:r>
      <w:proofErr w:type="spellStart"/>
      <w:r>
        <w:t>Markova</w:t>
      </w:r>
      <w:proofErr w:type="spellEnd"/>
      <w:r w:rsidR="00D86EE9">
        <w:t xml:space="preserve"> (</w:t>
      </w:r>
      <w:proofErr w:type="spellStart"/>
      <w:r w:rsidR="00D86EE9" w:rsidRPr="00D86EE9">
        <w:t>Markov</w:t>
      </w:r>
      <w:proofErr w:type="spellEnd"/>
      <w:r w:rsidR="00D86EE9" w:rsidRPr="00D86EE9">
        <w:t xml:space="preserve"> </w:t>
      </w:r>
      <w:proofErr w:type="spellStart"/>
      <w:r w:rsidR="00D86EE9" w:rsidRPr="00D86EE9">
        <w:t>Decision</w:t>
      </w:r>
      <w:proofErr w:type="spellEnd"/>
      <w:r w:rsidR="00D86EE9" w:rsidRPr="00D86EE9">
        <w:t xml:space="preserve"> </w:t>
      </w:r>
      <w:proofErr w:type="spellStart"/>
      <w:r w:rsidR="00D86EE9" w:rsidRPr="00D86EE9">
        <w:t>Process</w:t>
      </w:r>
      <w:proofErr w:type="spellEnd"/>
      <w:r w:rsidR="00D86EE9" w:rsidRPr="00D86EE9">
        <w:t>, MDP</w:t>
      </w:r>
      <w:r w:rsidR="00D86EE9">
        <w:t>)</w:t>
      </w:r>
      <w:r>
        <w:t xml:space="preserve">, z pomocą którego można formalnie zdefiniować wiele </w:t>
      </w:r>
      <w:r w:rsidR="00D86EE9">
        <w:t xml:space="preserve">badanych w tej dziedzinie problemów. Mając na uwadze elementy wymienione w poprzednim podrozdziale warto omówić cechy takiego procesu. </w:t>
      </w:r>
    </w:p>
    <w:p w:rsidR="005B1021" w:rsidRDefault="00D86EE9" w:rsidP="005B1021">
      <w:r>
        <w:t xml:space="preserve">Proces decyzyjny </w:t>
      </w:r>
      <w:proofErr w:type="spellStart"/>
      <w:r>
        <w:t>Markova</w:t>
      </w:r>
      <w:proofErr w:type="spellEnd"/>
      <w:r>
        <w:t xml:space="preserve"> jest zdefiniowany jako piątka (</w:t>
      </w:r>
      <w:r>
        <w:rPr>
          <w:rFonts w:ascii="Cambria Math" w:hAnsi="Cambria Math" w:cs="Cambria Math"/>
        </w:rPr>
        <w:t>𝑆</w:t>
      </w:r>
      <w:r>
        <w:t xml:space="preserve">,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𝒯</w:t>
      </w:r>
      <w:r>
        <w:t xml:space="preserve">, </w:t>
      </w:r>
      <w:r>
        <w:rPr>
          <w:rFonts w:ascii="Cambria Math" w:hAnsi="Cambria Math" w:cs="Cambria Math"/>
        </w:rPr>
        <w:t>𝑟</w:t>
      </w:r>
      <w:r>
        <w:t xml:space="preserve">, </w:t>
      </w:r>
      <w:r>
        <w:rPr>
          <w:rFonts w:ascii="Cambria Math" w:hAnsi="Cambria Math" w:cs="Cambria Math"/>
        </w:rPr>
        <w:t>𝛾</w:t>
      </w:r>
      <w:r>
        <w:t>)</w:t>
      </w:r>
      <w:r w:rsidR="000E158C">
        <w:t xml:space="preserve"> </w:t>
      </w:r>
      <w:r w:rsidR="000E158C">
        <w:fldChar w:fldCharType="begin"/>
      </w:r>
      <w:r w:rsidR="000E158C">
        <w:instrText xml:space="preserve"> REF _Ref167206165 \r \h </w:instrText>
      </w:r>
      <w:r w:rsidR="000E158C">
        <w:fldChar w:fldCharType="separate"/>
      </w:r>
      <w:r w:rsidR="00311815">
        <w:t>[16]</w:t>
      </w:r>
      <w:r w:rsidR="000E158C">
        <w:fldChar w:fldCharType="end"/>
      </w:r>
      <w:r>
        <w:t xml:space="preserve">. </w:t>
      </w:r>
    </w:p>
    <w:p w:rsidR="00D30721" w:rsidRDefault="00D30721" w:rsidP="00D30721">
      <w:pPr>
        <w:rPr>
          <w:rStyle w:val="mi"/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Gdzie: </w:t>
      </w:r>
    </w:p>
    <w:p w:rsidR="00D30721" w:rsidRDefault="00D30721" w:rsidP="00D30721">
      <w:pPr>
        <w:pStyle w:val="Akapitzlist"/>
        <w:numPr>
          <w:ilvl w:val="0"/>
          <w:numId w:val="11"/>
        </w:numPr>
        <w:rPr>
          <w:rStyle w:val="mi"/>
          <w:rFonts w:ascii="Cambria Math" w:hAnsi="Cambria Math" w:cs="Cambria Math"/>
          <w:sz w:val="26"/>
          <w:szCs w:val="26"/>
        </w:rPr>
      </w:pP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𝐴 – </w:t>
      </w:r>
      <w:r w:rsidRPr="000E158C">
        <w:t>przestrzeń akcji.</w:t>
      </w:r>
      <w:r w:rsidRPr="00D30721">
        <w:rPr>
          <w:rStyle w:val="mi"/>
          <w:rFonts w:ascii="Cambria Math" w:hAnsi="Cambria Math" w:cs="Cambria Math"/>
          <w:sz w:val="26"/>
          <w:szCs w:val="26"/>
        </w:rPr>
        <w:t xml:space="preserve"> </w:t>
      </w:r>
    </w:p>
    <w:p w:rsidR="00D30721" w:rsidRPr="00D30721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𝑆 – </w:t>
      </w:r>
      <w:r w:rsidRPr="000E158C">
        <w:t>przestrzeń stanów</w:t>
      </w:r>
    </w:p>
    <w:p w:rsidR="00D30721" w:rsidRPr="00EF7900" w:rsidRDefault="00D30721" w:rsidP="00D30721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>𝒯</w:t>
      </w:r>
      <w:r w:rsidR="00EF7900">
        <w:rPr>
          <w:rFonts w:ascii="Cambria Math" w:hAnsi="Cambria Math" w:cs="Cambria Math"/>
        </w:rPr>
        <w:t xml:space="preserve"> – </w:t>
      </w:r>
      <w:r w:rsidR="00EF7900" w:rsidRPr="000E158C">
        <w:t>dynamika przejść -  model systemu, który opisuje zasady lub mechanizmy rządzące przejściami z</w:t>
      </w:r>
      <w:r w:rsidR="00EF7900">
        <w:t xml:space="preserve"> jednego stanu do drugiego. </w:t>
      </w:r>
      <w:r w:rsidR="00EF7900">
        <w:rPr>
          <w:rFonts w:ascii="Cambria Math" w:hAnsi="Cambria Math" w:cs="Cambria Math"/>
        </w:rPr>
        <w:t>(</w:t>
      </w:r>
      <w:r w:rsidR="00EF7900">
        <w:t xml:space="preserve">W stanie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 podejmowana jest akcja </w:t>
      </w:r>
      <w:r w:rsidR="00EF7900">
        <w:rPr>
          <w:rFonts w:ascii="Cambria Math" w:hAnsi="Cambria Math" w:cs="Cambria Math"/>
        </w:rPr>
        <w:t>𝑎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>
        <w:t xml:space="preserve">, </w:t>
      </w:r>
      <w:r w:rsidR="00EF7900">
        <w:br/>
        <w:t xml:space="preserve">która zmienia system na nowy stan 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>
        <w:rPr>
          <w:rFonts w:ascii="Cambria Math" w:hAnsi="Cambria Math" w:cs="Cambria Math"/>
        </w:rPr>
        <w:t>∈𝑆</w:t>
      </w:r>
      <w:r w:rsidR="00EF7900">
        <w:t xml:space="preserve">, zgodnie z dynamiką przejść </w:t>
      </w:r>
      <w:r w:rsidR="00EF7900">
        <w:br/>
        <w:t xml:space="preserve">środowiska </w:t>
      </w:r>
      <w:r w:rsidR="00EF7900">
        <w:rPr>
          <w:rFonts w:ascii="Cambria Math" w:hAnsi="Cambria Math" w:cs="Cambria Math"/>
        </w:rPr>
        <w:t>𝒯</w:t>
      </w:r>
      <w:r w:rsidR="00EF7900">
        <w:t>(</w:t>
      </w:r>
      <w:r w:rsidR="00EF7900">
        <w:rPr>
          <w:rFonts w:ascii="Cambria Math" w:hAnsi="Cambria Math" w:cs="Cambria Math"/>
        </w:rPr>
        <w:t>𝑠</w:t>
      </w:r>
      <w:r w:rsidR="00EF7900" w:rsidRPr="00EF7900">
        <w:rPr>
          <w:rFonts w:ascii="Cambria Math" w:hAnsi="Cambria Math" w:cs="Cambria Math"/>
          <w:vertAlign w:val="subscript"/>
        </w:rPr>
        <w:t>𝑡</w:t>
      </w:r>
      <w:r w:rsidR="00EF7900" w:rsidRPr="00EF7900">
        <w:rPr>
          <w:vertAlign w:val="subscript"/>
        </w:rPr>
        <w:t>+1</w:t>
      </w:r>
      <w:r w:rsidR="00EF7900" w:rsidRPr="00EF7900">
        <w:t>|</w:t>
      </w:r>
      <w:r w:rsidR="00EF7900">
        <w:rPr>
          <w:rFonts w:ascii="Cambria Math" w:hAnsi="Cambria Math" w:cs="Cambria Math"/>
        </w:rPr>
        <w:t>𝑠</w:t>
      </w:r>
      <w:r w:rsidR="00EF7900">
        <w:t xml:space="preserve">, </w:t>
      </w:r>
      <w:r w:rsidR="00EF7900">
        <w:rPr>
          <w:rFonts w:ascii="Cambria Math" w:hAnsi="Cambria Math" w:cs="Cambria Math"/>
        </w:rPr>
        <w:t>𝑎</w:t>
      </w:r>
      <w:r w:rsidR="00EF7900">
        <w:t>).</w:t>
      </w:r>
    </w:p>
    <w:p w:rsidR="00EF7900" w:rsidRPr="00EF7900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Style w:val="mi"/>
          <w:rFonts w:ascii="Cambria Math" w:hAnsi="Cambria Math" w:cs="Cambria Math"/>
          <w:sz w:val="26"/>
          <w:szCs w:val="26"/>
        </w:rPr>
        <w:t>𝑟</w:t>
      </w:r>
      <w:r>
        <w:rPr>
          <w:rStyle w:val="mi"/>
          <w:rFonts w:ascii="Cambria Math" w:hAnsi="Cambria Math" w:cs="Cambria Math"/>
          <w:sz w:val="18"/>
          <w:szCs w:val="18"/>
        </w:rPr>
        <w:t xml:space="preserve"> </w:t>
      </w:r>
      <w:r>
        <w:rPr>
          <w:rStyle w:val="mo"/>
          <w:rFonts w:ascii="Cambria Math" w:hAnsi="Cambria Math" w:cs="Cambria Math"/>
          <w:sz w:val="26"/>
          <w:szCs w:val="26"/>
        </w:rPr>
        <w:t xml:space="preserve">– </w:t>
      </w:r>
      <w:r>
        <w:t xml:space="preserve">funkcja nagrody </w:t>
      </w:r>
      <w:r w:rsidRPr="00EF7900">
        <w:rPr>
          <w:rFonts w:ascii="Cambria Math" w:hAnsi="Cambria Math" w:cs="Cambria Math"/>
        </w:rPr>
        <w:t>𝑟</w:t>
      </w:r>
      <w:r w:rsidRPr="00EF7900">
        <w:t>:</w:t>
      </w:r>
      <w:r>
        <w:t xml:space="preserve"> </w:t>
      </w:r>
      <w:r w:rsidRPr="00EF7900">
        <w:rPr>
          <w:rFonts w:ascii="Cambria Math" w:hAnsi="Cambria Math" w:cs="Cambria Math"/>
        </w:rPr>
        <w:t>𝑆</w:t>
      </w:r>
      <w:r w:rsidRPr="00EF7900">
        <w:t>×</w:t>
      </w:r>
      <w:r w:rsidRPr="00EF7900">
        <w:rPr>
          <w:rFonts w:ascii="Cambria Math" w:hAnsi="Cambria Math" w:cs="Cambria Math"/>
        </w:rPr>
        <w:t>𝐴⟶</w:t>
      </w:r>
      <w:r w:rsidRPr="00EF7900">
        <w:t>ℝ</w:t>
      </w:r>
    </w:p>
    <w:p w:rsidR="00EF7900" w:rsidRPr="000E158C" w:rsidRDefault="00EF7900" w:rsidP="00EF7900">
      <w:pPr>
        <w:pStyle w:val="Akapitzlist"/>
        <w:numPr>
          <w:ilvl w:val="0"/>
          <w:numId w:val="11"/>
        </w:numPr>
        <w:rPr>
          <w:rFonts w:ascii="Cambria Math" w:hAnsi="Cambria Math" w:cs="Cambria Math"/>
          <w:sz w:val="26"/>
          <w:szCs w:val="26"/>
        </w:rPr>
      </w:pPr>
      <w:r>
        <w:rPr>
          <w:rFonts w:ascii="Cambria Math" w:hAnsi="Cambria Math" w:cs="Cambria Math"/>
        </w:rPr>
        <w:t xml:space="preserve">𝛾 – </w:t>
      </w:r>
      <w:r w:rsidRPr="00EF7900">
        <w:t>stopa dyskontowa</w:t>
      </w:r>
    </w:p>
    <w:p w:rsidR="00C660CC" w:rsidRDefault="00C660CC" w:rsidP="000E158C">
      <w:r>
        <w:lastRenderedPageBreak/>
        <w:t xml:space="preserve">Bardzo istotną cechą takiego procesu jest to, że spełnia on własność </w:t>
      </w:r>
      <w:proofErr w:type="spellStart"/>
      <w:r>
        <w:t>Markova</w:t>
      </w:r>
      <w:proofErr w:type="spellEnd"/>
      <w:r>
        <w:t>. Pomimo, że nagrody, jak i przejścia mogą być określone przez prawdopodobieństwo, zależą one tylko i wyłącznie od aktualnego stanu i akcji. Poprzednie wartości nie mają wpływu na przyszłość.</w:t>
      </w:r>
      <w:r w:rsidR="00617BF8">
        <w:t xml:space="preserve"> Warto jednak nadmienić, że jest to cecha modelu opisującego proces. Czy dany proces będzie spełniał taki warunek zależy od sposobu w jaki została zdefiniowana przestrzeń stanu. </w:t>
      </w:r>
      <w:r w:rsidR="00617BF8">
        <w:fldChar w:fldCharType="begin"/>
      </w:r>
      <w:r w:rsidR="00617BF8">
        <w:instrText xml:space="preserve"> REF _Ref167282413 \r \h </w:instrText>
      </w:r>
      <w:r w:rsidR="00617BF8">
        <w:fldChar w:fldCharType="separate"/>
      </w:r>
      <w:r w:rsidR="00311815">
        <w:t>[18]</w:t>
      </w:r>
      <w:r w:rsidR="00617BF8">
        <w:fldChar w:fldCharType="end"/>
      </w:r>
    </w:p>
    <w:p w:rsidR="000E158C" w:rsidRDefault="000E158C" w:rsidP="000E158C">
      <w:r>
        <w:t xml:space="preserve">Celem agenta jest maksymalizacja oczekiwanej zdyskontowanej nagrody poprzez wybieranie odpowiednich akcji. </w:t>
      </w:r>
      <w:r w:rsidR="00FB6CF7">
        <w:t>A</w:t>
      </w:r>
      <w:r>
        <w:t>gent powinien nauczyć się optymalnej polityki</w:t>
      </w:r>
      <w:r w:rsidR="00FB6CF7">
        <w:t xml:space="preserve">  jak wskazano we </w:t>
      </w:r>
      <w:r w:rsidR="00FB6CF7">
        <w:br/>
        <w:t>wzorze (1.2)</w:t>
      </w:r>
      <w:r w:rsidR="00DE6CDB">
        <w:t xml:space="preserve"> </w:t>
      </w:r>
      <w:r w:rsidR="00DE6CDB">
        <w:fldChar w:fldCharType="begin"/>
      </w:r>
      <w:r w:rsidR="00DE6CDB">
        <w:instrText xml:space="preserve"> REF _Ref167206165 \r \h </w:instrText>
      </w:r>
      <w:r w:rsidR="00DE6CDB">
        <w:fldChar w:fldCharType="separate"/>
      </w:r>
      <w:r w:rsidR="00311815">
        <w:t>[16]</w:t>
      </w:r>
      <w:r w:rsidR="00DE6CDB">
        <w:fldChar w:fldCharType="end"/>
      </w:r>
      <w:r w:rsidR="00FB6CF7">
        <w:t xml:space="preserve"> .</w:t>
      </w:r>
    </w:p>
    <w:p w:rsidR="007660F1" w:rsidRDefault="007660F1" w:rsidP="000E158C">
      <w:pPr>
        <w:rPr>
          <w:rFonts w:ascii="Cambria Math" w:hAnsi="Cambria Math" w:cs="Cambria Math"/>
          <w:sz w:val="26"/>
          <w:szCs w:val="26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663"/>
        <w:gridCol w:w="1269"/>
      </w:tblGrid>
      <w:tr w:rsidR="007660F1" w:rsidTr="00FB6CF7">
        <w:tc>
          <w:tcPr>
            <w:tcW w:w="112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</w:p>
        </w:tc>
        <w:tc>
          <w:tcPr>
            <w:tcW w:w="6663" w:type="dxa"/>
          </w:tcPr>
          <w:p w:rsidR="007660F1" w:rsidRDefault="00783C34" w:rsidP="007660F1">
            <w:pPr>
              <w:rPr>
                <w:rFonts w:ascii="Cambria Math" w:hAnsi="Cambria Math" w:cs="Cambria Math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 xml:space="preserve"> 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π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a~π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[∑r(s,a)</m:t>
                    </m:r>
                  </m:e>
                </m:func>
                <m:r>
                  <w:rPr>
                    <w:rFonts w:ascii="Cambria Math" w:hAnsi="Cambria Math" w:cs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1269" w:type="dxa"/>
          </w:tcPr>
          <w:p w:rsidR="007660F1" w:rsidRDefault="007660F1" w:rsidP="000E158C">
            <w:pPr>
              <w:rPr>
                <w:rFonts w:ascii="Cambria Math" w:hAnsi="Cambria Math" w:cs="Cambria Math"/>
                <w:sz w:val="26"/>
                <w:szCs w:val="26"/>
              </w:rPr>
            </w:pPr>
            <w:r>
              <w:rPr>
                <w:rFonts w:ascii="Cambria Math" w:hAnsi="Cambria Math" w:cs="Cambria Math"/>
                <w:sz w:val="26"/>
                <w:szCs w:val="26"/>
              </w:rPr>
              <w:t>(1.2)</w:t>
            </w:r>
          </w:p>
        </w:tc>
      </w:tr>
    </w:tbl>
    <w:p w:rsidR="00FB6CF7" w:rsidRDefault="00FB6CF7" w:rsidP="000E158C"/>
    <w:p w:rsidR="00617BF8" w:rsidRDefault="00FB6CF7" w:rsidP="00617BF8">
      <w:r w:rsidRPr="00FB6CF7">
        <w:t>Gdzie</w:t>
      </w:r>
      <w:r>
        <w:rPr>
          <w:rFonts w:ascii="Cambria Math" w:hAnsi="Cambria Math" w:cs="Cambria Math"/>
          <w:i/>
          <w:sz w:val="26"/>
          <w:szCs w:val="26"/>
        </w:rPr>
        <w:t xml:space="preserve"> </w:t>
      </w:r>
      <w:proofErr w:type="spellStart"/>
      <w:r>
        <w:rPr>
          <w:rFonts w:ascii="Cambria Math" w:hAnsi="Cambria Math" w:cs="Cambria Math"/>
          <w:i/>
          <w:sz w:val="26"/>
          <w:szCs w:val="26"/>
        </w:rPr>
        <w:t>E</w:t>
      </w:r>
      <w:r w:rsidRPr="00FB6CF7">
        <w:rPr>
          <w:rFonts w:ascii="Cambria Math" w:hAnsi="Cambria Math" w:cs="Cambria Math"/>
          <w:i/>
          <w:sz w:val="26"/>
          <w:szCs w:val="26"/>
          <w:vertAlign w:val="subscript"/>
        </w:rPr>
        <w:t>a</w:t>
      </w:r>
      <w:proofErr w:type="spellEnd"/>
      <w:r w:rsidRPr="00FB6CF7">
        <w:rPr>
          <w:rFonts w:ascii="Cambria Math" w:hAnsi="Cambria Math" w:cs="Cambria Math"/>
          <w:i/>
          <w:vertAlign w:val="subscript"/>
        </w:rPr>
        <w:t>~π</w:t>
      </w:r>
      <w:r>
        <w:rPr>
          <w:rFonts w:ascii="Cambria Math" w:hAnsi="Cambria Math" w:cs="Cambria Math"/>
          <w:i/>
          <w:vertAlign w:val="subscript"/>
        </w:rPr>
        <w:t xml:space="preserve"> </w:t>
      </w:r>
      <w:r>
        <w:t xml:space="preserve"> oznacza oczekiwaną wartość zwrotu, </w:t>
      </w:r>
      <w:r w:rsidR="00DE6CDB">
        <w:t>w wyniku wyboru akcji</w:t>
      </w:r>
      <w:r>
        <w:t xml:space="preserve"> </w:t>
      </w:r>
      <w:r>
        <w:rPr>
          <w:rFonts w:ascii="Cambria Math" w:hAnsi="Cambria Math" w:cs="Cambria Math"/>
        </w:rPr>
        <w:t xml:space="preserve">𝑎, </w:t>
      </w:r>
      <w:r w:rsidR="00DE6CDB">
        <w:rPr>
          <w:rFonts w:ascii="Cambria Math" w:hAnsi="Cambria Math" w:cs="Cambria Math"/>
        </w:rPr>
        <w:t>na podstawie stałej</w:t>
      </w:r>
      <w:r>
        <w:rPr>
          <w:rFonts w:ascii="Cambria Math" w:hAnsi="Cambria Math" w:cs="Cambria Math"/>
        </w:rPr>
        <w:t xml:space="preserve"> polityki</w:t>
      </w:r>
      <w:r w:rsidR="00617BF8">
        <w:rPr>
          <w:rFonts w:ascii="Cambria Math" w:hAnsi="Cambria Math" w:cs="Cambria Math"/>
        </w:rPr>
        <w:t xml:space="preserve"> zdefiniowanej jako funkcja </w:t>
      </w:r>
      <w:r w:rsidR="00617BF8" w:rsidRPr="00FB6CF7">
        <w:rPr>
          <w:rFonts w:ascii="Cambria Math" w:hAnsi="Cambria Math" w:cs="Cambria Math"/>
          <w:i/>
        </w:rPr>
        <w:t>π</w:t>
      </w:r>
      <w:r w:rsidR="00617BF8" w:rsidRPr="0081167C">
        <w:rPr>
          <w:rFonts w:ascii="Cambria Math" w:hAnsi="Cambria Math" w:cs="Cambria Math"/>
        </w:rPr>
        <w:t xml:space="preserve"> </w:t>
      </w:r>
      <w:r w:rsidR="00617BF8" w:rsidRPr="00EF7900">
        <w:t>:</w:t>
      </w:r>
      <w:r w:rsidR="00617BF8">
        <w:t xml:space="preserve"> </w:t>
      </w:r>
      <w:r w:rsidR="00617BF8" w:rsidRPr="00EF7900">
        <w:rPr>
          <w:rFonts w:ascii="Cambria Math" w:hAnsi="Cambria Math" w:cs="Cambria Math"/>
        </w:rPr>
        <w:t>𝑆⟶</w:t>
      </w:r>
      <w:r w:rsidR="00617BF8">
        <w:t xml:space="preserve">A. </w:t>
      </w:r>
      <w:r w:rsidR="00617BF8">
        <w:fldChar w:fldCharType="begin"/>
      </w:r>
      <w:r w:rsidR="00617BF8">
        <w:instrText xml:space="preserve"> REF _Ref167280692 \r \h </w:instrText>
      </w:r>
      <w:r w:rsidR="00617BF8">
        <w:fldChar w:fldCharType="separate"/>
      </w:r>
      <w:r w:rsidR="00311815">
        <w:t>[17]</w:t>
      </w:r>
      <w:r w:rsidR="00617BF8">
        <w:fldChar w:fldCharType="end"/>
      </w:r>
      <w:r w:rsidR="00617BF8">
        <w:t xml:space="preserve"> </w:t>
      </w: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rPr>
          <w:rFonts w:ascii="Cambria Math" w:hAnsi="Cambria Math" w:cs="Cambria Math"/>
          <w:sz w:val="26"/>
          <w:szCs w:val="26"/>
        </w:rPr>
      </w:pPr>
    </w:p>
    <w:p w:rsidR="00DE6CDB" w:rsidRDefault="00DE6CDB" w:rsidP="00DE6CDB">
      <w:pPr>
        <w:pStyle w:val="Nagwek2"/>
      </w:pPr>
      <w:r>
        <w:t>Funkcja wartości</w:t>
      </w:r>
    </w:p>
    <w:p w:rsidR="00DE6CDB" w:rsidRDefault="00DE6CDB" w:rsidP="00DE6CDB"/>
    <w:p w:rsidR="00DE6CDB" w:rsidRDefault="00DE6CDB" w:rsidP="00DE6CDB">
      <w:r w:rsidRPr="00DE6CDB">
        <w:t>Funkcja wartości</w:t>
      </w:r>
      <w:r>
        <w:t xml:space="preserve"> </w:t>
      </w:r>
      <w:r w:rsidRPr="00B1351C">
        <w:t xml:space="preserve">określa, co jest korzystne w dłuższej perspektywie czasowej, w przeciwieństwie do </w:t>
      </w:r>
      <w:r>
        <w:t>sygnału nagrody, który ocenia tylko natychmiastowe efekty akcji</w:t>
      </w:r>
      <w:r w:rsidRPr="00B1351C">
        <w:t xml:space="preserve">. W przybliżeniu wartość stanu to całkowita suma nagród, jakiej agent może oczekiwać, zaczynając od danego stanu. </w:t>
      </w:r>
      <w:r>
        <w:t>Ma na celu wskazać</w:t>
      </w:r>
      <w:r w:rsidRPr="00B1351C">
        <w:t xml:space="preserve"> na długoterminową atrakcyjność stanów, biorąc pod uwagę stany, które prawdopodobnie nastąpią oraz nagrody dostępne w tych stanach.</w:t>
      </w:r>
      <w:r>
        <w:t xml:space="preserve"> </w:t>
      </w:r>
      <w:r w:rsidR="009257DC">
        <w:t xml:space="preserve">Wzór (1.3), przedstawia jak funkcja wartości określa oczekiwany zwrot przy zastosowaniu </w:t>
      </w:r>
      <w:r w:rsidR="009257DC">
        <w:br/>
        <w:t xml:space="preserve">polityki π. </w:t>
      </w:r>
      <w:r>
        <w:fldChar w:fldCharType="begin"/>
      </w:r>
      <w:r>
        <w:instrText xml:space="preserve"> REF _Ref166342097 \r \h </w:instrText>
      </w:r>
      <w:r>
        <w:fldChar w:fldCharType="separate"/>
      </w:r>
      <w:r w:rsidR="00311815">
        <w:t>[1]</w:t>
      </w:r>
      <w:r>
        <w:fldChar w:fldCharType="end"/>
      </w:r>
    </w:p>
    <w:p w:rsidR="00DE6CDB" w:rsidRDefault="00DE6CDB" w:rsidP="00DE6CD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DE6CDB" w:rsidTr="009257DC">
        <w:tc>
          <w:tcPr>
            <w:tcW w:w="421" w:type="dxa"/>
          </w:tcPr>
          <w:p w:rsidR="00DE6CDB" w:rsidRDefault="00DE6CDB" w:rsidP="00DE6CDB"/>
        </w:tc>
        <w:tc>
          <w:tcPr>
            <w:tcW w:w="7654" w:type="dxa"/>
          </w:tcPr>
          <w:p w:rsidR="009257DC" w:rsidRDefault="00783C34" w:rsidP="009257D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|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dla każdego s∈S</m:t>
                </m:r>
              </m:oMath>
            </m:oMathPara>
          </w:p>
        </w:tc>
        <w:tc>
          <w:tcPr>
            <w:tcW w:w="986" w:type="dxa"/>
            <w:vAlign w:val="center"/>
          </w:tcPr>
          <w:p w:rsidR="00DE6CDB" w:rsidRDefault="009257DC" w:rsidP="009257DC">
            <w:pPr>
              <w:jc w:val="center"/>
            </w:pPr>
            <w:r>
              <w:t>(1.3)</w:t>
            </w:r>
          </w:p>
        </w:tc>
      </w:tr>
    </w:tbl>
    <w:p w:rsidR="00DE6CDB" w:rsidRPr="00A07150" w:rsidRDefault="00DE6CDB" w:rsidP="00DE6CDB"/>
    <w:p w:rsidR="00DE6CDB" w:rsidRPr="00DE6CDB" w:rsidRDefault="00EC45CE" w:rsidP="00DE6CDB">
      <w:r>
        <w:t>Podobnie o</w:t>
      </w:r>
      <w:r w:rsidR="009257DC">
        <w:t>kreśla się również funkcję wartości akcji</w:t>
      </w:r>
      <w:r>
        <w:t xml:space="preserve"> [wzór (1.4)]</w:t>
      </w:r>
      <w:r w:rsidR="009257DC">
        <w:t xml:space="preserve">, </w:t>
      </w:r>
      <w:r>
        <w:t xml:space="preserve">czyli funkcja wartości przy założeniu, że w aktualnym stanie zostanie wykonana akcja </w:t>
      </w:r>
      <m:oMath>
        <m:r>
          <w:rPr>
            <w:rFonts w:ascii="Cambria Math" w:hAnsi="Cambria Math"/>
          </w:rPr>
          <m:t>a</m:t>
        </m:r>
      </m:oMath>
      <w:r>
        <w:t xml:space="preserve">: </w:t>
      </w:r>
      <w:r w:rsidR="003E31A1">
        <w:t xml:space="preserve"> </w:t>
      </w:r>
      <w:r w:rsidR="003E31A1">
        <w:fldChar w:fldCharType="begin"/>
      </w:r>
      <w:r w:rsidR="003E31A1">
        <w:instrText xml:space="preserve"> REF _Ref166342097 \r \h </w:instrText>
      </w:r>
      <w:r w:rsidR="003E31A1">
        <w:fldChar w:fldCharType="separate"/>
      </w:r>
      <w:r w:rsidR="00311815">
        <w:t>[1]</w:t>
      </w:r>
      <w:r w:rsidR="003E31A1">
        <w:fldChar w:fldCharType="end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654"/>
        <w:gridCol w:w="986"/>
      </w:tblGrid>
      <w:tr w:rsidR="00EC45CE" w:rsidTr="003E31A1">
        <w:tc>
          <w:tcPr>
            <w:tcW w:w="421" w:type="dxa"/>
          </w:tcPr>
          <w:p w:rsidR="00EC45CE" w:rsidRDefault="00EC45CE" w:rsidP="003E31A1"/>
        </w:tc>
        <w:tc>
          <w:tcPr>
            <w:tcW w:w="7654" w:type="dxa"/>
          </w:tcPr>
          <w:p w:rsidR="00EC45CE" w:rsidRDefault="00783C34" w:rsidP="00EC45C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 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</m:t>
                    </m:r>
                  </m:sub>
                </m:sSub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=a ]</m:t>
                </m:r>
              </m:oMath>
            </m:oMathPara>
          </w:p>
        </w:tc>
        <w:tc>
          <w:tcPr>
            <w:tcW w:w="986" w:type="dxa"/>
            <w:vAlign w:val="center"/>
          </w:tcPr>
          <w:p w:rsidR="00EC45CE" w:rsidRDefault="00EC45CE" w:rsidP="00EC45CE">
            <w:pPr>
              <w:jc w:val="center"/>
            </w:pPr>
            <w:r>
              <w:t>(1.4)</w:t>
            </w:r>
          </w:p>
        </w:tc>
      </w:tr>
    </w:tbl>
    <w:p w:rsidR="000E158C" w:rsidRPr="000E158C" w:rsidRDefault="000E158C" w:rsidP="000E158C">
      <w:pPr>
        <w:rPr>
          <w:rFonts w:ascii="Cambria Math" w:hAnsi="Cambria Math" w:cs="Cambria Math"/>
          <w:sz w:val="26"/>
          <w:szCs w:val="26"/>
        </w:rPr>
      </w:pPr>
    </w:p>
    <w:p w:rsidR="00E173D7" w:rsidRDefault="00E173D7" w:rsidP="00980938">
      <w:pPr>
        <w:pStyle w:val="Nagwek2"/>
      </w:pPr>
      <w:bookmarkStart w:id="6" w:name="_Toc166681155"/>
      <w:r>
        <w:t>Eksploracja, a eksploatacja</w:t>
      </w:r>
      <w:bookmarkEnd w:id="6"/>
    </w:p>
    <w:p w:rsidR="00D2233D" w:rsidRDefault="00E173D7" w:rsidP="00D2233D"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311815">
        <w:t>[2]</w:t>
      </w:r>
      <w:r w:rsidR="00D2233D">
        <w:fldChar w:fldCharType="end"/>
      </w:r>
    </w:p>
    <w:p w:rsidR="006D3F83" w:rsidRPr="006D3F83" w:rsidRDefault="0042039A" w:rsidP="000B5233">
      <w:pPr>
        <w:rPr>
          <w:lang w:eastAsia="pl-PL"/>
        </w:rPr>
      </w:pPr>
      <w:r>
        <w:rPr>
          <w:lang w:eastAsia="pl-PL"/>
        </w:rPr>
        <w:t>Przykładem rozwiązania tego problemu może być jedna z prostych</w:t>
      </w:r>
      <w:r w:rsidR="006D3F83" w:rsidRPr="006D3F83">
        <w:rPr>
          <w:lang w:eastAsia="pl-PL"/>
        </w:rPr>
        <w:t xml:space="preserve"> </w:t>
      </w:r>
      <w:r>
        <w:rPr>
          <w:lang w:eastAsia="pl-PL"/>
        </w:rPr>
        <w:t>metod</w:t>
      </w:r>
      <w:r w:rsidR="006D3F83" w:rsidRPr="006D3F83">
        <w:rPr>
          <w:lang w:eastAsia="pl-PL"/>
        </w:rPr>
        <w:t xml:space="preserve"> balansowania między eksploracją a eksploatacją</w:t>
      </w:r>
      <w:r>
        <w:rPr>
          <w:lang w:eastAsia="pl-PL"/>
        </w:rPr>
        <w:t xml:space="preserve"> </w:t>
      </w:r>
      <w:r w:rsidRPr="006D3F83">
        <w:rPr>
          <w:lang w:eastAsia="pl-PL"/>
        </w:rPr>
        <w:t>ε-</w:t>
      </w:r>
      <w:proofErr w:type="spellStart"/>
      <w:r w:rsidRPr="006D3F83">
        <w:rPr>
          <w:lang w:eastAsia="pl-PL"/>
        </w:rPr>
        <w:t>greedy</w:t>
      </w:r>
      <w:proofErr w:type="spellEnd"/>
      <w:r w:rsidR="006D3F83" w:rsidRPr="006D3F83">
        <w:rPr>
          <w:lang w:eastAsia="pl-PL"/>
        </w:rPr>
        <w:t>. Działa ona w następujący sposób</w:t>
      </w:r>
      <w:r>
        <w:rPr>
          <w:lang w:eastAsia="pl-PL"/>
        </w:rPr>
        <w:t xml:space="preserve">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_Ref166605012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[3]</w:t>
      </w:r>
      <w:r>
        <w:rPr>
          <w:lang w:eastAsia="pl-PL"/>
        </w:rPr>
        <w:fldChar w:fldCharType="end"/>
      </w:r>
      <w:r w:rsidR="006D3F83" w:rsidRPr="006D3F83">
        <w:rPr>
          <w:lang w:eastAsia="pl-PL"/>
        </w:rPr>
        <w:t>:</w:t>
      </w:r>
    </w:p>
    <w:p w:rsidR="006D3F83" w:rsidRPr="006D3F83" w:rsidRDefault="006D3F83" w:rsidP="000B5233">
      <w:pPr>
        <w:pStyle w:val="Akapitzlist"/>
        <w:numPr>
          <w:ilvl w:val="0"/>
          <w:numId w:val="4"/>
        </w:numPr>
        <w:rPr>
          <w:lang w:eastAsia="pl-PL"/>
        </w:rPr>
      </w:pPr>
      <w:r w:rsidRPr="000B5233">
        <w:rPr>
          <w:b/>
          <w:bCs/>
          <w:lang w:eastAsia="pl-PL"/>
        </w:rPr>
        <w:t>Eksploatacja</w:t>
      </w:r>
      <w:r w:rsidRPr="006D3F83">
        <w:rPr>
          <w:lang w:eastAsia="pl-PL"/>
        </w:rPr>
        <w:t>: Większość czasu metoda ε-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 xml:space="preserve"> działa zachłannie (</w:t>
      </w:r>
      <w:proofErr w:type="spellStart"/>
      <w:r w:rsidRPr="006D3F83">
        <w:rPr>
          <w:lang w:eastAsia="pl-PL"/>
        </w:rPr>
        <w:t>greedy</w:t>
      </w:r>
      <w:proofErr w:type="spellEnd"/>
      <w:r w:rsidRPr="006D3F83">
        <w:rPr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6D3F83" w:rsidRDefault="008454BE" w:rsidP="008454BE">
      <w:pPr>
        <w:pStyle w:val="Nagwek2"/>
      </w:pPr>
      <w:bookmarkStart w:id="7" w:name="_Toc166681156"/>
      <w:r>
        <w:t>Model środowiska</w:t>
      </w:r>
      <w:bookmarkEnd w:id="7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311815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B51592" w:rsidRDefault="00B51592" w:rsidP="00B51592">
      <w:pPr>
        <w:pStyle w:val="Nagwek2"/>
        <w:rPr>
          <w:rFonts w:eastAsia="Calibri"/>
        </w:rPr>
      </w:pPr>
      <w:r>
        <w:rPr>
          <w:rFonts w:eastAsia="Calibri"/>
        </w:rPr>
        <w:t>Off/on-policy/</w:t>
      </w:r>
      <w:proofErr w:type="spellStart"/>
      <w:r>
        <w:rPr>
          <w:rFonts w:eastAsia="Calibri"/>
        </w:rPr>
        <w:t>actor-critic</w:t>
      </w:r>
      <w:proofErr w:type="spellEnd"/>
    </w:p>
    <w:p w:rsidR="004C686E" w:rsidRDefault="00B51592" w:rsidP="00B51592">
      <w:pPr>
        <w:pStyle w:val="Nagwek2"/>
        <w:rPr>
          <w:rFonts w:eastAsia="Calibri"/>
          <w:sz w:val="32"/>
          <w:szCs w:val="32"/>
        </w:rPr>
      </w:pPr>
      <w:proofErr w:type="spellStart"/>
      <w:r>
        <w:rPr>
          <w:rFonts w:eastAsia="Calibri"/>
        </w:rPr>
        <w:t>I.i.e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batch</w:t>
      </w:r>
      <w:proofErr w:type="spellEnd"/>
      <w:r>
        <w:rPr>
          <w:rFonts w:eastAsia="Calibri"/>
        </w:rPr>
        <w:t xml:space="preserve"> learning</w:t>
      </w:r>
      <w:r w:rsidR="004C686E"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bookmarkStart w:id="8" w:name="_Toc166681157"/>
      <w:r>
        <w:rPr>
          <w:rFonts w:eastAsia="Calibri"/>
        </w:rPr>
        <w:lastRenderedPageBreak/>
        <w:t>Regulacja instalacji grzewczych</w:t>
      </w:r>
      <w:bookmarkEnd w:id="8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9" w:name="_Toc166681158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bookmarkEnd w:id="9"/>
      <w:r w:rsidR="00F11DD9">
        <w:rPr>
          <w:rFonts w:eastAsia="Calibri"/>
        </w:rPr>
        <w:t>nia</w:t>
      </w:r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311815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311815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</w:t>
      </w:r>
      <w:r w:rsidR="00510E7A">
        <w:rPr>
          <w:rFonts w:eastAsia="Calibri"/>
        </w:rPr>
        <w:lastRenderedPageBreak/>
        <w:t xml:space="preserve">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311815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 systemach ogrzewania, obiecującym podejściem do zwiększania efektywności energetycznej, optymalizacji wydajności i zapewniania komfortu użytkowników okazało się wykorzystanie uczenia maszynowego.</w:t>
      </w:r>
      <w:r>
        <w:rPr>
          <w:rStyle w:val="hwtze"/>
        </w:rPr>
        <w:t xml:space="preserve"> </w:t>
      </w:r>
      <w:r w:rsidR="00CD2F18">
        <w:t xml:space="preserve">W proponowanej 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311815">
        <w:t>[12]</w:t>
      </w:r>
      <w:r w:rsidR="00CD2F18">
        <w:fldChar w:fldCharType="end"/>
      </w:r>
      <w:r w:rsidR="00CD2F18">
        <w:t xml:space="preserve"> 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 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 xml:space="preserve">, w badaniu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311815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lastRenderedPageBreak/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 w:rsidR="00311815"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sformułowanie projektowania układu sterowania jako procesu decyzyjnego Markowa z użyciem głębokich sieci neuronowych i wykorzystanie algorytm głębokiego uczenia przez wzmacnianie opartego na głębokich gradientach polityki deterministycznej (DDPG) do znalezienia optymalnej strategii sterowania systemami HVAC, która równoważy koszty energii elektrycznej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311815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0" w:name="_Toc166681159"/>
      <w:r>
        <w:t xml:space="preserve">3.2. Środowisko </w:t>
      </w:r>
      <w:proofErr w:type="spellStart"/>
      <w:r>
        <w:t>TCLab</w:t>
      </w:r>
      <w:bookmarkEnd w:id="10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1" w:name="_Toc166681160"/>
      <w:r>
        <w:rPr>
          <w:rFonts w:eastAsia="Calibri"/>
        </w:rPr>
        <w:t>Algorytmy uczenia ze wzmocnieniem</w:t>
      </w:r>
      <w:bookmarkEnd w:id="11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  <w:r w:rsidR="000B5233">
        <w:rPr>
          <w:rFonts w:eastAsia="Calibri"/>
        </w:rPr>
        <w:t xml:space="preserve"> przegląd algorytmów uczenia ze wzmocnieniem</w:t>
      </w:r>
      <w:r w:rsidR="0081167C">
        <w:rPr>
          <w:rFonts w:eastAsia="Calibri"/>
        </w:rPr>
        <w:t xml:space="preserve">, oraz wyjaśnienie zasad ich </w:t>
      </w:r>
      <w:r w:rsidR="0081167C" w:rsidRPr="0081167C">
        <w:rPr>
          <w:rFonts w:eastAsia="Calibri"/>
        </w:rPr>
        <w:t xml:space="preserve">działania. </w:t>
      </w:r>
      <w:r w:rsidR="0081167C" w:rsidRPr="0081167C">
        <w:rPr>
          <w:rFonts w:eastAsia="Calibri"/>
          <w:color w:val="FF0000"/>
        </w:rPr>
        <w:t>Coś dopisać</w:t>
      </w:r>
    </w:p>
    <w:p w:rsidR="00E173D7" w:rsidRDefault="00E173D7" w:rsidP="00E173D7">
      <w:pPr>
        <w:rPr>
          <w:rFonts w:eastAsia="Calibri"/>
        </w:rPr>
      </w:pPr>
    </w:p>
    <w:p w:rsidR="00F632DA" w:rsidRDefault="000B5233" w:rsidP="001E5CBE">
      <w:pPr>
        <w:pStyle w:val="Nagwek2"/>
        <w:rPr>
          <w:rFonts w:eastAsia="Calibri"/>
        </w:rPr>
      </w:pPr>
      <w:r>
        <w:rPr>
          <w:rFonts w:eastAsia="Calibri"/>
        </w:rPr>
        <w:t>Q-learning</w:t>
      </w:r>
    </w:p>
    <w:p w:rsidR="000B5233" w:rsidRDefault="00A435D8" w:rsidP="000B5233">
      <w:pPr>
        <w:rPr>
          <w:rFonts w:eastAsia="Calibri"/>
        </w:rPr>
      </w:pPr>
      <w:r>
        <w:rPr>
          <w:rFonts w:eastAsia="Calibri"/>
        </w:rPr>
        <w:t xml:space="preserve">Q-learning jest metodą zaproponowaną przez Chrisa </w:t>
      </w:r>
      <w:proofErr w:type="spellStart"/>
      <w:r>
        <w:rPr>
          <w:rFonts w:eastAsia="Calibri"/>
        </w:rPr>
        <w:t>Witkinsa</w:t>
      </w:r>
      <w:proofErr w:type="spellEnd"/>
      <w:r>
        <w:rPr>
          <w:rFonts w:eastAsia="Calibri"/>
        </w:rPr>
        <w:t xml:space="preserve"> w 1989 roku </w:t>
      </w:r>
      <w:r>
        <w:rPr>
          <w:rFonts w:eastAsia="Calibri"/>
        </w:rPr>
        <w:fldChar w:fldCharType="begin"/>
      </w:r>
      <w:r>
        <w:rPr>
          <w:rFonts w:eastAsia="Calibri"/>
        </w:rPr>
        <w:instrText xml:space="preserve"> REF _Ref167282413 \r \h </w:instrText>
      </w:r>
      <w:r>
        <w:rPr>
          <w:rFonts w:eastAsia="Calibri"/>
        </w:rPr>
      </w:r>
      <w:r>
        <w:rPr>
          <w:rFonts w:eastAsia="Calibri"/>
        </w:rPr>
        <w:fldChar w:fldCharType="separate"/>
      </w:r>
      <w:r w:rsidR="00311815">
        <w:rPr>
          <w:rFonts w:eastAsia="Calibri"/>
        </w:rPr>
        <w:t>[18]</w:t>
      </w:r>
      <w:r>
        <w:rPr>
          <w:rFonts w:eastAsia="Calibri"/>
        </w:rPr>
        <w:fldChar w:fldCharType="end"/>
      </w:r>
      <w:r>
        <w:rPr>
          <w:rFonts w:eastAsia="Calibri"/>
        </w:rPr>
        <w:t>. Jest to metoda typu model-</w:t>
      </w:r>
      <w:proofErr w:type="spellStart"/>
      <w:r>
        <w:rPr>
          <w:rFonts w:eastAsia="Calibri"/>
        </w:rPr>
        <w:t>free</w:t>
      </w:r>
      <w:proofErr w:type="spellEnd"/>
      <w:r>
        <w:rPr>
          <w:rFonts w:eastAsia="Calibri"/>
        </w:rPr>
        <w:t>, off-policy. O</w:t>
      </w:r>
      <w:r w:rsidRPr="00A435D8">
        <w:rPr>
          <w:rFonts w:eastAsia="Calibri"/>
        </w:rPr>
        <w:t>piera się na funkcji w</w:t>
      </w:r>
      <w:r w:rsidR="00820C60">
        <w:rPr>
          <w:rFonts w:eastAsia="Calibri"/>
        </w:rPr>
        <w:t xml:space="preserve">artości </w:t>
      </w:r>
      <w:r>
        <w:rPr>
          <w:rFonts w:eastAsia="Calibri"/>
        </w:rPr>
        <w:t xml:space="preserve">akcji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Pr="00A435D8">
        <w:rPr>
          <w:rFonts w:eastAsia="Calibri"/>
        </w:rPr>
        <w:t xml:space="preserve">, która ocenia jakość wykonania danej akcji </w:t>
      </w:r>
      <m:oMath>
        <m:r>
          <w:rPr>
            <w:rFonts w:ascii="Cambria Math" w:hAnsi="Cambria Math"/>
          </w:rPr>
          <m:t>a</m:t>
        </m:r>
      </m:oMath>
      <w:r w:rsidRPr="00A435D8">
        <w:rPr>
          <w:rFonts w:eastAsia="Calibri"/>
        </w:rPr>
        <w:t xml:space="preserve"> w stanie </w:t>
      </w:r>
      <m:oMath>
        <m:r>
          <w:rPr>
            <w:rFonts w:ascii="Cambria Math" w:hAnsi="Cambria Math"/>
          </w:rPr>
          <m:t>s</m:t>
        </m:r>
      </m:oMath>
      <w:r w:rsidRPr="00A435D8">
        <w:rPr>
          <w:rFonts w:eastAsia="Calibri"/>
        </w:rPr>
        <w:t xml:space="preserve">. Algorytm aktualizuje wartości tej funkcji na podstawie doświadczeń zdobywanych </w:t>
      </w:r>
      <w:r w:rsidR="00BE22D9">
        <w:rPr>
          <w:rFonts w:eastAsia="Calibri"/>
        </w:rPr>
        <w:t>podczas interakcji z otoczeniem. Działanie algorytmu można przedstawić następująco</w:t>
      </w:r>
      <w:r w:rsidR="00A366D4">
        <w:rPr>
          <w:rFonts w:eastAsia="Calibri"/>
        </w:rPr>
        <w:t xml:space="preserve"> </w:t>
      </w:r>
      <w:r w:rsidR="00A366D4">
        <w:rPr>
          <w:rFonts w:eastAsia="Calibri"/>
        </w:rPr>
        <w:fldChar w:fldCharType="begin"/>
      </w:r>
      <w:r w:rsidR="00A366D4">
        <w:rPr>
          <w:rFonts w:eastAsia="Calibri"/>
        </w:rPr>
        <w:instrText xml:space="preserve"> REF _Ref167288095 \r \h </w:instrText>
      </w:r>
      <w:r w:rsidR="00A366D4">
        <w:rPr>
          <w:rFonts w:eastAsia="Calibri"/>
        </w:rPr>
      </w:r>
      <w:r w:rsidR="00A366D4">
        <w:rPr>
          <w:rFonts w:eastAsia="Calibri"/>
        </w:rPr>
        <w:fldChar w:fldCharType="separate"/>
      </w:r>
      <w:r w:rsidR="00311815">
        <w:rPr>
          <w:rFonts w:eastAsia="Calibri"/>
        </w:rPr>
        <w:t>[19]</w:t>
      </w:r>
      <w:r w:rsidR="00A366D4">
        <w:rPr>
          <w:rFonts w:eastAsia="Calibri"/>
        </w:rPr>
        <w:fldChar w:fldCharType="end"/>
      </w:r>
      <w:r w:rsidR="00BE22D9">
        <w:rPr>
          <w:rFonts w:eastAsia="Calibri"/>
        </w:rPr>
        <w:t>:</w:t>
      </w:r>
    </w:p>
    <w:p w:rsidR="00BE22D9" w:rsidRDefault="00BE22D9" w:rsidP="000B5233">
      <w:pPr>
        <w:rPr>
          <w:rFonts w:eastAsia="Calibri"/>
        </w:rPr>
      </w:pPr>
      <w:r>
        <w:rPr>
          <w:rFonts w:eastAsia="Calibri"/>
        </w:rPr>
        <w:t>W każdym kroku</w:t>
      </w:r>
      <w:r w:rsidR="00A366D4">
        <w:rPr>
          <w:rFonts w:eastAsia="Calibri"/>
        </w:rPr>
        <w:t xml:space="preserve"> uczenia</w:t>
      </w:r>
      <w:r>
        <w:rPr>
          <w:rFonts w:eastAsia="Calibri"/>
        </w:rPr>
        <w:t xml:space="preserve"> </w:t>
      </w:r>
      <w:r>
        <w:rPr>
          <w:rFonts w:eastAsia="Calibri"/>
          <w:i/>
        </w:rPr>
        <w:t>t</w:t>
      </w:r>
      <w:r>
        <w:rPr>
          <w:rFonts w:eastAsia="Calibri"/>
        </w:rPr>
        <w:t xml:space="preserve"> agent:</w:t>
      </w:r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>Obserwuje aktual</w:t>
      </w:r>
      <w:r>
        <w:rPr>
          <w:rFonts w:eastAsia="Calibri"/>
        </w:rPr>
        <w:t xml:space="preserve">ny stan </w:t>
      </w:r>
      <m:oMath>
        <m:r>
          <w:rPr>
            <w:rFonts w:ascii="Cambria Math" w:eastAsia="Calibri" w:hAnsi="Cambria Math"/>
          </w:rPr>
          <m:t>s</m:t>
        </m:r>
      </m:oMath>
      <w:r w:rsidRPr="00BE22D9">
        <w:rPr>
          <w:rFonts w:eastAsia="Calibri"/>
          <w:i/>
          <w:vertAlign w:val="subscript"/>
        </w:rPr>
        <w:t>t</w:t>
      </w:r>
    </w:p>
    <w:p w:rsid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Wybiera i wykonuje akcję </w:t>
      </w:r>
      <w:proofErr w:type="spellStart"/>
      <w:r>
        <w:rPr>
          <w:rFonts w:eastAsia="Calibri"/>
          <w:i/>
        </w:rPr>
        <w:t>a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Obserwuje następny stan </w:t>
      </w:r>
      <m:oMath>
        <m:sSubSup>
          <m:sSubSupPr>
            <m:ctrlPr>
              <w:rPr>
                <w:rFonts w:ascii="Cambria Math" w:eastAsia="Calibri" w:hAnsi="Cambria Math"/>
                <w:i/>
              </w:rPr>
            </m:ctrlPr>
          </m:sSubSup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  <m:sup>
            <m:r>
              <w:rPr>
                <w:rFonts w:ascii="Cambria Math" w:eastAsia="Calibri" w:hAnsi="Cambria Math"/>
              </w:rPr>
              <m:t>'</m:t>
            </m:r>
          </m:sup>
        </m:sSubSup>
      </m:oMath>
    </w:p>
    <w:p w:rsidR="00BE22D9" w:rsidRPr="00BE22D9" w:rsidRDefault="00BE22D9" w:rsidP="00BE22D9">
      <w:pPr>
        <w:pStyle w:val="Akapitzlist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Otrzymuje natychmiastowy zwrot nagrody </w:t>
      </w:r>
      <w:proofErr w:type="spellStart"/>
      <w:r>
        <w:rPr>
          <w:rFonts w:eastAsia="Calibri"/>
          <w:i/>
        </w:rPr>
        <w:t>r</w:t>
      </w:r>
      <w:r>
        <w:rPr>
          <w:rFonts w:eastAsia="Calibri"/>
          <w:i/>
          <w:vertAlign w:val="subscript"/>
        </w:rPr>
        <w:t>t</w:t>
      </w:r>
      <w:proofErr w:type="spellEnd"/>
    </w:p>
    <w:p w:rsidR="00BE22D9" w:rsidRPr="00783C34" w:rsidRDefault="00BE22D9" w:rsidP="00783C34">
      <w:pPr>
        <w:pStyle w:val="Akapitzlist"/>
        <w:numPr>
          <w:ilvl w:val="0"/>
          <w:numId w:val="12"/>
        </w:numPr>
        <w:rPr>
          <w:rFonts w:eastAsia="Calibri"/>
        </w:rPr>
      </w:pPr>
      <w:r w:rsidRPr="00BE22D9">
        <w:rPr>
          <w:rFonts w:eastAsia="Calibri"/>
        </w:rPr>
        <w:t xml:space="preserve">Dostosowuje funkcję </w:t>
      </w:r>
      <m:oMath>
        <m:r>
          <w:rPr>
            <w:rFonts w:ascii="Cambria Math" w:hAnsi="Cambria Math"/>
          </w:rPr>
          <m:t>Q</m:t>
        </m:r>
      </m:oMath>
      <w:r>
        <w:rPr>
          <w:noProof/>
          <w:lang w:eastAsia="pl-PL"/>
        </w:rPr>
        <w:t xml:space="preserve"> według wzoru (3.1)</w:t>
      </w:r>
      <w:r w:rsidR="00A366D4">
        <w:rPr>
          <w:noProof/>
          <w:lang w:eastAsia="pl-PL"/>
        </w:rPr>
        <w:t xml:space="preserve">, </w:t>
      </w:r>
      <w:r w:rsidR="00A366D4" w:rsidRPr="00A366D4">
        <w:rPr>
          <w:rFonts w:eastAsia="Calibri"/>
          <w:i/>
        </w:rPr>
        <w:t>α</w:t>
      </w:r>
      <w:r w:rsidR="00A366D4">
        <w:rPr>
          <w:rFonts w:eastAsia="Calibri"/>
          <w:i/>
          <w:vertAlign w:val="subscript"/>
        </w:rPr>
        <w:t xml:space="preserve">t </w:t>
      </w:r>
      <w:r w:rsidR="00A366D4">
        <w:rPr>
          <w:rFonts w:eastAsia="Calibri"/>
        </w:rPr>
        <w:t>– współczynnik uczenia (</w:t>
      </w:r>
      <w:r w:rsidR="00A366D4" w:rsidRPr="00A366D4">
        <w:rPr>
          <w:rFonts w:eastAsia="Calibri"/>
        </w:rPr>
        <w:t xml:space="preserve">learning </w:t>
      </w:r>
      <w:proofErr w:type="spellStart"/>
      <w:r w:rsidR="00A366D4" w:rsidRPr="00A366D4">
        <w:rPr>
          <w:rFonts w:eastAsia="Calibri"/>
        </w:rPr>
        <w:t>rate</w:t>
      </w:r>
      <w:proofErr w:type="spellEnd"/>
      <w:r w:rsidR="00A366D4">
        <w:rPr>
          <w:rFonts w:eastAsia="Calibri"/>
        </w:rPr>
        <w:t>)</w:t>
      </w:r>
    </w:p>
    <w:p w:rsidR="00783C34" w:rsidRDefault="00783C34" w:rsidP="00783C34">
      <w:pPr>
        <w:pStyle w:val="Akapitzlist"/>
        <w:rPr>
          <w:noProof/>
          <w:lang w:eastAsia="pl-PL"/>
        </w:rPr>
      </w:pPr>
    </w:p>
    <w:tbl>
      <w:tblPr>
        <w:tblStyle w:val="Tabela-Siatka"/>
        <w:tblW w:w="865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7570"/>
        <w:gridCol w:w="853"/>
      </w:tblGrid>
      <w:tr w:rsidR="00783C34" w:rsidTr="00A366D4">
        <w:trPr>
          <w:trHeight w:val="585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</w:rPr>
                      <m:t>s, a</m:t>
                    </m:r>
                  </m:e>
                </m:d>
                <m:r>
                  <w:rPr>
                    <w:rFonts w:ascii="Cambria Math" w:eastAsia="Calibri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+γ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t-1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 jeśli s=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i a=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 xml:space="preserve">                                     Q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</w:rPr>
                              <m:t>t-1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s, a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>,               w innym przypadku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3" w:type="dxa"/>
            <w:vAlign w:val="center"/>
          </w:tcPr>
          <w:p w:rsidR="00783C34" w:rsidRDefault="00783C3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(3.1)</w:t>
            </w:r>
          </w:p>
        </w:tc>
      </w:tr>
      <w:tr w:rsidR="00A366D4" w:rsidTr="00A366D4">
        <w:trPr>
          <w:trHeight w:val="407"/>
        </w:trPr>
        <w:tc>
          <w:tcPr>
            <w:tcW w:w="236" w:type="dxa"/>
          </w:tcPr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</w:p>
          <w:p w:rsidR="00A366D4" w:rsidRDefault="00A366D4" w:rsidP="00A366D4">
            <w:pPr>
              <w:pStyle w:val="Akapitzlist"/>
              <w:ind w:left="0"/>
              <w:rPr>
                <w:rFonts w:eastAsia="Calibri"/>
              </w:rPr>
            </w:pPr>
            <w:r>
              <w:rPr>
                <w:rFonts w:eastAsia="Calibri"/>
              </w:rPr>
              <w:t xml:space="preserve">Gdzie: </w:t>
            </w:r>
          </w:p>
          <w:p w:rsidR="00A366D4" w:rsidRDefault="00A366D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853" w:type="dxa"/>
            <w:vAlign w:val="center"/>
          </w:tcPr>
          <w:p w:rsidR="00A366D4" w:rsidRDefault="00A366D4" w:rsidP="00783C34">
            <w:pPr>
              <w:pStyle w:val="Akapitzlist"/>
              <w:ind w:left="0"/>
              <w:jc w:val="center"/>
              <w:rPr>
                <w:rFonts w:eastAsia="Calibri"/>
              </w:rPr>
            </w:pPr>
          </w:p>
        </w:tc>
      </w:tr>
      <w:tr w:rsidR="00783C34" w:rsidTr="00A366D4">
        <w:trPr>
          <w:trHeight w:val="494"/>
        </w:trPr>
        <w:tc>
          <w:tcPr>
            <w:tcW w:w="236" w:type="dxa"/>
          </w:tcPr>
          <w:p w:rsidR="00783C34" w:rsidRDefault="00783C34" w:rsidP="00783C34">
            <w:pPr>
              <w:pStyle w:val="Akapitzlist"/>
              <w:ind w:left="0"/>
              <w:rPr>
                <w:rFonts w:eastAsia="Calibri"/>
              </w:rPr>
            </w:pPr>
          </w:p>
        </w:tc>
        <w:tc>
          <w:tcPr>
            <w:tcW w:w="7570" w:type="dxa"/>
          </w:tcPr>
          <w:p w:rsidR="00A366D4" w:rsidRPr="00A366D4" w:rsidRDefault="00783C34" w:rsidP="00A366D4">
            <w:pPr>
              <w:pStyle w:val="Akapitzlist"/>
              <w:ind w:left="0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/>
                  </w:rPr>
                  <m:t>≡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="Calibri" w:hAnsi="Cambria Math"/>
                          </w:rPr>
                          <m:t>b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/>
                          </w:rPr>
                          <m:t>, b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3" w:type="dxa"/>
            <w:vAlign w:val="center"/>
          </w:tcPr>
          <w:p w:rsidR="00A366D4" w:rsidRDefault="00A366D4" w:rsidP="00A366D4">
            <w:pPr>
              <w:pStyle w:val="Akapitzlist"/>
              <w:ind w:left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(3.</w:t>
            </w: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)</w:t>
            </w:r>
          </w:p>
        </w:tc>
      </w:tr>
    </w:tbl>
    <w:p w:rsidR="00311815" w:rsidRDefault="00311815" w:rsidP="00783C34">
      <w:pPr>
        <w:pStyle w:val="Akapitzlist"/>
        <w:rPr>
          <w:rFonts w:eastAsia="Calibri"/>
        </w:rPr>
      </w:pPr>
    </w:p>
    <w:p w:rsidR="00783C34" w:rsidRPr="00BE22D9" w:rsidRDefault="00311815" w:rsidP="00311815">
      <w:pPr>
        <w:pStyle w:val="Akapitzlist"/>
        <w:ind w:left="0"/>
        <w:rPr>
          <w:rFonts w:eastAsia="Calibri"/>
        </w:rPr>
      </w:pPr>
      <w:r>
        <w:rPr>
          <w:rFonts w:eastAsia="Calibri"/>
        </w:rPr>
        <w:t xml:space="preserve">Z początku funkcja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Q</m:t>
            </m:r>
          </m:e>
          <m:sub>
            <m:r>
              <w:rPr>
                <w:rFonts w:ascii="Cambria Math" w:eastAsia="Calibri" w:hAnsi="Cambria Math"/>
              </w:rPr>
              <m:t>t</m:t>
            </m:r>
          </m:sub>
        </m:sSub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s, a</m:t>
            </m:r>
          </m:e>
        </m:d>
      </m:oMath>
      <w:r>
        <w:rPr>
          <w:rFonts w:eastAsia="Calibri"/>
        </w:rPr>
        <w:t xml:space="preserve"> była reprezentowana przy pomocy tablicy </w:t>
      </w:r>
      <w:proofErr w:type="spellStart"/>
      <w:r>
        <w:rPr>
          <w:rFonts w:eastAsia="Calibri"/>
        </w:rPr>
        <w:t>look-up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table</w:t>
      </w:r>
      <w:proofErr w:type="spellEnd"/>
      <w:r>
        <w:rPr>
          <w:rFonts w:eastAsia="Calibri"/>
        </w:rPr>
        <w:t xml:space="preserve">, jednak dziś coraz popularniejsze staje się wykorzystywanie jej aproksymacji, co pozwala rozszerzyć obszar zastosowań do bardziej złożonych problemów, w tym także </w:t>
      </w:r>
      <w:r w:rsidR="00D65907">
        <w:rPr>
          <w:rFonts w:eastAsia="Calibri"/>
        </w:rPr>
        <w:t xml:space="preserve">na problemy z ciągłą przestrzenią </w:t>
      </w:r>
      <w:r w:rsidR="008B6688">
        <w:rPr>
          <w:rFonts w:eastAsia="Calibri"/>
        </w:rPr>
        <w:t>stanów</w:t>
      </w:r>
      <w:r>
        <w:rPr>
          <w:rFonts w:eastAsia="Calibri"/>
        </w:rPr>
        <w:t xml:space="preserve">. Szczególnie interesujące okazało się </w:t>
      </w:r>
      <w:r w:rsidR="00D65907">
        <w:rPr>
          <w:rFonts w:eastAsia="Calibri"/>
        </w:rPr>
        <w:t xml:space="preserve">stosowanie do aproksymacji głębokich sieci neuronowych. Takie algorytmy nazywane są </w:t>
      </w:r>
      <w:proofErr w:type="spellStart"/>
      <w:r w:rsidR="00D65907">
        <w:rPr>
          <w:rFonts w:eastAsia="Calibri"/>
        </w:rPr>
        <w:t>Deep</w:t>
      </w:r>
      <w:proofErr w:type="spellEnd"/>
      <w:r w:rsidR="00D65907">
        <w:t xml:space="preserve"> Q-</w:t>
      </w:r>
      <w:r w:rsidR="00D65907">
        <w:t>Learning</w:t>
      </w:r>
      <w:r w:rsidR="00D65907">
        <w:t xml:space="preserve"> (DQN).</w:t>
      </w:r>
      <w:r w:rsidR="00FC73DE">
        <w:t xml:space="preserve"> </w:t>
      </w:r>
      <w:r w:rsidR="00B51592">
        <w:t xml:space="preserve">Problemem takiego rozwiązania jest jednak, to, że nie ma pewności co do zbieżności polityki. </w:t>
      </w:r>
      <w:r w:rsidR="003F2825">
        <w:t>A</w:t>
      </w:r>
      <w:r w:rsidR="00B51592">
        <w:t xml:space="preserve">lgorytm </w:t>
      </w:r>
      <w:r w:rsidR="003F2825">
        <w:t xml:space="preserve">jest zbieżny, jeśli </w:t>
      </w:r>
      <w:r w:rsidR="00B51592">
        <w:t>może przejść przez każdą parę stan-akcja nie</w:t>
      </w:r>
      <w:r w:rsidR="003F2825">
        <w:t xml:space="preserve">skończoną ilość razy i  learning </w:t>
      </w:r>
      <w:proofErr w:type="spellStart"/>
      <w:r w:rsidR="003F2825">
        <w:t>rate</w:t>
      </w:r>
      <w:proofErr w:type="spellEnd"/>
      <w:r w:rsidR="003F2825">
        <w:t xml:space="preserve">  </w:t>
      </w:r>
      <m:oMath>
        <m:r>
          <w:rPr>
            <w:rFonts w:ascii="Cambria Math" w:eastAsia="Calibri" w:hAnsi="Cambria Math"/>
          </w:rPr>
          <m:t>α</m:t>
        </m:r>
      </m:oMath>
      <w:r w:rsidR="003F2825">
        <w:t xml:space="preserve"> jest odpowiednio zmniejszany </w:t>
      </w:r>
      <w:r w:rsidR="003F2825">
        <w:fldChar w:fldCharType="begin"/>
      </w:r>
      <w:r w:rsidR="003F2825">
        <w:instrText xml:space="preserve"> REF _Ref167298456 \r \h </w:instrText>
      </w:r>
      <w:r w:rsidR="003F2825">
        <w:fldChar w:fldCharType="separate"/>
      </w:r>
      <w:r w:rsidR="003F2825">
        <w:t>[20]</w:t>
      </w:r>
      <w:r w:rsidR="003F2825">
        <w:fldChar w:fldCharType="end"/>
      </w:r>
      <w:r w:rsidR="003F2825">
        <w:t>.</w:t>
      </w:r>
      <w:bookmarkStart w:id="12" w:name="_GoBack"/>
      <w:bookmarkEnd w:id="12"/>
    </w:p>
    <w:p w:rsidR="00BE22D9" w:rsidRPr="00BE22D9" w:rsidRDefault="00BE22D9" w:rsidP="00783C34">
      <w:pPr>
        <w:pStyle w:val="Akapitzlist"/>
        <w:rPr>
          <w:rFonts w:eastAsia="Calibri"/>
        </w:rPr>
      </w:pPr>
    </w:p>
    <w:p w:rsidR="00F632DA" w:rsidRDefault="001E5CBE" w:rsidP="00F632DA">
      <w:pPr>
        <w:pStyle w:val="Nagwek2"/>
      </w:pPr>
      <w:bookmarkStart w:id="13" w:name="_Toc166681162"/>
      <w:r>
        <w:t>DDPG</w:t>
      </w:r>
      <w:bookmarkEnd w:id="13"/>
    </w:p>
    <w:p w:rsidR="001E5CBE" w:rsidRDefault="001E5CBE" w:rsidP="001E5CBE">
      <w:pPr>
        <w:pStyle w:val="Nagwek2"/>
      </w:pPr>
      <w:bookmarkStart w:id="14" w:name="_Toc166681163"/>
      <w:r>
        <w:t>PPO</w:t>
      </w:r>
      <w:bookmarkEnd w:id="14"/>
    </w:p>
    <w:p w:rsidR="00E173D7" w:rsidRDefault="001E5CBE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1E5CBE" w:rsidRDefault="001E5CBE" w:rsidP="001E5CBE">
      <w:pPr>
        <w:pStyle w:val="Nagwek2"/>
        <w:rPr>
          <w:rFonts w:eastAsia="Calibri"/>
        </w:rPr>
      </w:pPr>
      <w:bookmarkStart w:id="15" w:name="_Toc166681164"/>
      <w:r>
        <w:rPr>
          <w:rFonts w:eastAsia="Calibri"/>
        </w:rPr>
        <w:t>TD3</w:t>
      </w:r>
      <w:bookmarkEnd w:id="15"/>
    </w:p>
    <w:p w:rsidR="004B1E38" w:rsidRPr="004B1E38" w:rsidRDefault="004B1E38" w:rsidP="004B1E38">
      <w:pPr>
        <w:pStyle w:val="Nagwek2"/>
      </w:pPr>
      <w:bookmarkStart w:id="16" w:name="_Toc166681165"/>
      <w:r>
        <w:t>Inne algorytmy</w:t>
      </w:r>
      <w:bookmarkEnd w:id="16"/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r>
        <w:rPr>
          <w:rFonts w:eastAsia="Calibri"/>
        </w:rPr>
        <w:t>Narzędzia implementacji</w:t>
      </w:r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proofErr w:type="spellStart"/>
      <w:r>
        <w:t>Python</w:t>
      </w:r>
      <w:proofErr w:type="spellEnd"/>
    </w:p>
    <w:p w:rsidR="004B1E38" w:rsidRDefault="004B1E38" w:rsidP="004B1E38">
      <w:pPr>
        <w:pStyle w:val="Nagwek2"/>
      </w:pPr>
      <w:proofErr w:type="spellStart"/>
      <w:r>
        <w:t>Tensorflow</w:t>
      </w:r>
      <w:proofErr w:type="spellEnd"/>
    </w:p>
    <w:p w:rsidR="004B1E38" w:rsidRDefault="004B1E38" w:rsidP="004B1E38">
      <w:pPr>
        <w:pStyle w:val="Nagwek2"/>
      </w:pPr>
      <w:proofErr w:type="spellStart"/>
      <w:r>
        <w:t>Tf-Agents</w:t>
      </w:r>
      <w:proofErr w:type="spellEnd"/>
    </w:p>
    <w:p w:rsidR="004B1E38" w:rsidRDefault="004B1E38" w:rsidP="004B1E38">
      <w:pPr>
        <w:pStyle w:val="Nagwek2"/>
      </w:pPr>
      <w:proofErr w:type="spellStart"/>
      <w:r>
        <w:t>Optuna</w:t>
      </w:r>
      <w:proofErr w:type="spellEnd"/>
    </w:p>
    <w:p w:rsidR="004B1E38" w:rsidRDefault="004B1E38" w:rsidP="004B1E38">
      <w:pPr>
        <w:pStyle w:val="Nagwek2"/>
      </w:pPr>
      <w:proofErr w:type="spellStart"/>
      <w:r>
        <w:t>TCLab</w:t>
      </w:r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17" w:name="_Toc166681166"/>
      <w:r>
        <w:lastRenderedPageBreak/>
        <w:t>Bibliografia</w:t>
      </w:r>
      <w:bookmarkEnd w:id="17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8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8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9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19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0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3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20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1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4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22" w:name="_Ref166846619"/>
      <w:bookmarkEnd w:id="21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3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5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22"/>
      <w:bookmarkEnd w:id="23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4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6" w:history="1">
        <w:r w:rsidRPr="00BA0458">
          <w:rPr>
            <w:rStyle w:val="Hipercze"/>
          </w:rPr>
          <w:t>https://doi.org/10.11591/ijpeds.v8.i3.pp1168-1175</w:t>
        </w:r>
      </w:hyperlink>
      <w:bookmarkEnd w:id="24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5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17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25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6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18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26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7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19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27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0" w:history="1">
        <w:r w:rsidR="00FC3C9D" w:rsidRPr="0062341B">
          <w:rPr>
            <w:rStyle w:val="Hipercze"/>
          </w:rPr>
          <w:t>https://doi.org/10.1145/2638728.2641555</w:t>
        </w:r>
      </w:hyperlink>
      <w:bookmarkEnd w:id="28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1" w:history="1">
        <w:r w:rsidR="00CD2F18" w:rsidRPr="0062341B">
          <w:rPr>
            <w:rStyle w:val="Hipercze"/>
          </w:rPr>
          <w:t>https://doi.org/10.1051/e3sconf/202124609005</w:t>
        </w:r>
      </w:hyperlink>
      <w:bookmarkEnd w:id="29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 xml:space="preserve">, 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 Volume 255, 2022, 111692, ISSN 0378-7788,</w:t>
      </w:r>
      <w:r>
        <w:rPr>
          <w:rFonts w:eastAsia="Calibri"/>
        </w:rPr>
        <w:br/>
      </w:r>
      <w:hyperlink r:id="rId22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30"/>
    </w:p>
    <w:p w:rsidR="00CD2F18" w:rsidRDefault="00CD2F18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1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3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31"/>
    </w:p>
    <w:p w:rsidR="00BB0F13" w:rsidRPr="008932AF" w:rsidRDefault="00BB0F13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4" w:history="1">
        <w:r w:rsidR="008932AF" w:rsidRPr="0062341B">
          <w:rPr>
            <w:rStyle w:val="Hipercze"/>
          </w:rPr>
          <w:t>https://doi.org/10.1109/tsg.2020.3042498</w:t>
        </w:r>
      </w:hyperlink>
      <w:bookmarkEnd w:id="32"/>
    </w:p>
    <w:p w:rsidR="008932AF" w:rsidRPr="00EF7900" w:rsidRDefault="008932AF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 xml:space="preserve">, 14(22), 7491. </w:t>
      </w:r>
      <w:hyperlink r:id="rId25" w:history="1">
        <w:r w:rsidR="00EF7900" w:rsidRPr="00F52273">
          <w:rPr>
            <w:rStyle w:val="Hipercze"/>
          </w:rPr>
          <w:t>https://doi.org/10.3390/en14227491</w:t>
        </w:r>
      </w:hyperlink>
      <w:bookmarkEnd w:id="33"/>
    </w:p>
    <w:p w:rsidR="00EF7900" w:rsidRPr="0081167C" w:rsidRDefault="00EF7900" w:rsidP="003E31A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7206165"/>
      <w:proofErr w:type="spellStart"/>
      <w:r>
        <w:t>Adjei</w:t>
      </w:r>
      <w:proofErr w:type="spellEnd"/>
      <w:r>
        <w:t xml:space="preserve"> P, </w:t>
      </w:r>
      <w:proofErr w:type="spellStart"/>
      <w:r>
        <w:t>Tasfi</w:t>
      </w:r>
      <w:proofErr w:type="spellEnd"/>
      <w:r>
        <w:t xml:space="preserve"> N, Gomez-</w:t>
      </w:r>
      <w:proofErr w:type="spellStart"/>
      <w:r>
        <w:t>Rosero</w:t>
      </w:r>
      <w:proofErr w:type="spellEnd"/>
      <w:r>
        <w:t xml:space="preserve"> S, </w:t>
      </w:r>
      <w:proofErr w:type="spellStart"/>
      <w:r>
        <w:t>Capretz</w:t>
      </w:r>
      <w:proofErr w:type="spellEnd"/>
      <w:r>
        <w:t xml:space="preserve"> MAM.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 for </w:t>
      </w:r>
      <w:proofErr w:type="spellStart"/>
      <w:r>
        <w:t>Arm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with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Robotics</w:t>
      </w:r>
      <w:proofErr w:type="spellEnd"/>
      <w:r>
        <w:t xml:space="preserve"> [Internet]. 2024 </w:t>
      </w:r>
      <w:proofErr w:type="spellStart"/>
      <w:r>
        <w:t>Apr</w:t>
      </w:r>
      <w:proofErr w:type="spellEnd"/>
      <w:r>
        <w:t xml:space="preserve"> 1;13(4). </w:t>
      </w:r>
      <w:r w:rsidR="000E158C">
        <w:br/>
      </w:r>
      <w:hyperlink r:id="rId26" w:history="1">
        <w:r w:rsidR="0081167C" w:rsidRPr="006B6DA1">
          <w:rPr>
            <w:rStyle w:val="Hipercze"/>
          </w:rPr>
          <w:t>https://search-1ebscohost-1com-1000003w3012f.wbg2.bg.agh.edu.pl/login.aspx?direct=true&amp;db=edselc&amp;AN=edselc.2-52.0-85191607938&amp;lang=pl&amp;site=eds-live</w:t>
        </w:r>
      </w:hyperlink>
      <w:bookmarkEnd w:id="34"/>
    </w:p>
    <w:p w:rsidR="0081167C" w:rsidRDefault="0081167C" w:rsidP="00783C34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5" w:name="_Ref167280692"/>
      <w:proofErr w:type="spellStart"/>
      <w:r w:rsidRPr="0081167C">
        <w:rPr>
          <w:rFonts w:eastAsia="Calibri"/>
        </w:rPr>
        <w:t>Bumsoo</w:t>
      </w:r>
      <w:proofErr w:type="spellEnd"/>
      <w:r w:rsidRPr="0081167C">
        <w:rPr>
          <w:rFonts w:eastAsia="Calibri"/>
        </w:rPr>
        <w:t xml:space="preserve"> Park, Alexandra R. </w:t>
      </w:r>
      <w:proofErr w:type="spellStart"/>
      <w:r w:rsidRPr="0081167C">
        <w:rPr>
          <w:rFonts w:eastAsia="Calibri"/>
        </w:rPr>
        <w:t>Rempel</w:t>
      </w:r>
      <w:proofErr w:type="spellEnd"/>
      <w:r w:rsidRPr="0081167C">
        <w:rPr>
          <w:rFonts w:eastAsia="Calibri"/>
        </w:rPr>
        <w:t xml:space="preserve">, Alan K.L. </w:t>
      </w:r>
      <w:proofErr w:type="spellStart"/>
      <w:r w:rsidRPr="0081167C">
        <w:rPr>
          <w:rFonts w:eastAsia="Calibri"/>
        </w:rPr>
        <w:t>Lai</w:t>
      </w:r>
      <w:proofErr w:type="spellEnd"/>
      <w:r w:rsidRPr="0081167C">
        <w:rPr>
          <w:rFonts w:eastAsia="Calibri"/>
        </w:rPr>
        <w:t xml:space="preserve">, Julianna </w:t>
      </w:r>
      <w:proofErr w:type="spellStart"/>
      <w:r w:rsidRPr="0081167C">
        <w:rPr>
          <w:rFonts w:eastAsia="Calibri"/>
        </w:rPr>
        <w:t>Chiaramonte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Sandipan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Mishra</w:t>
      </w:r>
      <w:proofErr w:type="spellEnd"/>
      <w:r w:rsidRPr="0081167C">
        <w:rPr>
          <w:rFonts w:eastAsia="Calibri"/>
        </w:rPr>
        <w:t xml:space="preserve">, </w:t>
      </w:r>
      <w:proofErr w:type="spellStart"/>
      <w:r w:rsidRPr="0081167C">
        <w:rPr>
          <w:rFonts w:eastAsia="Calibri"/>
        </w:rPr>
        <w:t>Reinforcement</w:t>
      </w:r>
      <w:proofErr w:type="spellEnd"/>
      <w:r w:rsidRPr="0081167C">
        <w:rPr>
          <w:rFonts w:eastAsia="Calibri"/>
        </w:rPr>
        <w:t xml:space="preserve"> Learning for Control of </w:t>
      </w:r>
      <w:proofErr w:type="spellStart"/>
      <w:r w:rsidRPr="0081167C">
        <w:rPr>
          <w:rFonts w:eastAsia="Calibri"/>
        </w:rPr>
        <w:t>Passive</w:t>
      </w:r>
      <w:proofErr w:type="spellEnd"/>
      <w:r w:rsidRPr="0081167C">
        <w:rPr>
          <w:rFonts w:eastAsia="Calibri"/>
        </w:rPr>
        <w:t xml:space="preserve"> Heating and </w:t>
      </w:r>
      <w:proofErr w:type="spellStart"/>
      <w:r w:rsidRPr="0081167C">
        <w:rPr>
          <w:rFonts w:eastAsia="Calibri"/>
        </w:rPr>
        <w:t>Cooling</w:t>
      </w:r>
      <w:proofErr w:type="spellEnd"/>
      <w:r w:rsidRPr="0081167C">
        <w:rPr>
          <w:rFonts w:eastAsia="Calibri"/>
        </w:rPr>
        <w:t xml:space="preserve"> in </w:t>
      </w:r>
      <w:proofErr w:type="spellStart"/>
      <w:r w:rsidRPr="0081167C">
        <w:rPr>
          <w:rFonts w:eastAsia="Calibri"/>
        </w:rPr>
        <w:t>Buildings</w:t>
      </w:r>
      <w:proofErr w:type="spellEnd"/>
      <w:r w:rsidRPr="0081167C">
        <w:rPr>
          <w:rFonts w:eastAsia="Calibri"/>
        </w:rPr>
        <w:t>⁎⁎</w:t>
      </w:r>
      <w:proofErr w:type="spellStart"/>
      <w:r w:rsidRPr="0081167C">
        <w:rPr>
          <w:rFonts w:eastAsia="Calibri"/>
        </w:rPr>
        <w:t>This</w:t>
      </w:r>
      <w:proofErr w:type="spellEnd"/>
      <w:r w:rsidRPr="0081167C">
        <w:rPr>
          <w:rFonts w:eastAsia="Calibri"/>
        </w:rPr>
        <w:t xml:space="preserve"> </w:t>
      </w:r>
      <w:proofErr w:type="spellStart"/>
      <w:r w:rsidRPr="0081167C">
        <w:rPr>
          <w:rFonts w:eastAsia="Calibri"/>
        </w:rPr>
        <w:t>work</w:t>
      </w:r>
      <w:proofErr w:type="spellEnd"/>
      <w:r w:rsidRPr="0081167C">
        <w:rPr>
          <w:rFonts w:eastAsia="Calibri"/>
        </w:rPr>
        <w:t xml:space="preserve"> was </w:t>
      </w:r>
      <w:proofErr w:type="spellStart"/>
      <w:r w:rsidRPr="0081167C">
        <w:rPr>
          <w:rFonts w:eastAsia="Calibri"/>
        </w:rPr>
        <w:t>funded</w:t>
      </w:r>
      <w:proofErr w:type="spellEnd"/>
      <w:r w:rsidRPr="0081167C">
        <w:rPr>
          <w:rFonts w:eastAsia="Calibri"/>
        </w:rPr>
        <w:t xml:space="preserve"> by </w:t>
      </w:r>
      <w:proofErr w:type="spellStart"/>
      <w:r w:rsidRPr="0081167C">
        <w:rPr>
          <w:rFonts w:eastAsia="Calibri"/>
        </w:rPr>
        <w:t>National</w:t>
      </w:r>
      <w:proofErr w:type="spellEnd"/>
      <w:r w:rsidRPr="0081167C">
        <w:rPr>
          <w:rFonts w:eastAsia="Calibri"/>
        </w:rPr>
        <w:t xml:space="preserve"> Science Foundation CBET-1804218., IFAC-</w:t>
      </w:r>
      <w:proofErr w:type="spellStart"/>
      <w:r w:rsidRPr="0081167C">
        <w:rPr>
          <w:rFonts w:eastAsia="Calibri"/>
        </w:rPr>
        <w:t>PapersOnLine</w:t>
      </w:r>
      <w:proofErr w:type="spellEnd"/>
      <w:r w:rsidRPr="0081167C">
        <w:rPr>
          <w:rFonts w:eastAsia="Calibri"/>
        </w:rPr>
        <w:t xml:space="preserve">, Volume 54, </w:t>
      </w:r>
      <w:proofErr w:type="spellStart"/>
      <w:r w:rsidRPr="0081167C">
        <w:rPr>
          <w:rFonts w:eastAsia="Calibri"/>
        </w:rPr>
        <w:t>Issue</w:t>
      </w:r>
      <w:proofErr w:type="spellEnd"/>
      <w:r w:rsidRPr="0081167C">
        <w:rPr>
          <w:rFonts w:eastAsia="Calibri"/>
        </w:rPr>
        <w:t xml:space="preserve"> 20, 2021, </w:t>
      </w:r>
      <w:proofErr w:type="spellStart"/>
      <w:r w:rsidRPr="0081167C">
        <w:rPr>
          <w:rFonts w:eastAsia="Calibri"/>
        </w:rPr>
        <w:t>Pages</w:t>
      </w:r>
      <w:proofErr w:type="spellEnd"/>
      <w:r w:rsidRPr="0081167C">
        <w:rPr>
          <w:rFonts w:eastAsia="Calibri"/>
        </w:rPr>
        <w:t xml:space="preserve"> 907-912, </w:t>
      </w:r>
      <w:r>
        <w:rPr>
          <w:rFonts w:eastAsia="Calibri"/>
        </w:rPr>
        <w:t>ISSN</w:t>
      </w:r>
      <w:r w:rsidRPr="0081167C">
        <w:rPr>
          <w:rFonts w:eastAsia="Calibri"/>
        </w:rPr>
        <w:t>2405-8963,</w:t>
      </w:r>
      <w:r>
        <w:rPr>
          <w:rFonts w:eastAsia="Calibri"/>
        </w:rPr>
        <w:t xml:space="preserve"> </w:t>
      </w:r>
      <w:hyperlink r:id="rId27" w:history="1">
        <w:r w:rsidR="00617BF8" w:rsidRPr="006B6DA1">
          <w:rPr>
            <w:rStyle w:val="Hipercze"/>
            <w:rFonts w:eastAsia="Calibri"/>
          </w:rPr>
          <w:t>https://doi.org/10.1016/j.ifacol.2021.11.287</w:t>
        </w:r>
      </w:hyperlink>
      <w:r w:rsidRPr="0081167C">
        <w:rPr>
          <w:rFonts w:eastAsia="Calibri"/>
        </w:rPr>
        <w:t>.</w:t>
      </w:r>
      <w:bookmarkEnd w:id="35"/>
    </w:p>
    <w:p w:rsidR="00617BF8" w:rsidRDefault="00617BF8" w:rsidP="00617BF8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6" w:name="_Ref167282413"/>
      <w:r w:rsidRPr="00617BF8">
        <w:rPr>
          <w:rFonts w:eastAsia="Calibri"/>
        </w:rPr>
        <w:t xml:space="preserve">Watkins, C.J.C.H. (1989). Learning from </w:t>
      </w:r>
      <w:proofErr w:type="spellStart"/>
      <w:r w:rsidRPr="00617BF8">
        <w:rPr>
          <w:rFonts w:eastAsia="Calibri"/>
        </w:rPr>
        <w:t>Delayed</w:t>
      </w:r>
      <w:proofErr w:type="spellEnd"/>
      <w:r w:rsidRPr="00617BF8">
        <w:rPr>
          <w:rFonts w:eastAsia="Calibri"/>
        </w:rPr>
        <w:t xml:space="preserve"> </w:t>
      </w:r>
      <w:proofErr w:type="spellStart"/>
      <w:r w:rsidRPr="00617BF8">
        <w:rPr>
          <w:rFonts w:eastAsia="Calibri"/>
        </w:rPr>
        <w:t>Rewards</w:t>
      </w:r>
      <w:proofErr w:type="spellEnd"/>
      <w:r w:rsidRPr="00617BF8">
        <w:rPr>
          <w:rFonts w:eastAsia="Calibri"/>
        </w:rPr>
        <w:t xml:space="preserve"> (</w:t>
      </w:r>
      <w:proofErr w:type="spellStart"/>
      <w:r w:rsidRPr="00617BF8">
        <w:rPr>
          <w:rFonts w:eastAsia="Calibri"/>
        </w:rPr>
        <w:t>Ph.D</w:t>
      </w:r>
      <w:proofErr w:type="spellEnd"/>
      <w:r w:rsidRPr="00617BF8">
        <w:rPr>
          <w:rFonts w:eastAsia="Calibri"/>
        </w:rPr>
        <w:t xml:space="preserve">. </w:t>
      </w:r>
      <w:proofErr w:type="spellStart"/>
      <w:r w:rsidRPr="00617BF8">
        <w:rPr>
          <w:rFonts w:eastAsia="Calibri"/>
        </w:rPr>
        <w:t>thesis</w:t>
      </w:r>
      <w:proofErr w:type="spellEnd"/>
      <w:r w:rsidRPr="00617BF8">
        <w:rPr>
          <w:rFonts w:eastAsia="Calibri"/>
        </w:rPr>
        <w:t xml:space="preserve">). </w:t>
      </w:r>
      <w:proofErr w:type="spellStart"/>
      <w:r w:rsidRPr="00617BF8">
        <w:rPr>
          <w:rFonts w:eastAsia="Calibri"/>
        </w:rPr>
        <w:t>University</w:t>
      </w:r>
      <w:proofErr w:type="spellEnd"/>
      <w:r w:rsidRPr="00617BF8">
        <w:rPr>
          <w:rFonts w:eastAsia="Calibri"/>
        </w:rPr>
        <w:t xml:space="preserve"> of Cambridge. </w:t>
      </w:r>
      <w:proofErr w:type="spellStart"/>
      <w:r w:rsidRPr="00617BF8">
        <w:rPr>
          <w:rFonts w:eastAsia="Calibri"/>
        </w:rPr>
        <w:t>EThOS</w:t>
      </w:r>
      <w:proofErr w:type="spellEnd"/>
      <w:r w:rsidRPr="00617BF8">
        <w:rPr>
          <w:rFonts w:eastAsia="Calibri"/>
        </w:rPr>
        <w:t xml:space="preserve"> uk.bl.ethos.330022</w:t>
      </w:r>
      <w:r>
        <w:rPr>
          <w:rFonts w:eastAsia="Calibri"/>
        </w:rPr>
        <w:t xml:space="preserve">, </w:t>
      </w:r>
      <w:hyperlink r:id="rId28" w:history="1">
        <w:r w:rsidR="00A366D4" w:rsidRPr="006B6DA1">
          <w:rPr>
            <w:rStyle w:val="Hipercze"/>
            <w:rFonts w:eastAsia="Calibri"/>
          </w:rPr>
          <w:t>https://www.cs.rhul.ac.uk/~chrisw/new_thesis.pdf</w:t>
        </w:r>
      </w:hyperlink>
      <w:bookmarkEnd w:id="36"/>
    </w:p>
    <w:p w:rsidR="0042039A" w:rsidRDefault="00A366D4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7" w:name="_Ref167288095"/>
      <w:r w:rsidRPr="00A366D4">
        <w:rPr>
          <w:szCs w:val="24"/>
          <w:lang w:eastAsia="pl-PL"/>
        </w:rPr>
        <w:lastRenderedPageBreak/>
        <w:t xml:space="preserve">Watkins C. and </w:t>
      </w:r>
      <w:proofErr w:type="spellStart"/>
      <w:r w:rsidRPr="00A366D4">
        <w:rPr>
          <w:szCs w:val="24"/>
          <w:lang w:eastAsia="pl-PL"/>
        </w:rPr>
        <w:t>Dayan</w:t>
      </w:r>
      <w:proofErr w:type="spellEnd"/>
      <w:r w:rsidRPr="00A366D4">
        <w:rPr>
          <w:szCs w:val="24"/>
          <w:lang w:eastAsia="pl-PL"/>
        </w:rPr>
        <w:t xml:space="preserve"> P.. Q-learning. Machine Learning 1992;8(3-4):279-292. </w:t>
      </w:r>
      <w:hyperlink r:id="rId29" w:history="1">
        <w:r w:rsidR="003F2825" w:rsidRPr="006B6DA1">
          <w:rPr>
            <w:rStyle w:val="Hipercze"/>
            <w:szCs w:val="24"/>
            <w:lang w:eastAsia="pl-PL"/>
          </w:rPr>
          <w:t>https://doi.org/10.1007/bf00992698</w:t>
        </w:r>
      </w:hyperlink>
      <w:bookmarkEnd w:id="37"/>
    </w:p>
    <w:p w:rsidR="003F2825" w:rsidRPr="003F2825" w:rsidRDefault="003F2825" w:rsidP="0042039A">
      <w:pPr>
        <w:pStyle w:val="Akapitzlist"/>
        <w:numPr>
          <w:ilvl w:val="0"/>
          <w:numId w:val="2"/>
        </w:numPr>
        <w:spacing w:after="0" w:line="240" w:lineRule="auto"/>
        <w:jc w:val="left"/>
        <w:rPr>
          <w:szCs w:val="24"/>
          <w:lang w:eastAsia="pl-PL"/>
        </w:rPr>
      </w:pPr>
      <w:bookmarkStart w:id="38" w:name="_Ref167298456"/>
      <w:proofErr w:type="spellStart"/>
      <w:r>
        <w:t>Wiering</w:t>
      </w:r>
      <w:proofErr w:type="spellEnd"/>
      <w:r>
        <w:t xml:space="preserve"> M, van </w:t>
      </w:r>
      <w:proofErr w:type="spellStart"/>
      <w:r>
        <w:t>Otterlo</w:t>
      </w:r>
      <w:proofErr w:type="spellEnd"/>
      <w:r>
        <w:t xml:space="preserve"> M. </w:t>
      </w:r>
      <w:proofErr w:type="spellStart"/>
      <w:r>
        <w:t>Reinforcement</w:t>
      </w:r>
      <w:proofErr w:type="spellEnd"/>
      <w:r>
        <w:t xml:space="preserve"> learning: </w:t>
      </w:r>
      <w:proofErr w:type="spellStart"/>
      <w:r>
        <w:t>State</w:t>
      </w:r>
      <w:proofErr w:type="spellEnd"/>
      <w:r>
        <w:t>-of-the-art. Springer Science &amp; Business Media; 2012.</w:t>
      </w:r>
      <w:bookmarkEnd w:id="38"/>
    </w:p>
    <w:sectPr w:rsidR="003F2825" w:rsidRPr="003F2825" w:rsidSect="00AE61D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71A" w:rsidRDefault="008C271A" w:rsidP="004677F7">
      <w:pPr>
        <w:spacing w:after="0" w:line="240" w:lineRule="auto"/>
      </w:pPr>
      <w:r>
        <w:separator/>
      </w:r>
    </w:p>
  </w:endnote>
  <w:endnote w:type="continuationSeparator" w:id="0">
    <w:p w:rsidR="008C271A" w:rsidRDefault="008C271A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Default="00783C3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Default="00783C3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Default="00783C3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71A" w:rsidRDefault="008C271A" w:rsidP="004677F7">
      <w:pPr>
        <w:spacing w:after="0" w:line="240" w:lineRule="auto"/>
      </w:pPr>
      <w:r>
        <w:separator/>
      </w:r>
    </w:p>
  </w:footnote>
  <w:footnote w:type="continuationSeparator" w:id="0">
    <w:p w:rsidR="008C271A" w:rsidRDefault="008C271A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Default="00783C3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Pr="004639FD" w:rsidRDefault="00783C34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C34" w:rsidRDefault="00783C3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809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8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A1221"/>
    <w:multiLevelType w:val="hybridMultilevel"/>
    <w:tmpl w:val="4EC66F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72DA0"/>
    <w:rsid w:val="00082C1B"/>
    <w:rsid w:val="000B5233"/>
    <w:rsid w:val="000C330A"/>
    <w:rsid w:val="000E158C"/>
    <w:rsid w:val="00165060"/>
    <w:rsid w:val="00193C6C"/>
    <w:rsid w:val="001A412B"/>
    <w:rsid w:val="001C625D"/>
    <w:rsid w:val="001D63F1"/>
    <w:rsid w:val="001E5CBE"/>
    <w:rsid w:val="001F71F6"/>
    <w:rsid w:val="00221A67"/>
    <w:rsid w:val="00223163"/>
    <w:rsid w:val="002301BF"/>
    <w:rsid w:val="00240243"/>
    <w:rsid w:val="00256B7A"/>
    <w:rsid w:val="0027790A"/>
    <w:rsid w:val="002F7A7B"/>
    <w:rsid w:val="00302AEF"/>
    <w:rsid w:val="0031138A"/>
    <w:rsid w:val="00311815"/>
    <w:rsid w:val="0032293B"/>
    <w:rsid w:val="00350448"/>
    <w:rsid w:val="00380358"/>
    <w:rsid w:val="003A210E"/>
    <w:rsid w:val="003A5CA6"/>
    <w:rsid w:val="003C2B99"/>
    <w:rsid w:val="003C30A2"/>
    <w:rsid w:val="003E31A1"/>
    <w:rsid w:val="003F2825"/>
    <w:rsid w:val="0042039A"/>
    <w:rsid w:val="004639F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7204F"/>
    <w:rsid w:val="005A0538"/>
    <w:rsid w:val="005B1021"/>
    <w:rsid w:val="005B2B06"/>
    <w:rsid w:val="005B3929"/>
    <w:rsid w:val="005B798B"/>
    <w:rsid w:val="005C26A6"/>
    <w:rsid w:val="00603FD4"/>
    <w:rsid w:val="00615603"/>
    <w:rsid w:val="00617BF8"/>
    <w:rsid w:val="00647956"/>
    <w:rsid w:val="00664C47"/>
    <w:rsid w:val="00692C51"/>
    <w:rsid w:val="00697EE9"/>
    <w:rsid w:val="006A7187"/>
    <w:rsid w:val="006C3EBD"/>
    <w:rsid w:val="006D3F83"/>
    <w:rsid w:val="006E6A1B"/>
    <w:rsid w:val="00711107"/>
    <w:rsid w:val="007315CD"/>
    <w:rsid w:val="0073797E"/>
    <w:rsid w:val="00753A41"/>
    <w:rsid w:val="007660F1"/>
    <w:rsid w:val="00783C34"/>
    <w:rsid w:val="007D4A3F"/>
    <w:rsid w:val="0081167C"/>
    <w:rsid w:val="00820C60"/>
    <w:rsid w:val="008435ED"/>
    <w:rsid w:val="008454BE"/>
    <w:rsid w:val="008845DC"/>
    <w:rsid w:val="008932AF"/>
    <w:rsid w:val="00897B18"/>
    <w:rsid w:val="008B6688"/>
    <w:rsid w:val="008C271A"/>
    <w:rsid w:val="008E7A0D"/>
    <w:rsid w:val="008F27E9"/>
    <w:rsid w:val="0091709A"/>
    <w:rsid w:val="009257DC"/>
    <w:rsid w:val="00925D9A"/>
    <w:rsid w:val="00936F20"/>
    <w:rsid w:val="00963D49"/>
    <w:rsid w:val="00965E7D"/>
    <w:rsid w:val="00980938"/>
    <w:rsid w:val="00991778"/>
    <w:rsid w:val="009B5F39"/>
    <w:rsid w:val="009B7364"/>
    <w:rsid w:val="009E238B"/>
    <w:rsid w:val="009E3297"/>
    <w:rsid w:val="00A03B4B"/>
    <w:rsid w:val="00A07150"/>
    <w:rsid w:val="00A13CCC"/>
    <w:rsid w:val="00A22E62"/>
    <w:rsid w:val="00A35B3E"/>
    <w:rsid w:val="00A366D4"/>
    <w:rsid w:val="00A435D8"/>
    <w:rsid w:val="00A841F8"/>
    <w:rsid w:val="00AA1655"/>
    <w:rsid w:val="00AE61D3"/>
    <w:rsid w:val="00AF2BFB"/>
    <w:rsid w:val="00B1351C"/>
    <w:rsid w:val="00B260C5"/>
    <w:rsid w:val="00B339E0"/>
    <w:rsid w:val="00B51592"/>
    <w:rsid w:val="00B7303D"/>
    <w:rsid w:val="00B75518"/>
    <w:rsid w:val="00B83537"/>
    <w:rsid w:val="00BA2DD8"/>
    <w:rsid w:val="00BA421B"/>
    <w:rsid w:val="00BB0F13"/>
    <w:rsid w:val="00BC2335"/>
    <w:rsid w:val="00BD0A63"/>
    <w:rsid w:val="00BD6504"/>
    <w:rsid w:val="00BE22D9"/>
    <w:rsid w:val="00C5445E"/>
    <w:rsid w:val="00C579AA"/>
    <w:rsid w:val="00C61981"/>
    <w:rsid w:val="00C660CC"/>
    <w:rsid w:val="00C80924"/>
    <w:rsid w:val="00C82C6B"/>
    <w:rsid w:val="00C863D4"/>
    <w:rsid w:val="00CA1064"/>
    <w:rsid w:val="00CD2F18"/>
    <w:rsid w:val="00D2233D"/>
    <w:rsid w:val="00D30721"/>
    <w:rsid w:val="00D31B2E"/>
    <w:rsid w:val="00D52561"/>
    <w:rsid w:val="00D65907"/>
    <w:rsid w:val="00D84152"/>
    <w:rsid w:val="00D86EE9"/>
    <w:rsid w:val="00DA1FAE"/>
    <w:rsid w:val="00DE60E5"/>
    <w:rsid w:val="00DE6CDB"/>
    <w:rsid w:val="00E173D7"/>
    <w:rsid w:val="00E24BF5"/>
    <w:rsid w:val="00E25EB6"/>
    <w:rsid w:val="00E34BA0"/>
    <w:rsid w:val="00E43F7A"/>
    <w:rsid w:val="00E47243"/>
    <w:rsid w:val="00E51F01"/>
    <w:rsid w:val="00EB237B"/>
    <w:rsid w:val="00EB4C05"/>
    <w:rsid w:val="00EC07C3"/>
    <w:rsid w:val="00EC45CE"/>
    <w:rsid w:val="00EF7900"/>
    <w:rsid w:val="00F11DD9"/>
    <w:rsid w:val="00F13539"/>
    <w:rsid w:val="00F26B9A"/>
    <w:rsid w:val="00F36E72"/>
    <w:rsid w:val="00F50241"/>
    <w:rsid w:val="00F632DA"/>
    <w:rsid w:val="00F74D9E"/>
    <w:rsid w:val="00FB0FCA"/>
    <w:rsid w:val="00FB6CF7"/>
    <w:rsid w:val="00FC3C9D"/>
    <w:rsid w:val="00FC6C4B"/>
    <w:rsid w:val="00FC73DE"/>
    <w:rsid w:val="00FD0786"/>
    <w:rsid w:val="00FD31C8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B3B1A-6EF6-49A5-93D8-A44340F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0358"/>
    <w:pPr>
      <w:spacing w:after="200" w:line="30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  <w:style w:type="character" w:customStyle="1" w:styleId="mi">
    <w:name w:val="mi"/>
    <w:basedOn w:val="Domylnaczcionkaakapitu"/>
    <w:rsid w:val="00D30721"/>
  </w:style>
  <w:style w:type="character" w:customStyle="1" w:styleId="mo">
    <w:name w:val="mo"/>
    <w:basedOn w:val="Domylnaczcionkaakapitu"/>
    <w:rsid w:val="00D30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7311134" TargetMode="External"/><Relationship Id="rId18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6" Type="http://schemas.openxmlformats.org/officeDocument/2006/relationships/hyperlink" Target="https://search-1ebscohost-1com-1000003w3012f.wbg2.bg.agh.edu.pl/login.aspx?direct=true&amp;db=edselc&amp;AN=edselc.2-52.0-85191607938&amp;lang=pl&amp;site=eds-liv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51/e3sconf/202124609005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5" Type="http://schemas.openxmlformats.org/officeDocument/2006/relationships/hyperlink" Target="https://doi.org/10.3390/en14227491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591/ijpeds.v8.i3.pp1168-1175" TargetMode="External"/><Relationship Id="rId20" Type="http://schemas.openxmlformats.org/officeDocument/2006/relationships/hyperlink" Target="https://doi.org/10.1145/2638728.2641555" TargetMode="External"/><Relationship Id="rId29" Type="http://schemas.openxmlformats.org/officeDocument/2006/relationships/hyperlink" Target="https://doi.org/10.1007/bf009926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24" Type="http://schemas.openxmlformats.org/officeDocument/2006/relationships/hyperlink" Target="https://doi.org/10.1109/tsg.2020.3042498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3" Type="http://schemas.openxmlformats.org/officeDocument/2006/relationships/hyperlink" Target="https://doi.org/10.1016/j.buildenv.2023.111069" TargetMode="External"/><Relationship Id="rId28" Type="http://schemas.openxmlformats.org/officeDocument/2006/relationships/hyperlink" Target="https://www.cs.rhul.ac.uk/~chrisw/new_thesis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hyperlink" Target="https://doi.org/10.1109/rivf48685.2020.9140753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2" Type="http://schemas.openxmlformats.org/officeDocument/2006/relationships/hyperlink" Target="https://doi.org/10.1016/j.enbuild.2021.111692" TargetMode="External"/><Relationship Id="rId27" Type="http://schemas.openxmlformats.org/officeDocument/2006/relationships/hyperlink" Target="https://doi.org/10.1016/j.ifacol.2021.11.287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B"/>
    <w:rsid w:val="00046D49"/>
    <w:rsid w:val="0052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46D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CA04-E53E-4A64-9994-27534959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16</Pages>
  <Words>4156</Words>
  <Characters>24940</Characters>
  <Application>Microsoft Office Word</Application>
  <DocSecurity>0</DocSecurity>
  <Lines>207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21</cp:revision>
  <dcterms:created xsi:type="dcterms:W3CDTF">2024-05-11T09:55:00Z</dcterms:created>
  <dcterms:modified xsi:type="dcterms:W3CDTF">2024-05-22T17:27:00Z</dcterms:modified>
</cp:coreProperties>
</file>