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i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i w:val="1"/>
                    <w:color w:val="0d0d0d"/>
                    <w:rtl w:val="0"/>
                  </w:rPr>
                  <w:t xml:space="preserve">Nro. Requerimiento:  RI-P-529/25: ANÁLISIS FUNCIONAL: CARNICERÍAS - Etapa 1</w:t>
                </w:r>
              </w:p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Descripción: 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Desarrollo de la primera etapa del sistema de ventas para carnicerías, centrada en la funcionalidad de facturación, administración de artículos, listas de precios, cuentas y caja. El sistema estará diseñado para operar en un entorno multi-sucursal y podrá funcionar tanto en el punto de venta como desde interfaces administrativas.</w:t>
                </w:r>
              </w:p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u w:val="single"/>
                    <w:rtl w:val="0"/>
                  </w:rPr>
                  <w:t xml:space="preserve">Reglas: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sdt>
                  <w:sdtPr>
                    <w:tag w:val="goog_rdk_0"/>
                  </w:sdtPr>
                  <w:sdtContent>
                    <w:commentRangeStart w:id="0"/>
                  </w:sdtContent>
                </w:sdt>
                <w:r w:rsidDel="00000000" w:rsidR="00000000" w:rsidRPr="00000000">
                  <w:rPr>
                    <w:color w:val="0d0d0d"/>
                    <w:rtl w:val="0"/>
                  </w:rPr>
                  <w:t xml:space="preserve">Manejo de artículos: </w:t>
                </w:r>
                <w:commentRangeEnd w:id="0"/>
                <w:r w:rsidDel="00000000" w:rsidR="00000000" w:rsidRPr="00000000">
                  <w:commentReference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Alcance: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En esta primera etapa se incluye:</w:t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Diseño del sistema (UX).</w:t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Facturación: </w:t>
                </w:r>
              </w:p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Lógica de cálculo completa y entrada manual de precio y cantidad. </w:t>
                </w:r>
              </w:p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Emisión de factura electrónica (sin controlador fiscal).</w:t>
                </w:r>
              </w:p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Impresión en comandera y envío por mail. 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Manejo de productos/ artículos. 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Lista de Precios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Carga de lista de precios.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Configuración de lista de precios..  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Artículos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Carga de artículos.</w:t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Configuración de artículos.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Cuentas</w:t>
                </w:r>
              </w:p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Alta simplificada.</w:t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sdt>
                  <w:sdtPr>
                    <w:tag w:val="goog_rdk_1"/>
                  </w:sdtPr>
                  <w:sdtContent>
                    <w:commentRangeStart w:id="1"/>
                  </w:sdtContent>
                </w:sdt>
                <w:r w:rsidDel="00000000" w:rsidR="00000000" w:rsidRPr="00000000">
                  <w:rPr>
                    <w:color w:val="0d0d0d"/>
                    <w:rtl w:val="0"/>
                  </w:rPr>
                  <w:t xml:space="preserve">Manejo de ‘clientes varios’. </w:t>
                </w:r>
                <w:commentRangeEnd w:id="1"/>
                <w:r w:rsidDel="00000000" w:rsidR="00000000" w:rsidRPr="00000000">
                  <w:commentReference w:id="1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Consultas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Consulta detallada de Facturas. 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Caja 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Reportes imprimibles</w:t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numPr>
                    <w:ilvl w:val="1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>
                    <w:color w:val="0d0d0d"/>
                    <w:u w:val="none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Registro de retiros de dinero o valores.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Criterios de Aceptación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sistema debe permitir emitir facturas electrónicas válidas según normativa vigente (ARCA).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Las facturas deben poder visualizarse, imprimirse y enviarse por correo desde la interfaz.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sistema debe ser capaz de identificar artículos pesados desde balanzas compatibles o por código manual.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Las funcionalidades deben estar disponibles para diferentes sucursales, seleccionables dentro de la aplicación.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debe poder realizar un cierre diario de caja con generación de reportes.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Debe permitirse el ingreso de retiros de dinero identificando al operador y el motivo.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Las consultas de facturas deben ofrecer filtros por fechas, cliente, artículo, etc., y ser exportables.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Requerimientos Técnicos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Backend en .NET + PostgreSQL.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Frontend: Web (administración y consultas) + Electron (punto de venta).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Impresión en comanderas desde puestos de venta.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Integración con servicio de AFIP para emisión de comprobantes electrónicos.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Compatible con balanzas que emiten código tipo SYSTEL o EAN.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Almacenamiento en base de datos única por cliente, con multi-sucursal.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ind w:left="720" w:firstLine="0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Dependencias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Certificados digitales para facturación electrónica provistos por el cliente.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Disponibilidad de balanzas compatibles.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Infraestructura de red para puestos con comandera o balanza.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Configuración inicial de artículos, cuentas y listas de precios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Secuencia de pasos: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ind w:left="72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7815"/>
            <w:tblGridChange w:id="0">
              <w:tblGrid>
                <w:gridCol w:w="675"/>
                <w:gridCol w:w="78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4.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6.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2041" w:footer="113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ctoria Sarmiento" w:id="0" w:date="2025-05-21T14:33:32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que la estructura de la BD soporte articulos con correlativo, sin correlativo y de tipo almacen</w:t>
      </w:r>
    </w:p>
  </w:comment>
  <w:comment w:author="Victoria Sarmiento" w:id="1" w:date="2025-05-21T14:14:22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cuentas que no estan cargadas en la base??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1" w15:done="0"/>
  <w15:commentEx w15:paraId="0000005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-1303649</wp:posOffset>
          </wp:positionV>
          <wp:extent cx="7596000" cy="1404271"/>
          <wp:effectExtent b="0" l="0" r="0" t="0"/>
          <wp:wrapSquare wrapText="bothSides" distB="0" distT="0" distL="114300" distR="114300"/>
          <wp:docPr id="8835522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901" l="0" r="0" t="0"/>
                  <a:stretch>
                    <a:fillRect/>
                  </a:stretch>
                </pic:blipFill>
                <pic:spPr>
                  <a:xfrm>
                    <a:off x="0" y="0"/>
                    <a:ext cx="7596000" cy="1404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7358A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052D91"/>
    <w:pPr>
      <w:keepNext w:val="1"/>
      <w:keepLines w:val="1"/>
      <w:spacing w:after="80" w:before="360"/>
      <w:outlineLvl w:val="0"/>
    </w:pPr>
    <w:rPr>
      <w:rFonts w:cstheme="majorBidi" w:eastAsiaTheme="majorEastAsia"/>
      <w:b w:val="1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E61FE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E61FE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E61FE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E61FE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E61FE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1F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 w:val="1"/>
    <w:rsid w:val="00E61FE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Ttulo1"/>
    <w:uiPriority w:val="9"/>
    <w:rsid w:val="00052D91"/>
    <w:rPr>
      <w:rFonts w:ascii="Montserrat" w:hAnsi="Montserrat" w:cstheme="majorBidi" w:eastAsiaTheme="majorEastAsia"/>
      <w:b w:val="1"/>
      <w:color w:val="000000" w:themeColor="text1"/>
      <w:sz w:val="28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1F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1F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1F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1F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1F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1F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1F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1FE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1F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rPr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61F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1F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61F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1F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61F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1F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1F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1FE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FE3"/>
  </w:style>
  <w:style w:type="paragraph" w:styleId="Piedepgina">
    <w:name w:val="footer"/>
    <w:basedOn w:val="Normal"/>
    <w:link w:val="Piedepgina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FE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lSOSdYDugI1lYimcTxXfLrFbQ==">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2024-07-01T16:13:00Z</dcterms:created>
  <dc:creator>Agustina Siufi</dc:creator>
</cp:coreProperties>
</file>