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p>
      <w:r>
        <w:br w:type="page"/>
      </w:r>
    </w:p>
    <w:p>
      <w:pPr>
        <w:pStyle w:val="Ttulo1"/>
      </w:pPr>
      <w:bookmarkStart w:id="20" w:name="observatotio-venezolano-de-violencia"/>
      <w:r>
        <w:t xml:space="preserve">Observatotio Venezolano de Violencia</w:t>
      </w:r>
      <w:bookmarkEnd w:id="20"/>
    </w:p>
    <w:p>
      <w:pPr>
        <w:pStyle w:val="FirstParagraph"/>
      </w:pPr>
      <w:r>
        <w:t xml:space="preserve">MULTICOL_START</w:t>
      </w:r>
    </w:p>
    <w:p>
      <w:pPr>
        <w:pStyle w:val="Ttulo1"/>
      </w:pPr>
      <w:bookmarkStart w:id="21" w:name="presentación"/>
      <w:r>
        <w:t xml:space="preserve">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Textoindependiente"/>
      </w:pPr>
      <w:r>
        <w:t xml:space="preserve">La información que aquí presentamos no son todos los delitos sobre violencia interpersonal ocurridos durante el primer semestre del año 2021, sino aquellos que fueron reportados en la prensa nacional y regional disponible y consultada, considerando la falta de muchos medios que por diversas razones han cesado, o por la censura que pesa sobre ellos y les impide cubrir o informar a la sociedad. Esta información extraída de la prensa fue procesada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ipervnculo"/>
          </w:rPr>
          <w:t xml:space="preserve">2015</w:t>
        </w:r>
      </w:hyperlink>
      <w:r>
        <w:t xml:space="preserve">)</w:t>
      </w:r>
      <w:r>
        <w:t xml:space="preserve">.</w:t>
      </w:r>
    </w:p>
    <w:p>
      <w:pPr>
        <w:pStyle w:val="Ttulo1"/>
      </w:pPr>
      <w:bookmarkStart w:id="22" w:name="lo-observado"/>
      <w:r>
        <w:t xml:space="preserve">Lo observado</w:t>
      </w:r>
      <w:bookmarkEnd w:id="22"/>
    </w:p>
    <w:p>
      <w:pPr>
        <w:pStyle w:val="FirstParagraph"/>
      </w:pPr>
      <w:r>
        <w:t xml:space="preserve">La observación y análisis de los datos obtenidos por el Observatorio de Prensa, de las noticias aparecidas en los medios consultados en el primer semestre del año 2021,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Textoindependiente"/>
      </w:pPr>
      <w:r>
        <w:t xml:space="preserve">Esta caracterización muestra tendencias que hacen pensar en algunos cambios que se han producido en los delitos violentos cometidos durante el primer semestre de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números de mujeres jóvenes, niñas y adolescentes víctimas tanto de feminicidios como de violaciones sexuales y otro tipo de agresiones sexuales, dentro del ámbito del hogar.</w:t>
      </w:r>
    </w:p>
    <w:p>
      <w:pPr>
        <w:pStyle w:val="Textoindependiente"/>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 en convivencia al sexo femenino con su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Textoindependiente"/>
      </w:pPr>
      <w:r>
        <w:t xml:space="preserve">Una hipótesis para explicar estas tendencias en el comportamiento de la violencia, que apunta hacia el incremento de casos de violencia que ocurren en ambientes cerrados y privados y disminución de hechos violentos en lugares abiertos y públicos, sin duda tiene que ver, a pesar de los conflictos sociales e inestabilidad política, con factores como la migración de venezolanos a otros países, la destrucción de la economía y del trabajo, las medidas de confinamiento producto de la cuarentena por la pandemia del covid-19, la reducción de delincuentes producto de acciones extrajudiciales por parte de organismos de seguridad, las oportunidades de delitos a pequeñas escalas y más discretas dada la dolarización de actividades económicas, tanto en pequeños comercios como en la economía informal</w:t>
      </w:r>
      <w:r>
        <w:t xml:space="preserve"> </w:t>
      </w:r>
      <w:r>
        <w:t xml:space="preserve">(LACSO-OVV</w:t>
      </w:r>
      <w:r>
        <w:t xml:space="preserve"> </w:t>
      </w:r>
      <w:hyperlink w:anchor="ref-LACSO-OVV2020">
        <w:r>
          <w:rPr>
            <w:rStyle w:val="Hipervnculo"/>
          </w:rPr>
          <w:t xml:space="preserve">2020</w:t>
        </w:r>
      </w:hyperlink>
      <w:r>
        <w:t xml:space="preserve">)</w:t>
      </w:r>
      <w:r>
        <w:t xml:space="preserve">. A todo ello se suma la violencia estructural producida por la precariedad de los servicios públicos y las acciones de omisión y ausencia de políticas públicas que profundizan la crisis humanitaria y viola los derechos humanos de los ciudadanos.</w:t>
      </w:r>
    </w:p>
    <w:p>
      <w:pPr>
        <w:pStyle w:val="Ttulo1"/>
      </w:pPr>
      <w:bookmarkStart w:id="23" w:name="violencia-letal"/>
      <w:r>
        <w:t xml:space="preserve">Violencia letal</w:t>
      </w:r>
      <w:bookmarkEnd w:id="23"/>
    </w:p>
    <w:p>
      <w:pPr>
        <w:pStyle w:val="Ttulo2"/>
      </w:pPr>
      <w:bookmarkStart w:id="24" w:name="homicidio-intencional"/>
      <w:r>
        <w:t xml:space="preserve">Homicidio intencional</w:t>
      </w:r>
      <w:bookmarkEnd w:id="24"/>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ipervnculo"/>
          </w:rPr>
          <w:t xml:space="preserve">2015</w:t>
        </w:r>
      </w:hyperlink>
      <w:r>
        <w:t xml:space="preserve">, 19)</w:t>
      </w:r>
      <w:r>
        <w:t xml:space="preserve">, no cabe duda de que este delito sigue siendo de los más graves que se cometen y son reportados por la prensa consultada. Para este primer semestre del año 2021 la prensa nacional y regional consultada, registró un total de 652 muertes por homicidio intencional, de los cuales sólo se tuvo información sobre edad y sexo en 468 casos. Así puede observarse en el Gráfico</w:t>
      </w:r>
      <w:r>
        <w:t xml:space="preserve"> </w:t>
      </w:r>
      <w:hyperlink w:anchor="victimasdelhi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victimasdelhisexoedadpir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este delito discriminado por edad y sexo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Textoindependiente"/>
      </w:pPr>
      <w:r>
        <w:t xml:space="preserve">(ref:victimasdeledadsexo) Número víctimas por homicidio intencional discriminadas según edad y sexo.</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38ed199-7bcf-45ce-975e-a5940c519463" w:name="victimasdelhi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38ed199-7bcf-45ce-975e-a5940c519463"/>
      <w:r>
        <w:rPr/>
        <w:t xml:space="preserve">: </w:t>
      </w:r>
      <w:r>
        <w:t xml:space="preserve">(ref:victimasdeledadsexo)</w:t>
      </w:r>
    </w:p>
    <w:p>
      <w:pPr>
        <w:pStyle w:val="Textoindependiente"/>
      </w:pPr>
      <w:r>
        <w:t xml:space="preserve">Esto merece atención por cuanto al ver en el Gráfico</w:t>
      </w:r>
      <w:r>
        <w:t xml:space="preserve"> </w:t>
      </w:r>
      <w:hyperlink w:anchor="victimasdelhimoti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victimasdelhimotiv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las motivaciones para estos delitos discriminados por sexo, nos muestra que en los 446 donde se pudo obtener esta información, las causas reportadas para el caso de las mujeres, son las que tienen que ver con el género, y otras motivaciones, entre las cuales se menciona los conflictos intrafamiliares; mientras que para los hombres predominan como motivaciones los ajustes de cuentas, el provecho ilícito y la venganza. Se pone en evidencia entonces el hecho de que dado que las mujeres están más tiempo en casa por el rol que socialmente le ha sido asignado, se encuentra en mayor riesgo de ser victimizada dentro del hogar, al contrario de lo que sucede con el sexo masculino, quien ejerce sus funciones fundamentalmente fuera del hogar.</w:t>
      </w:r>
    </w:p>
    <w:p>
      <w:pPr>
        <w:pStyle w:val="Textoindependiente"/>
      </w:pPr>
      <w:r>
        <w:t xml:space="preserve">(ref:victimasdelmotiv) Número víctimas por homicidio intencional discriminadas según el sexo y la motivación del delito.</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69a67893-d99c-4aab-bbda-030dd41e90df" w:name="victimasdelhimoti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9a67893-d99c-4aab-bbda-030dd41e90df"/>
      <w:r>
        <w:rPr/>
        <w:t xml:space="preserve">: </w:t>
      </w:r>
      <w:r>
        <w:t xml:space="preserve">(ref:victimasdelmotiv)</w:t>
      </w:r>
    </w:p>
    <w:p>
      <w:pPr>
        <w:pStyle w:val="Ttulo2"/>
      </w:pPr>
      <w:bookmarkStart w:id="25" w:name="muertes-por-intervención-policial-mip"/>
      <w:r>
        <w:t xml:space="preserve">Muertes por intervención policial (MIP)</w:t>
      </w:r>
      <w:bookmarkEnd w:id="25"/>
    </w:p>
    <w:p>
      <w:pPr>
        <w:pStyle w:val="FirstParagraph"/>
      </w:pPr>
      <w:r>
        <w:t xml:space="preserve">Las muertes por intervención policial informadas durante el primer semestre del 2021, en los reportes de prensa consultados, alcanzan un total de 562 víctimas (gráfico</w:t>
      </w:r>
      <w:r>
        <w:t xml:space="preserve"> </w:t>
      </w:r>
      <w:hyperlink w:anchor="victimasmi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victimasmilsexoedadpir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Sin embargo, de ese total la prensa solo mencionó en 207 casos información de edad y sexo de las víctimas, entre las cuales 60 son de sexo masculino, en edades comprendidas entre 20 y 30 años, aunque llama la atención que también se reportaron víctimas de menos de un año y de 70 años, que, aunque en mucha menor proporción, intriga la muerte de varones de esas edades en manos de la policía. La muerte de mujeres por funcionarios policiales es mucho menor que los hombres, siendo las víctimas mayores de 20 años las más afectadas. Las cifras de víctimas del sexo femenino es inferior, y puede deberse a que son las menos expuestas, aunque el hecho de que sean mayores de 20 años, pueden dar cuenta de víctimas que se mueven fuera del hogar por razones de trabajo o estudio, o son victimizadas por policías por estar en involucradas en delitos o estar en lugares cercanos donde funcionarios policiales realizaron sus acciones.</w:t>
      </w:r>
    </w:p>
    <w:p>
      <w:pPr>
        <w:pStyle w:val="Textoindependiente"/>
      </w:pPr>
      <w:r>
        <w:t xml:space="preserve">(ref:victimasmiledadsexo) Número de muertes por intervención policial discriminados por edad y sexo.</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c0c7cec3-7406-4dd9-a9c9-7f1ca65ec761" w:name="victimasmi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0c7cec3-7406-4dd9-a9c9-7f1ca65ec761"/>
      <w:r>
        <w:rPr/>
        <w:t xml:space="preserve">: </w:t>
      </w:r>
      <w:r>
        <w:t xml:space="preserve">(ref:victimasmiledadsexo)</w:t>
      </w:r>
    </w:p>
    <w:p>
      <w:pPr>
        <w:pStyle w:val="Textoindependiente"/>
      </w:pPr>
      <w:r>
        <w:t xml:space="preserve">El desglose de los organismos policiales vinculados a los homicidios reportados en prensa (gráfico</w:t>
      </w:r>
      <w:r>
        <w:t xml:space="preserve"> </w:t>
      </w:r>
      <w:hyperlink w:anchor="sucesosmi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sucesosmil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indica que en los 465 casos conocidos, por lo menos en 160 sucesos, estuvo involucrada la policía estadal con 35%, seguidos por la PNB y el CICPC en casi 100 casos cada uno, para un 20% respectivamente, siendo los cuerpos menos involucrados la policía municipal y las FANB. Aquí puede apreciarse como ha disminuido el protagonismo de la PNB, especialmente del grupo FAES, quien ha recibido innumerables acusaciones y denuncias tanto dentro del territorio nacional, como a nivel internacional sobre todo por las denuncias en los informes de la Alta Comisionada de las Naciones Unidas para los Derechos Humanos, Michelle Bachelet, lo que ha obligado al gobierno a pensar la política de represión implementada a través de este grupo comando e incluso del CICPC, cuerpo de investigación que se ha visto muy involucrado en casos de homicidios, sobre todo de ejecuciones extrajudiciales.</w:t>
      </w:r>
    </w:p>
    <w:p>
      <w:pPr>
        <w:pStyle w:val="Textoindependiente"/>
      </w:pPr>
      <w:r>
        <w:t xml:space="preserve">(ref:sucesosmil) Número y proporción de sucesos asociados a muertes por intervención policial discriminados según el cuerpo de seguridad involucrado.</w:t>
      </w:r>
    </w:p>
    <w:p>
      <w:pPr>
        <w:jc w:val="center"/>
        <w:pStyle w:val="Figure"/>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cae980e-40fb-4c5d-80cb-b799e9da9f3e" w:name="sucesosmi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cae980e-40fb-4c5d-80cb-b799e9da9f3e"/>
      <w:r>
        <w:rPr/>
        <w:t xml:space="preserve">: </w:t>
      </w:r>
      <w:r>
        <w:t xml:space="preserve">(ref:sucesosmil)</w:t>
      </w:r>
    </w:p>
    <w:p>
      <w:pPr>
        <w:pStyle w:val="Ttulo1"/>
      </w:pPr>
      <w:bookmarkStart w:id="26" w:name="violencia-no-letal"/>
      <w:r>
        <w:t xml:space="preserve">Violencia no letal</w:t>
      </w:r>
      <w:bookmarkEnd w:id="26"/>
    </w:p>
    <w:p>
      <w:pPr>
        <w:pStyle w:val="Ttulo2"/>
      </w:pPr>
      <w:bookmarkStart w:id="27" w:name="X9307d968879ef0bc3ebe1d97359fa0ae6db4656"/>
      <w:r>
        <w:t xml:space="preserve">Otros delitos distintos a homicidio intencional (HI)</w:t>
      </w:r>
      <w:bookmarkEnd w:id="27"/>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llama la atención el número de víctimas reportadas en la prensa que alcanzaron un total de 1.318, de las cuales sólo en 643 casos se pudo conocer la edad y sexo de las víctimas. Puede apreciarse en el gráfico</w:t>
      </w:r>
      <w:r>
        <w:t xml:space="preserve"> </w:t>
      </w:r>
      <w:hyperlink w:anchor="victimasode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victimasodelsexoedadpir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son las mujeres las más afectadas, sorprendentemente en los grupos etarios entre 6 y 15 años, además del grupo de 46 a 50 años. Sin duda son grupos vulnerables de este tipo de delitos, sobre todo si se trata de agresiones y violaciones sexuales, hechos que al parecer han venido en crecimiento, sobre todo en niñas, niños y adolescentes, por las condiciones de encierro que ha impuesto la pandemia por el covid-19 y que pone a las víctimas en mayor contacto y permanencia con sus agresores. Entre el sexo masculino, es el grupo entre 11 y 40 años quienes son víctimas de estos delitos, si consideramos que, por un lado, incluye a los menores quienes también sufren agresiones y violencia sexual y los mayores que están expuestas a otros tipos de delitos producto de las actividades lícitas o ilícitas en las cuales se ven involucrados.</w:t>
      </w:r>
    </w:p>
    <w:p>
      <w:pPr>
        <w:pStyle w:val="Textoindependiente"/>
      </w:pPr>
      <w:r>
        <w:t xml:space="preserve">(ref:victimasodeledadsexo) Número víctimas de otros delitos distintos a homicidio intencional discriminados por edad y sexo.</w:t>
      </w:r>
    </w:p>
    <w:p>
      <w:pPr>
        <w:jc w:val="center"/>
        <w:pStyle w:val="Figure"/>
      </w:pPr>
      <w:r>
        <w:rPr/>
        <w:drawing xmlns:r="http://schemas.openxmlformats.org/officeDocument/2006/relationships">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7314db5-53a0-42fd-ab78-2238371edbd4" w:name="victimasode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7314db5-53a0-42fd-ab78-2238371edbd4"/>
      <w:r>
        <w:rPr/>
        <w:t xml:space="preserve">: </w:t>
      </w:r>
      <w:r>
        <w:t xml:space="preserve">(ref:victimasodeledadsexo)</w:t>
      </w:r>
    </w:p>
    <w:p>
      <w:pPr>
        <w:pStyle w:val="Textoindependiente"/>
      </w:pPr>
      <w:r>
        <w:t xml:space="preserve">Por información conocida por la prensa durante el primero semestre del 2021, de los 497 delitos diferentes al homicidio intencional donde se dio a conocer el tipo de delito cometido, son las agresiones graves y leves las más frecuentes (34%), seguidas del robo (27%) (Gráfico</w:t>
      </w:r>
      <w:r>
        <w:t xml:space="preserve"> </w:t>
      </w:r>
      <w:hyperlink w:anchor="sucesosodeltipode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sucesosodeltipodel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Acentuando lo descrito en el gráfico anterior en cuanto a la vulnerabilidad de grupos por sexo a ciertos delitos, además de que son delitos no letales que suelen ser cometidos por delincuencia común y que responden a la situación socioeconómica que se vive en el país. Son los delitos menos frecuentes las amenazas de agresión y las desapariciones forzadas.</w:t>
      </w:r>
    </w:p>
    <w:p>
      <w:pPr>
        <w:pStyle w:val="Textoindependiente"/>
      </w:pPr>
      <w:r>
        <w:t xml:space="preserve">(ref:sucesosodeltipodelito) Número y proporción de sucesos asociados a otros delitos distintos de homicidio intencional discriminados según el tipo de delito.</w:t>
      </w:r>
    </w:p>
    <w:p>
      <w:pPr>
        <w:jc w:val="center"/>
        <w:pStyle w:val="Figure"/>
      </w:pPr>
      <w:r>
        <w:rPr/>
        <w:drawing xmlns:r="http://schemas.openxmlformats.org/officeDocument/2006/relationships">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3255f59-da06-4d34-8de0-67046d64a8c1" w:name="sucesosodeltipode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3255f59-da06-4d34-8de0-67046d64a8c1"/>
      <w:r>
        <w:rPr/>
        <w:t xml:space="preserve">: </w:t>
      </w:r>
      <w:r>
        <w:t xml:space="preserve">(ref:sucesosodeltipodelito)</w:t>
      </w:r>
    </w:p>
    <w:p>
      <w:pPr>
        <w:pStyle w:val="Textoindependiente"/>
      </w:pPr>
      <w:r>
        <w:t xml:space="preserve">Esos delitos diferentes de los homicidios discriminados por sexo, permiten apreciar de acuerdo con lo reportado por la prensa durante este semestre, que tal como se mencionó en el Gráfico</w:t>
      </w:r>
      <w:r>
        <w:t xml:space="preserve"> </w:t>
      </w:r>
      <w:hyperlink w:anchor="sucesosodeltipode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sucesosodeltipodel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son las agresiones los delitos más cometidos y en similar proporción en personas del sexo masculino y femenino (Gráfico</w:t>
      </w:r>
      <w:r>
        <w:t xml:space="preserve"> </w:t>
      </w:r>
      <w:hyperlink w:anchor="victimasodelsexotip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victimasodelsexotipodelpir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Pero además, los hombres son más víctimas de otros delitos como robo y tentativa de homicidio, mientras que las mujeres lo son de violación sexual, robo y otras agresiones sexuales, como ya fue mencionado, las explicaciones a este comportamiento del delito está relacionado con los roles que socialmente cumplen tanto como hombres como mujeres fuera y dentro del hogar respectivamente.</w:t>
      </w:r>
    </w:p>
    <w:p>
      <w:pPr>
        <w:pStyle w:val="Textoindependiente"/>
      </w:pPr>
      <w:r>
        <w:t xml:space="preserve">(ref:victimasodelsexotipodel) Número víctimas de otros delitos distintos a homicidio intencional discriminados según sexo y tipo de delito.</w:t>
      </w:r>
    </w:p>
    <w:p>
      <w:pPr>
        <w:jc w:val="center"/>
        <w:pStyle w:val="Figure"/>
      </w:pPr>
      <w:r>
        <w:rPr/>
        <w:drawing xmlns:r="http://schemas.openxmlformats.org/officeDocument/2006/relationships">
          <wp:inline distT="0" distB="0" distL="0" distR="0">
            <wp:extent cx="45720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6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6748a989-a4a1-432a-a63e-2262bb202036" w:name="victimasodelsexotip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748a989-a4a1-432a-a63e-2262bb202036"/>
      <w:r>
        <w:rPr/>
        <w:t xml:space="preserve">: </w:t>
      </w:r>
      <w:r>
        <w:t xml:space="preserve">(ref:victimasodelsexotipodel)</w:t>
      </w:r>
    </w:p>
    <w:p>
      <w:pPr>
        <w:pStyle w:val="Textoindependiente"/>
      </w:pPr>
      <w:r>
        <w:t xml:space="preserve">De las víctimas de delitos distintos al homicidio, en el caso de los hombres, son fundamentalmente trabajadores, y en menor proporción estudiantes (Gráfico</w:t>
      </w:r>
      <w:r>
        <w:t xml:space="preserve"> </w:t>
      </w:r>
      <w:hyperlink w:anchor="victimasodelsexoac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victimasodelsexoactivpir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Son las mujeres estudiantes las más afectadas por este tipo de delitos y menor número de trabajadoras. Este comportamiento del delito de acuerdo con el tipo de víctima parece responder a los factores de riesgo y a la vulnerabilidad de estos grupos para ser escogidos por sus agresores. A los factores de riesgo en el caso de las mujeres estudiantes porque, por lo general, son grupos jóvenes que se mueven en espacios abiertos bien en su centro de estudio, como en espacios de traslado que las hace vulnerable a la delincuencia común para ser despojadas de sus pertenencias y ser agredidas sexualmente. En el caso de los hombres se trata de hombres trabajadores que son vulnerables de delitos tanto en los lugares del trayecto a sus sitios de trabajo desde su casa y viceversa, y a las posibilidades de ser privados de pertenencias y dinero producto de su trabajo.</w:t>
      </w:r>
    </w:p>
    <w:p>
      <w:pPr>
        <w:pStyle w:val="Textoindependiente"/>
      </w:pPr>
      <w:r>
        <w:t xml:space="preserve">(ref:victimasodelsexoactiv) Número víctimas de otros delitos distintos a homicidio intencional discriminados según sexo y actividad a la que se dedica la víctima.</w:t>
      </w:r>
    </w:p>
    <w:p>
      <w:pPr>
        <w:jc w:val="center"/>
        <w:pStyle w:val="Figure"/>
      </w:pPr>
      <w:r>
        <w:rPr/>
        <w:drawing xmlns:r="http://schemas.openxmlformats.org/officeDocument/2006/relationships">
          <wp:inline distT="0" distB="0" distL="0" distR="0">
            <wp:extent cx="45720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6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f2c1314-6943-4842-9092-06f2b9ca92c9" w:name="victimasodelsexoac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f2c1314-6943-4842-9092-06f2b9ca92c9"/>
      <w:r>
        <w:rPr/>
        <w:t xml:space="preserve">: </w:t>
      </w:r>
      <w:r>
        <w:t xml:space="preserve">(ref:victimasodelsexoactiv)</w:t>
      </w:r>
    </w:p>
    <w:p>
      <w:pPr>
        <w:pStyle w:val="Ttulo2"/>
      </w:pPr>
      <w:bookmarkStart w:id="28" w:name="víctimas-de-agresión"/>
      <w:r>
        <w:t xml:space="preserve">Víctimas de agresión</w:t>
      </w:r>
      <w:bookmarkEnd w:id="28"/>
    </w:p>
    <w:p>
      <w:pPr>
        <w:pStyle w:val="FirstParagraph"/>
      </w:pPr>
      <w:r>
        <w:t xml:space="preserve">En los casos conocidos por la prensa de víctimas por agresión durante el primer trimestre del 2021, es notable que las mujeres son victimizadas principalmente por motivaciones basadas en género y otras causas; mientras que los hombres son víctimas debido a riñas, provecho ilícito y otras causas no especificadas (gráfico</w:t>
      </w:r>
      <w:r>
        <w:t xml:space="preserve"> </w:t>
      </w:r>
      <w:hyperlink w:anchor="victimasagresiondelmo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victimasagresiondelmotivpir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En ambos sexos, motivaciones como ajuste de cuentas, prejuicios o venganzas son numéricamente muy inferiores. Estos datos son significativos, porque permiten pensar en que el aumento de las referencias en prensa de victimización de mujeres por razones de género, durante el primer semestre del año 2021, no sólo responde a los roles que tradicionalmente han desempeñado hombres y mujeres dentro de una relación de poder donde los primeros ejercen poder sobre las segundas, sino también al cambio que han venido experimentado esos roles, en tanto que el carácter sexista de pensamiento de algunos hombres, al verse amenazado por la incursión de mujeres en otros ámbitos o su desarrollo en otros niveles, pueden utilizar la violencia para recuperar ese poder que sienten perdido. De esta forma, la violencia se convierte en una herramienta de control del poder amenazado o como un medio de recuperarlo, ya que no comprenden o no aceptan las relaciones de género en términos de igualdad.</w:t>
      </w:r>
    </w:p>
    <w:p>
      <w:pPr>
        <w:pStyle w:val="Textoindependiente"/>
      </w:pPr>
      <w:r>
        <w:t xml:space="preserve">(ref:victimasagresiondelsexomotiv) Número víctimas de agresión discriminados según sexo y la motivación del delito.</w:t>
      </w:r>
    </w:p>
    <w:p>
      <w:pPr>
        <w:jc w:val="center"/>
        <w:pStyle w:val="Figure"/>
      </w:pPr>
      <w:r>
        <w:rPr/>
        <w:drawing xmlns:r="http://schemas.openxmlformats.org/officeDocument/2006/relationships">
          <wp:inline distT="0" distB="0" distL="0" distR="0">
            <wp:extent cx="45720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6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5bdeb06-edc1-4ab9-a5d2-db93bad1f1e2" w:name="victimasagresiondelmo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5bdeb06-edc1-4ab9-a5d2-db93bad1f1e2"/>
      <w:r>
        <w:rPr/>
        <w:t xml:space="preserve">: </w:t>
      </w:r>
      <w:r>
        <w:t xml:space="preserve">(ref:victimasagresiondelsexomotiv)</w:t>
      </w:r>
    </w:p>
    <w:p>
      <w:pPr>
        <w:pStyle w:val="Textoindependiente"/>
      </w:pPr>
      <w:r>
        <w:t xml:space="preserve">Como se ha venido afirmando, de acuerdo con los roles socialmente desempeñados por ambos sexos, el Gráfico</w:t>
      </w:r>
      <w:r>
        <w:t xml:space="preserve"> </w:t>
      </w:r>
      <w:hyperlink w:anchor="victimasagresiondeldonde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victimasagresiondeldondepir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 Esto obviamente responde a que el espacio del delito en el caso de las mujeres es el sitio donde fundamentalmente ejercen sus funciones de ama de casa, madre, esposa, e incluso dada la pandemia hay quienes han llevado su trabajo remunerado a casa, lo que las hace susceptible de ser víctimas de delitos en el hogar. Eso sin mencionar que si otros miembros de la familia llevan también su trabajo a casa, lo hace un espacio posible para conflictos intrafamiliares que terminan en violencia. El sexo masculino por su parte, es quien mayormente ejerce su trabajo fuera de casa, en espacios abiertos y está expuesto a las motivaciones de delincuentes o bandas de delincuenciales, incluso de organismos policiales.</w:t>
      </w:r>
    </w:p>
    <w:p>
      <w:pPr>
        <w:pStyle w:val="Textoindependiente"/>
      </w:pPr>
      <w:r>
        <w:t xml:space="preserve">(ref:victimasagresiondelsexodonde) Número víctimas de agresión discriminados según sexo y por el lugar donde ocurrió el delito.</w:t>
      </w:r>
    </w:p>
    <w:p>
      <w:pPr>
        <w:jc w:val="center"/>
        <w:pStyle w:val="Figure"/>
      </w:pPr>
      <w:r>
        <w:rPr/>
        <w:drawing xmlns:r="http://schemas.openxmlformats.org/officeDocument/2006/relationships">
          <wp:inline distT="0" distB="0" distL="0" distR="0">
            <wp:extent cx="45720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6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32c5e05f-cdb5-41a6-830e-f9431cea43ff" w:name="victimasagresiondeldonde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2c5e05f-cdb5-41a6-830e-f9431cea43ff"/>
      <w:r>
        <w:rPr/>
        <w:t xml:space="preserve">: </w:t>
      </w:r>
      <w:r>
        <w:t xml:space="preserve">(ref:victimasagresiondelsexodonde)</w:t>
      </w:r>
    </w:p>
    <w:p>
      <w:pPr>
        <w:pStyle w:val="Ttulo1"/>
      </w:pPr>
      <w:bookmarkStart w:id="29" w:name="niñas-niños-y-adolescentes"/>
      <w:r>
        <w:t xml:space="preserve">Niñas, niños y adolescentes</w:t>
      </w:r>
      <w:bookmarkEnd w:id="29"/>
    </w:p>
    <w:p>
      <w:pPr>
        <w:pStyle w:val="Ttulo2"/>
      </w:pPr>
      <w:bookmarkStart w:id="30" w:name="caracteríticas-y-tipo-de-delito"/>
      <w:r>
        <w:t xml:space="preserve">Caracteríticas y tipo de delito</w:t>
      </w:r>
      <w:bookmarkEnd w:id="30"/>
    </w:p>
    <w:p>
      <w:pPr>
        <w:pStyle w:val="FirstParagraph"/>
      </w:pPr>
      <w:r>
        <w:t xml:space="preserve">La caracterización de las víctimas cuando son niños, niñas y adolescentes, permiten afirmar que los sucesos reportados en la prensa durante el primer semestre del año 2021 (Gráfico</w:t>
      </w:r>
      <w:r>
        <w:t xml:space="preserve"> </w:t>
      </w:r>
      <w:hyperlink w:anchor="victimasdeledadsexo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victimasdeledadsexopir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revelan que de las 401 víctimas mencionadas, solo en 281 casos se identificó la edad y el sexo de las mismas. Del sexo femenino, el grupo entre 11 y 15 años fue el más afectado, seguido de niñas entre 6 y 10 años y las adolescentes de 16 a 20 años. Las menores de 1 año son menos victimizadas pero también se observaron casos, al igual que en el sexo masculino. En el sexo masculino, los grupos de edades son victimizados en proporciones más o menos pareja, siendo los más numerosos los jóvenes de 16 a 20 años, seguidos de los niños entre 6 y 10 años y luego los menores con edades entre 11 y 15 años y 1 y 5 años respectivamente, lo que puede dar cuenta de que en diferentes edades y por diferentes razones o motivaciones los varones están expuestos a ser victimizados. Las niñas mientras tanto son más victimizadas en la etapa de transición de niñas a adolescentes, los que las hace vulnerables porque comienzan a relacionarse con jóvenes y adultos de diferentes edades, dados los cambios fisiológicos, físicos y psicológicos que experimentan.</w:t>
      </w:r>
    </w:p>
    <w:p>
      <w:pPr>
        <w:pStyle w:val="Textoindependiente"/>
      </w:pPr>
      <w:r>
        <w:t xml:space="preserve">(ref:victimasdelNNAedadsexo) Número niñas, niños, adolescentes y jóvenes víctimas de delitos discriminados según sexo y edad.</w:t>
      </w:r>
    </w:p>
    <w:p>
      <w:pPr>
        <w:jc w:val="center"/>
        <w:pStyle w:val="Figure"/>
      </w:pPr>
      <w:r>
        <w:rPr/>
        <w:drawing xmlns:r="http://schemas.openxmlformats.org/officeDocument/2006/relationships">
          <wp:inline distT="0" distB="0" distL="0" distR="0">
            <wp:extent cx="45720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6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0505acc-a6ca-480d-95aa-23d88d0d44d4" w:name="victimasdeledadsexo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0505acc-a6ca-480d-95aa-23d88d0d44d4"/>
      <w:r>
        <w:rPr/>
        <w:t xml:space="preserve">: </w:t>
      </w:r>
      <w:r>
        <w:t xml:space="preserve">(ref:victimasdelNNAedadsexo)</w:t>
      </w:r>
    </w:p>
    <w:p>
      <w:pPr>
        <w:pStyle w:val="Textoindependiente"/>
      </w:pPr>
      <w:r>
        <w:t xml:space="preserve">Esa vulnerabilidad en el grupo femenino de 11 a 15 años, mencionado en el comentario anterior, confirma lo que se observa en el gráfico</w:t>
      </w:r>
      <w:r>
        <w:t xml:space="preserve"> </w:t>
      </w:r>
      <w:hyperlink w:anchor="victimasex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victimasexodelpir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sobre los tipos de delitos a los que son sometidas las niñas y adolescentes, lo que resulta importante y puede encender las alarmas. Como ya se comentó en el gráfico</w:t>
      </w:r>
      <w:r>
        <w:t xml:space="preserve"> </w:t>
      </w:r>
      <w:hyperlink w:anchor="victimasex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victimasexodelpir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son personas del sexo femenino las más victimizadas y el tipo de delito más producido contra ellas es la violación sexual, en casi 80 víctimas, así como otras agresiones sexuales; aunque en menor cantidad también son víctimas de homicidio intencional y agresión en más de 20 casos respectivamente. Los delitos contra los niños y adolescentes son más letales como el homicidio con más de 60 casos y casi 40 víctimas de agresión. Pero también se reportaron víctimas de violación sexual, tentativa de homicidio, secuestro y otras agresiones sexuales en niños y adolescentes. Ello confirma la debilidad en los distintos grupos de edades en el sexo masculino al suponer que son víctimas de homicidio intencional y agresión en los grupos de mayor edad por el tipo de actividades y relaciones que mantienen, mientras que los más pequeños son víctimas de violaciones y otras agresiones sexuales, lo que imprime un comportamiento sesgado de los delitos de acuerdo con el sexo.</w:t>
      </w:r>
    </w:p>
    <w:p>
      <w:pPr>
        <w:pStyle w:val="Textoindependiente"/>
      </w:pPr>
      <w:r>
        <w:t xml:space="preserve">(ref:victimassexodelNNA) Número niñas, niños, adolescentes y jóvenes víctimas de delitos discriminados según sexo y tipo de delito.</w:t>
      </w:r>
    </w:p>
    <w:p>
      <w:pPr>
        <w:jc w:val="center"/>
        <w:pStyle w:val="Figure"/>
      </w:pPr>
      <w:r>
        <w:rPr/>
        <w:drawing xmlns:r="http://schemas.openxmlformats.org/officeDocument/2006/relationships">
          <wp:inline distT="0" distB="0" distL="0" distR="0">
            <wp:extent cx="45720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6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4c696a4-89d7-412a-a27e-b3a5a53af63e" w:name="victimasex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4c696a4-89d7-412a-a27e-b3a5a53af63e"/>
      <w:r>
        <w:rPr/>
        <w:t xml:space="preserve">: </w:t>
      </w:r>
      <w:r>
        <w:t xml:space="preserve">(ref:victimassexodelNNA)</w:t>
      </w:r>
    </w:p>
    <w:p>
      <w:pPr>
        <w:pStyle w:val="Ttulo2"/>
      </w:pPr>
      <w:bookmarkStart w:id="31" w:name="los-victimarios"/>
      <w:r>
        <w:t xml:space="preserve">Los victimarios</w:t>
      </w:r>
      <w:bookmarkEnd w:id="31"/>
    </w:p>
    <w:p>
      <w:pPr>
        <w:pStyle w:val="FirstParagraph"/>
      </w:pPr>
      <w:r>
        <w:t xml:space="preserve">Los victimarios de esos niños, niñas y adolescentes en los 361 casos con información sobre el victimario y sexo de las víctimas, son fundamentalmente familiares conocidos por las víctimas, siendo también victimarios la delincuencia común aunque presentes en más casos cuando se trata del sexo masculino. Se mantiene entonces la tendencia sobre el factor de riesgo para los niños, niñas y adolescentes dentro del hogar, donde cotidianamente conviven con familiares que se convierten en sus victimarios y que por el carácter de cercanía no son sospechosos ante el resto de familiares y que a su vez los someten a amenazas para no ser descubiertos.</w:t>
      </w:r>
    </w:p>
    <w:p>
      <w:pPr>
        <w:pStyle w:val="Textoindependiente"/>
      </w:pPr>
      <w:r>
        <w:t xml:space="preserve">(ref:victimassexodelNNAvictimariorel) Número niñas, niños, adolescentes y jóvenes víctimas de delitos discriminados según sexo y tipo de victimario.</w:t>
      </w:r>
    </w:p>
    <w:p>
      <w:pPr>
        <w:jc w:val="center"/>
        <w:pStyle w:val="Figure"/>
      </w:pPr>
      <w:r>
        <w:rPr/>
        <w:drawing xmlns:r="http://schemas.openxmlformats.org/officeDocument/2006/relationships">
          <wp:inline distT="0" distB="0" distL="0" distR="0">
            <wp:extent cx="45720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6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43a68674-4e6a-49ff-9cfb-ddc8608ebdbf" w:name="victimasexodelvictimarior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3a68674-4e6a-49ff-9cfb-ddc8608ebdbf"/>
      <w:r>
        <w:rPr/>
        <w:t xml:space="preserve">: </w:t>
      </w:r>
      <w:r>
        <w:t xml:space="preserve">(ref:victimassexodelNNAvictimariorel)</w:t>
      </w:r>
    </w:p>
    <w:p>
      <w:pPr>
        <w:pStyle w:val="Textoindependiente"/>
      </w:pPr>
      <w:r>
        <w:t xml:space="preserve">Si profundizamos en las características relacionales de las víctimas con sus mayores victimarios que son personas conocidas, se observa que los datos reportados y visualizados en el gráfico</w:t>
      </w:r>
      <w:r>
        <w:t xml:space="preserve"> </w:t>
      </w:r>
      <w:hyperlink w:anchor="victimasexodelvictimariocon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victimasexodelvictimarioconpir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Textoindependiente"/>
      </w:pPr>
      <w:r>
        <w:t xml:space="preserve">(ref:victimassexodelNNAvictimariocon) Número niñas, niños, adolescentes y jóvenes víctimas de delitos discriminados según sexo y relacion con el victimario.</w:t>
      </w:r>
    </w:p>
    <w:p>
      <w:pPr>
        <w:jc w:val="center"/>
        <w:pStyle w:val="Figure"/>
      </w:pPr>
      <w:r>
        <w:rPr/>
        <w:drawing xmlns:r="http://schemas.openxmlformats.org/officeDocument/2006/relationships">
          <wp:inline distT="0" distB="0" distL="0" distR="0">
            <wp:extent cx="45720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4d43631-c992-4fa3-8085-051b237fdace" w:name="victimasexodelvictimariocon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4d43631-c992-4fa3-8085-051b237fdace"/>
      <w:r>
        <w:rPr/>
        <w:t xml:space="preserve">: </w:t>
      </w:r>
      <w:r>
        <w:t xml:space="preserve">(ref:victimassexodelNNAvictimariocon)</w:t>
      </w:r>
    </w:p>
    <w:p>
      <w:pPr>
        <w:pStyle w:val="Ttulo1"/>
      </w:pPr>
      <w:bookmarkStart w:id="32" w:name="para-reflexionar"/>
      <w:r>
        <w:t xml:space="preserve">Para reflexionar</w:t>
      </w:r>
      <w:bookmarkEnd w:id="32"/>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ipervnculo"/>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Textoindependiente"/>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Textoindependiente"/>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Textoindependiente"/>
      </w:pPr>
      <w:r>
        <w:t xml:space="preserve">Ante las diversas manifestaciones o rostros de la violencia, sobre todo ante la violencia estructural, y ante la creciente manifestación de delitos contra niños, niñas y adolescentes,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w:t>
      </w:r>
    </w:p>
    <w:p>
      <w:pPr>
        <w:pStyle w:val="Textoindependiente"/>
      </w:pPr>
      <w:r>
        <w:t xml:space="preserve">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Ttulo1"/>
      </w:pPr>
      <w:bookmarkStart w:id="33" w:name="referencias"/>
      <w:r>
        <w:t xml:space="preserve">Referencias</w:t>
      </w:r>
      <w:bookmarkEnd w:id="33"/>
    </w:p>
    <w:p>
      <w:r>
        <w:br w:type="page"/>
      </w:r>
    </w:p>
    <w:p>
      <w:pPr>
        <w:pStyle w:val="FirstParagraph"/>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p>
      <w:pPr>
        <w:pStyle w:val="Ttulo2"/>
      </w:pPr>
      <w:bookmarkStart w:id="34" w:name="table-of-content"/>
      <w:r>
        <w:t xml:space="preserve">Table of content</w:t>
      </w:r>
      <w:bookmarkEnd w:id="34"/>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tulo2"/>
      </w:pPr>
      <w:bookmarkStart w:id="35" w:name="list-of-figures"/>
      <w:r>
        <w:t xml:space="preserve">List of figures</w:t>
      </w:r>
      <w:bookmarkEnd w:id="35"/>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tulo2"/>
      </w:pPr>
      <w:bookmarkStart w:id="36" w:name="list-of-tables"/>
      <w:r>
        <w:t xml:space="preserve">List of tables</w:t>
      </w:r>
      <w:bookmarkEnd w:id="36"/>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Ttulo2"/>
      </w:pPr>
      <w:bookmarkStart w:id="37" w:name="sections"/>
      <w:r>
        <w:t xml:space="preserve">Sections</w:t>
      </w:r>
      <w:bookmarkEnd w:id="37"/>
    </w:p>
    <w:p>
      <w:pPr>
        <w:pStyle w:val="Ttulo3"/>
      </w:pPr>
      <w:bookmarkStart w:id="38" w:name="a-two-columns-section"/>
      <w:r>
        <w:t xml:space="preserve">A two columns section</w:t>
      </w:r>
      <w:bookmarkEnd w:id="38"/>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Textoindependien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extoindependien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tulo3"/>
      </w:pPr>
      <w:bookmarkStart w:id="39" w:name="end-of-two-columns-section"/>
      <w:r>
        <w:t xml:space="preserve">End of two columns section</w:t>
      </w:r>
      <w:bookmarkEnd w:id="39"/>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Textoindependien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tulo3"/>
      </w:pPr>
      <w:bookmarkStart w:id="40" w:name="landscape-section"/>
      <w:r>
        <w:t xml:space="preserve">Landscape section</w:t>
      </w:r>
      <w:bookmarkEnd w:id="40"/>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xmlns:r="http://schemas.openxmlformats.org/officeDocument/2006/relationships">
          <wp:inline distT="0" distB="0" distL="0" distR="0">
            <wp:extent cx="45720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70"/>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p>
      <w:pPr>
        <w:pStyle w:val="Ttulo3"/>
      </w:pPr>
      <w:bookmarkStart w:id="41" w:name="normal-section"/>
      <w:r>
        <w:t xml:space="preserve">Normal section</w:t>
      </w:r>
      <w:bookmarkEnd w:id="41"/>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extoindependien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tulo2"/>
      </w:pPr>
      <w:bookmarkStart w:id="42" w:name="tables"/>
      <w:r>
        <w:t xml:space="preserve">Tables</w:t>
      </w:r>
      <w:bookmarkEnd w:id="42"/>
    </w:p>
    <w:p>
      <w:pPr>
        <w:pStyle w:val="Ttulo3"/>
      </w:pPr>
      <w:bookmarkStart w:id="43" w:name="table-1"/>
      <w:r>
        <w:t xml:space="preserve">Table 1</w:t>
      </w:r>
      <w:bookmarkEnd w:id="43"/>
    </w:p>
    <w:p>
      <w:pPr>
        <w:pStyle w:val="SourceCode"/>
      </w:pPr>
      <w:r>
        <w:rPr>
          <w:rStyle w:val="KeywordTok"/>
        </w:rPr>
        <w:t xml:space="preserve">head</w:t>
      </w:r>
      <w:r>
        <w:rPr>
          <w:rStyle w:val="NormalTok"/>
        </w:rPr>
        <w:t xml:space="preserve">(mtcars)</w:t>
      </w:r>
    </w:p>
    <w:p>
      <w:pPr>
        <w:pStyle w:val="TableCaption"/>
      </w:pPr>
      <w:r>
        <w:rPr/>
        <w:t xml:space="preserve">Table </w:t>
      </w:r>
      <w:bookmarkStart w:id="ebb00275-4bd8-4dc1-9018-8374364e8cf8"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bb00275-4bd8-4dc1-9018-8374364e8cf8"/>
      <w:r>
        <w:rP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p>
      <w:pPr>
        <w:pStyle w:val="Ttulo3"/>
      </w:pPr>
      <w:bookmarkStart w:id="44" w:name="table-2"/>
      <w:r>
        <w:t xml:space="preserve">Table 2</w:t>
      </w:r>
      <w:bookmarkEnd w:id="44"/>
    </w:p>
    <w:p>
      <w:pPr>
        <w:pStyle w:val="SourceCode"/>
      </w:pPr>
      <w:r>
        <w:rPr>
          <w:rStyle w:val="Keyword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Ttulo3"/>
      </w:pPr>
      <w:bookmarkStart w:id="45" w:name="table-3"/>
      <w:r>
        <w:t xml:space="preserve">Table 3</w:t>
      </w:r>
      <w:bookmarkEnd w:id="45"/>
    </w:p>
    <w:p>
      <w:pPr>
        <w:pStyle w:val="SourceCode"/>
      </w:pPr>
      <w:r>
        <w:rPr>
          <w:rStyle w:val="KeywordTok"/>
        </w:rPr>
        <w:t xml:space="preserve">head</w:t>
      </w:r>
      <w:r>
        <w:rPr>
          <w:rStyle w:val="NormalTok"/>
        </w:rPr>
        <w:t xml:space="preserve">(cars)</w:t>
      </w:r>
    </w:p>
    <w:p>
      <w:pPr>
        <w:pStyle w:val="TableCaption"/>
      </w:pPr>
      <w:r>
        <w:rPr/>
        <w:t xml:space="preserve">Table </w:t>
      </w:r>
      <w:bookmarkStart w:id="0e84d636-2f4e-4b30-9e40-bda33396fd89"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84d636-2f4e-4b30-9e40-bda33396fd89"/>
      <w:r>
        <w:rP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p>
      <w:pPr>
        <w:pStyle w:val="Ttulo2"/>
      </w:pPr>
      <w:bookmarkStart w:id="46" w:name="figures"/>
      <w:r>
        <w:t xml:space="preserve">figures</w:t>
      </w:r>
      <w:bookmarkEnd w:id="46"/>
    </w:p>
    <w:p>
      <w:pPr>
        <w:pStyle w:val="Ttulo3"/>
      </w:pPr>
      <w:bookmarkStart w:id="47" w:name="a-boxplot"/>
      <w:r>
        <w:t xml:space="preserve">A boxplot</w:t>
      </w:r>
      <w:bookmarkEnd w:id="47"/>
    </w:p>
    <w:p>
      <w:pPr>
        <w:pStyle w:val="SourceCode"/>
      </w:pPr>
      <w:r>
        <w:rPr>
          <w:rStyle w:val="KeywordTok"/>
        </w:rPr>
        <w:t xml:space="preserve">boxplot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7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d39051f-a2a9-4667-9a6e-d55032e63888"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d39051f-a2a9-4667-9a6e-d55032e63888"/>
      <w:r>
        <w:rPr/>
        <w:t xml:space="preserve">: </w:t>
      </w:r>
      <w:r>
        <w:t xml:space="preserve">A boxplot</w:t>
      </w:r>
    </w:p>
    <w:p>
      <w:pPr>
        <w:pStyle w:val="Ttulo3"/>
      </w:pPr>
      <w:bookmarkStart w:id="48" w:name="a-barplot"/>
      <w:r>
        <w:t xml:space="preserve">A barplot</w:t>
      </w:r>
      <w:bookmarkEnd w:id="48"/>
    </w:p>
    <w:p>
      <w:pPr>
        <w:pStyle w:val="SourceCode"/>
      </w:pPr>
      <w:r>
        <w:rPr>
          <w:rStyle w:val="KeywordTok"/>
        </w:rPr>
        <w:t xml:space="preserve">barplot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7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c960b29e-cde9-4b90-933d-29621706d4d6"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960b29e-cde9-4b90-933d-29621706d4d6"/>
      <w:r>
        <w:rPr/>
        <w:t xml:space="preserve">: </w:t>
      </w:r>
      <w:r>
        <w:t xml:space="preserve">What a barplot</w:t>
      </w:r>
    </w:p>
    <w:p>
      <w:pPr>
        <w:pStyle w:val="Ttulo2"/>
      </w:pPr>
      <w:bookmarkStart w:id="49" w:name="lists"/>
      <w:r>
        <w:t xml:space="preserve">Lists</w:t>
      </w:r>
      <w:bookmarkEnd w:id="49"/>
    </w:p>
    <w:p>
      <w:pPr>
        <w:pStyle w:val="FirstParagraph"/>
      </w:pPr>
      <w:r>
        <w:t xml:space="preserve">Amet nunc eros curabitur tellus massa, eros maximus porttitor sociosqu, pellentesque.</w:t>
      </w:r>
    </w:p>
    <w:p>
      <w:pPr>
        <w:pStyle w:val="Compact"/>
        <w:numPr>
          <w:numId w:val="1001"/>
          <w:ilvl w:val="0"/>
        </w:numPr>
      </w:pPr>
      <w:r>
        <w:t xml:space="preserve">Erat mauris egestas finibus tincidunt sed in rhoncus a tellus etiam.</w:t>
      </w:r>
    </w:p>
    <w:p>
      <w:pPr>
        <w:pStyle w:val="Compact"/>
        <w:numPr>
          <w:numId w:val="1002"/>
          <w:ilvl w:val="1"/>
        </w:numPr>
      </w:pPr>
      <w:r>
        <w:t xml:space="preserve">A adipiscing per ultricies justo tellus lorem.</w:t>
      </w:r>
    </w:p>
    <w:p>
      <w:pPr>
        <w:pStyle w:val="Compact"/>
        <w:numPr>
          <w:numId w:val="1003"/>
          <w:ilvl w:val="2"/>
        </w:numPr>
      </w:pPr>
      <w:r>
        <w:t xml:space="preserve">Imperdiet ut dui primis, sed gravida, at sed nulla.</w:t>
      </w:r>
    </w:p>
    <w:p>
      <w:pPr>
        <w:pStyle w:val="Compact"/>
        <w:numPr>
          <w:numId w:val="1003"/>
          <w:ilvl w:val="2"/>
        </w:numPr>
      </w:pPr>
      <w:r>
        <w:t xml:space="preserve">Sem posuere lacus consequat inceptos dapibus duis malesuada finibus.</w:t>
      </w:r>
    </w:p>
    <w:p>
      <w:pPr>
        <w:pStyle w:val="Compact"/>
        <w:numPr>
          <w:numId w:val="1002"/>
          <w:ilvl w:val="1"/>
        </w:numPr>
      </w:pPr>
      <w:r>
        <w:t xml:space="preserve">Urna sed dui, ornare, eu turpis mus pellentesque amet amet bibendum.</w:t>
      </w:r>
    </w:p>
    <w:p>
      <w:pPr>
        <w:pStyle w:val="Compact"/>
        <w:numPr>
          <w:numId w:val="1001"/>
          <w:ilvl w:val="0"/>
        </w:numPr>
      </w:pPr>
      <w:r>
        <w:t xml:space="preserve">Himenaeos tincidunt, auctor dapibus scelerisque, montes nunc faucibus</w:t>
      </w:r>
      <w:r>
        <w:t xml:space="preserve"> </w:t>
      </w:r>
      <w:r>
        <w:t xml:space="preserve">sodales malesuada ridiculus sed cubilia ligula.</w:t>
      </w:r>
    </w:p>
    <w:p>
      <w:pPr>
        <w:pStyle w:val="Compact"/>
        <w:numPr>
          <w:numId w:val="1004"/>
          <w:ilvl w:val="0"/>
        </w:numPr>
      </w:pPr>
      <w:r>
        <w:t xml:space="preserve">Erat mauris egestas finibus tincidunt sed in rhoncus a tellus etiam.</w:t>
      </w:r>
    </w:p>
    <w:p>
      <w:pPr>
        <w:pStyle w:val="Compact"/>
        <w:numPr>
          <w:numId w:val="1005"/>
          <w:ilvl w:val="1"/>
        </w:numPr>
      </w:pPr>
      <w:r>
        <w:t xml:space="preserve">A adipiscing per ultricies justo tellus lorem.</w:t>
      </w:r>
    </w:p>
    <w:p>
      <w:pPr>
        <w:pStyle w:val="Compact"/>
        <w:numPr>
          <w:numId w:val="1006"/>
          <w:ilvl w:val="2"/>
        </w:numPr>
      </w:pPr>
      <w:r>
        <w:t xml:space="preserve">Imperdiet ut dui primis, sed gravida, at sed nulla.</w:t>
      </w:r>
    </w:p>
    <w:p>
      <w:pPr>
        <w:pStyle w:val="Compact"/>
        <w:numPr>
          <w:numId w:val="1006"/>
          <w:ilvl w:val="2"/>
        </w:numPr>
      </w:pPr>
      <w:r>
        <w:t xml:space="preserve">Sem posuere lacus consequat inceptos dapibus duis malesuada finibus.</w:t>
      </w:r>
    </w:p>
    <w:p>
      <w:pPr>
        <w:pStyle w:val="Compact"/>
        <w:numPr>
          <w:numId w:val="1005"/>
          <w:ilvl w:val="1"/>
        </w:numPr>
      </w:pPr>
      <w:r>
        <w:t xml:space="preserve">Urna sed dui, ornare, eu turpis mus pellentesque amet amet bibendum.</w:t>
      </w:r>
    </w:p>
    <w:p>
      <w:pPr>
        <w:pStyle w:val="Compact"/>
        <w:numPr>
          <w:numId w:val="1004"/>
          <w:ilvl w:val="0"/>
        </w:numPr>
      </w:pPr>
      <w:r>
        <w:t xml:space="preserve">Himenaeos tincidunt, auctor dapibus scelerisque, montes nunc faucibus</w:t>
      </w:r>
      <w:r>
        <w:t xml:space="preserve"> </w:t>
      </w:r>
      <w:r>
        <w:t xml:space="preserve">sodales malesuada ridiculus sed cubilia ligula.</w:t>
      </w:r>
    </w:p>
    <w:p>
      <w:pPr>
        <w:pStyle w:val="FirstParagraph"/>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Compact"/>
        <w:numPr>
          <w:numId w:val="1007"/>
          <w:ilvl w:val="0"/>
        </w:numPr>
      </w:pPr>
      <w:r>
        <w:t xml:space="preserve">Aptent conubia quam montes id sagittis.</w:t>
      </w:r>
    </w:p>
    <w:p>
      <w:pPr>
        <w:pStyle w:val="Compact"/>
        <w:numPr>
          <w:numId w:val="1008"/>
          <w:ilvl w:val="1"/>
        </w:numPr>
      </w:pPr>
      <w:r>
        <w:t xml:space="preserve">Mattis nisi nascetur, aliquam duis ex, tristique.</w:t>
      </w:r>
    </w:p>
    <w:p>
      <w:pPr>
        <w:pStyle w:val="Compact"/>
        <w:numPr>
          <w:numId w:val="1009"/>
          <w:ilvl w:val="2"/>
        </w:numPr>
      </w:pPr>
      <w:r>
        <w:t xml:space="preserve">Imperdiet ut dui primis, sed gravida, at sed nulla.</w:t>
      </w:r>
    </w:p>
    <w:p>
      <w:pPr>
        <w:pStyle w:val="Compact"/>
        <w:numPr>
          <w:numId w:val="1009"/>
          <w:ilvl w:val="2"/>
        </w:numPr>
      </w:pPr>
      <w:r>
        <w:t xml:space="preserve">Donec ligula nulla ac. Nisl ac at accumsan sagittis eros felis lobortis amet</w:t>
      </w:r>
      <w:r>
        <w:t xml:space="preserve"> </w:t>
      </w:r>
      <w:r>
        <w:t xml:space="preserve">nec phasellus urna bibendum sapien.</w:t>
      </w:r>
    </w:p>
    <w:p>
      <w:pPr>
        <w:pStyle w:val="Compact"/>
        <w:numPr>
          <w:numId w:val="1008"/>
          <w:ilvl w:val="1"/>
        </w:numPr>
      </w:pPr>
      <w:r>
        <w:t xml:space="preserve">Eu dui ac id, dictum proin consectetur convallis.</w:t>
      </w:r>
    </w:p>
    <w:p>
      <w:pPr>
        <w:pStyle w:val="Compact"/>
        <w:numPr>
          <w:numId w:val="1007"/>
          <w:ilvl w:val="0"/>
        </w:numPr>
      </w:pPr>
      <w:r>
        <w:t xml:space="preserve">Facilisi eu lectus mauris lorem. Et sed sapien pellentesque sed etiam vehicula.</w:t>
      </w:r>
    </w:p>
    <w:p>
      <w:pPr>
        <w:pStyle w:val="Compact"/>
        <w:numPr>
          <w:numId w:val="1007"/>
          <w:ilvl w:val="0"/>
        </w:numPr>
      </w:pPr>
      <w:r>
        <w:t xml:space="preserve">In porttitor id lorem eu efficitur, nisl dis!</w:t>
      </w:r>
    </w:p>
    <w:p>
      <w:pPr>
        <w:pStyle w:val="Ttulo2"/>
      </w:pPr>
      <w:bookmarkStart w:id="50" w:name="reference"/>
      <w:r>
        <w:t xml:space="preserve">Reference</w:t>
      </w:r>
      <w:bookmarkEnd w:id="50"/>
    </w:p>
    <w:p>
      <w:pPr>
        <w:pStyle w:val="FirstParagraph"/>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Start w:id="57" w:name="refs"/>
    <w:bookmarkStart w:id="52" w:name="ref-Galtung2016"/>
    <w:p>
      <w:pPr>
        <w:pStyle w:val="Bibliografa"/>
      </w:pPr>
      <w:r>
        <w:t xml:space="preserve">Galtung, Johan. 2016. “La violencia: cultural, estructural y directa.”</w:t>
      </w:r>
      <w:r>
        <w:t xml:space="preserve"> </w:t>
      </w:r>
      <w:r>
        <w:rPr>
          <w:i/>
        </w:rPr>
        <w:t xml:space="preserve">Cuadernos de Estrategia</w:t>
      </w:r>
      <w:r>
        <w:t xml:space="preserve">, no. 183: 147–68.</w:t>
      </w:r>
      <w:r>
        <w:t xml:space="preserve"> </w:t>
      </w:r>
      <w:hyperlink r:id="rId51">
        <w:r>
          <w:rPr>
            <w:rStyle w:val="Hipervnculo"/>
          </w:rPr>
          <w:t xml:space="preserve">https://doi.org/ISSN 1697-6924</w:t>
        </w:r>
      </w:hyperlink>
      <w:r>
        <w:t xml:space="preserve">.</w:t>
      </w:r>
    </w:p>
    <w:bookmarkEnd w:id="52"/>
    <w:bookmarkStart w:id="54" w:name="ref-LACSO-OVV2020"/>
    <w:p>
      <w:pPr>
        <w:pStyle w:val="Bibliografa"/>
      </w:pPr>
      <w:r>
        <w:t xml:space="preserve">LACSO-OVV. 2020. “Informe Anual de Violencia 2020 – Entre las epidemias de la Violencia y del Covid-19 - Observatorio Venezolano de Violencia.”</w:t>
      </w:r>
      <w:r>
        <w:t xml:space="preserve"> </w:t>
      </w:r>
      <w:hyperlink r:id="rId53">
        <w:r>
          <w:rPr>
            <w:rStyle w:val="Hipervnculo"/>
          </w:rPr>
          <w:t xml:space="preserve">https://observatoriodeviolencia.org.ve/news/informe-anual-de-violencia-2020-entre-las-epidemias-de-la-violencia-y-del-covid-19/</w:t>
        </w:r>
      </w:hyperlink>
      <w:r>
        <w:t xml:space="preserve">.</w:t>
      </w:r>
    </w:p>
    <w:bookmarkEnd w:id="54"/>
    <w:bookmarkStart w:id="56" w:name="ref-UNODC2015"/>
    <w:p>
      <w:pPr>
        <w:pStyle w:val="Bibliografa"/>
      </w:pPr>
      <w:r>
        <w:t xml:space="preserve">UNODC. 2015. “Clasificación internacional de delitos con fines estidísticos.” Viena: Oficina de las Naciones Unidas Contra La Droga y el Delito.</w:t>
      </w:r>
      <w:r>
        <w:t xml:space="preserve"> </w:t>
      </w:r>
      <w:hyperlink r:id="rId55">
        <w:r>
          <w:rPr>
            <w:rStyle w:val="Hipervnculo"/>
          </w:rPr>
          <w:t xml:space="preserve">https://www.unodc.org/documents/data-and-analysis/statistics/crime/ICCS/ICCS_SPANISH_2016_web.pdf</w:t>
        </w:r>
      </w:hyperlink>
      <w:r>
        <w:t xml:space="preserve">.</w:t>
      </w:r>
    </w:p>
    <w:bookmarkEnd w:id="56"/>
    <w:bookmarkEnd w:id="5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154F2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40C01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768706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9C03A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7809D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50EA844"/>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C9960E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21C5B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1EFB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385C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38C8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6E3C7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666A6F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989E8E8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Textoindependiente"/>
    <w:uiPriority w:val="9"/>
    <w:unhideWhenUsed/>
    <w:qFormat/>
    <w:rsid w:val="0036539B"/>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tulo3">
    <w:name w:val="heading 3"/>
    <w:basedOn w:val="Normal"/>
    <w:next w:val="Textoindependiente"/>
    <w:uiPriority w:val="9"/>
    <w:unhideWhenUsed/>
    <w:qFormat/>
    <w:rsid w:val="0036539B"/>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36539B"/>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rsid w:val="0036539B"/>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9137D8"/>
    <w:pPr>
      <w:keepNext/>
      <w:jc w:val="center"/>
    </w:pPr>
  </w:style>
  <w:style w:type="paragraph" w:customStyle="1" w:styleId="ImageCaption">
    <w:name w:val="Image Caption"/>
    <w:basedOn w:val="Descripci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uiPriority w:val="99"/>
    <w:rsid w:val="009137D8"/>
    <w:rPr>
      <w:color w:val="C00000"/>
    </w:rPr>
  </w:style>
  <w:style w:type="paragraph" w:styleId="TtuloTDC">
    <w:name w:val="TOC Heading"/>
    <w:basedOn w:val="Ttulo1"/>
    <w:next w:val="Textoindependiente"/>
    <w:uiPriority w:val="39"/>
    <w:unhideWhenUsed/>
    <w:qFormat/>
    <w:rsid w:val="009137D8"/>
    <w:pPr>
      <w:numPr>
        <w:numId w:val="0"/>
      </w:num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9137D8"/>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2"/>
      </w:numPr>
    </w:pPr>
  </w:style>
  <w:style w:type="numbering" w:customStyle="1" w:styleId="Defaultol">
    <w:name w:val="Default ol"/>
    <w:basedOn w:val="Sinlista"/>
    <w:uiPriority w:val="99"/>
    <w:rsid w:val="005E0C3D"/>
    <w:pPr>
      <w:numPr>
        <w:numId w:val="2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DC2">
    <w:name w:val="toc 2"/>
    <w:basedOn w:val="Normal"/>
    <w:next w:val="Normal"/>
    <w:autoRedefine/>
    <w:uiPriority w:val="39"/>
    <w:unhideWhenUsed/>
    <w:rsid w:val="0042460C"/>
    <w:pPr>
      <w:spacing w:after="100"/>
      <w:ind w:left="240"/>
    </w:pPr>
  </w:style>
  <w:style w:type="paragraph" w:styleId="TDC3">
    <w:name w:val="toc 3"/>
    <w:basedOn w:val="Normal"/>
    <w:next w:val="Normal"/>
    <w:autoRedefine/>
    <w:uiPriority w:val="39"/>
    <w:unhideWhenUsed/>
    <w:rsid w:val="0042460C"/>
    <w:pPr>
      <w:spacing w:after="100"/>
      <w:ind w:left="480"/>
    </w:pPr>
  </w:style>
  <w:style w:type="paragraph" w:styleId="Tabladeilustraciones">
    <w:name w:val="table of figures"/>
    <w:basedOn w:val="Normal"/>
    <w:next w:val="Normal"/>
    <w:uiPriority w:val="99"/>
    <w:unhideWhenUsed/>
    <w:rsid w:val="004246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51" Type="http://schemas.openxmlformats.org/officeDocument/2006/relationships/hyperlink" Target="https://doi.org/ISSN%201697-6924" TargetMode="External"/>
<Relationship Id="rId53" Type="http://schemas.openxmlformats.org/officeDocument/2006/relationships/hyperlink" Target="https://observatoriodeviolencia.org.ve/news/informe-anual-de-violencia-2020-entre-las-epidemias-de-la-violencia-y-del-covid-19/" TargetMode="External"/>
<Relationship Id="rId55" Type="http://schemas.openxmlformats.org/officeDocument/2006/relationships/hyperlink" Target="https://www.unodc.org/documents/data-and-analysis/statistics/crime/ICCS/ICCS_SPANISH_2016_web.pdf" TargetMode="External"/>
<Relationship Id="rId56" Type="http://schemas.openxmlformats.org/officeDocument/2006/relationships/image" Target="media/file820419047716.png"/>
<Relationship Id="rId57" Type="http://schemas.openxmlformats.org/officeDocument/2006/relationships/image" Target="media/file8204180f34d3.png"/>
<Relationship Id="rId58" Type="http://schemas.openxmlformats.org/officeDocument/2006/relationships/image" Target="media/file820471cf5812.png"/>
<Relationship Id="rId59" Type="http://schemas.openxmlformats.org/officeDocument/2006/relationships/image" Target="media/file820435481279.png"/>
<Relationship Id="rId60" Type="http://schemas.openxmlformats.org/officeDocument/2006/relationships/image" Target="media/file820468ac1323.png"/>
<Relationship Id="rId61" Type="http://schemas.openxmlformats.org/officeDocument/2006/relationships/image" Target="media/file82045ad814f6.png"/>
<Relationship Id="rId62" Type="http://schemas.openxmlformats.org/officeDocument/2006/relationships/image" Target="media/file820441dd74a2.png"/>
<Relationship Id="rId63" Type="http://schemas.openxmlformats.org/officeDocument/2006/relationships/image" Target="media/file820416b03393.png"/>
<Relationship Id="rId64" Type="http://schemas.openxmlformats.org/officeDocument/2006/relationships/image" Target="media/file82045f723751.png"/>
<Relationship Id="rId65" Type="http://schemas.openxmlformats.org/officeDocument/2006/relationships/image" Target="media/file820464f65133.png"/>
<Relationship Id="rId66" Type="http://schemas.openxmlformats.org/officeDocument/2006/relationships/image" Target="media/file82047569384a.png"/>
<Relationship Id="rId67" Type="http://schemas.openxmlformats.org/officeDocument/2006/relationships/image" Target="media/file8204254c2fe6.png"/>
<Relationship Id="rId68" Type="http://schemas.openxmlformats.org/officeDocument/2006/relationships/image" Target="media/file8204491a2735.png"/>
<Relationship Id="rId69" Type="http://schemas.openxmlformats.org/officeDocument/2006/relationships/image" Target="media/file8204755542bc.png"/>
<Relationship Id="rId70" Type="http://schemas.openxmlformats.org/officeDocument/2006/relationships/image" Target="media/file82047fd36be.png"/>
<Relationship Id="rId71" Type="http://schemas.openxmlformats.org/officeDocument/2006/relationships/image" Target="media/file8204147551d7.png"/>
<Relationship Id="rId72" Type="http://schemas.openxmlformats.org/officeDocument/2006/relationships/image" Target="media/file820440bf1147.png"/>
</Relationships>

</file>

<file path=word/_rels/footnotes.xml.rels><?xml version="1.0" encoding="UTF-8" standalone="yes"?>

<Relationships  xmlns="http://schemas.openxmlformats.org/package/2006/relationships">
<Relationship Id="rId51" Type="http://schemas.openxmlformats.org/officeDocument/2006/relationships/hyperlink" Target="https://doi.org/ISSN%201697-6924" TargetMode="External"/>
<Relationship Id="rId53" Type="http://schemas.openxmlformats.org/officeDocument/2006/relationships/hyperlink" Target="https://observatoriodeviolencia.org.ve/news/informe-anual-de-violencia-2020-entre-las-epidemias-de-la-violencia-y-del-covid-19/" TargetMode="External"/>
<Relationship Id="rId55" Type="http://schemas.openxmlformats.org/officeDocument/2006/relationships/hyperlink"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535</Words>
  <Characters>2944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Boletín primer semestre de 2021</dc:title>
  <dc:creator>Observatorio Venezolano de Violencia</dc:creator>
  <dc:description/>
  <cp:keywords/>
  <dcterms:created xsi:type="dcterms:W3CDTF">2021-10-29T16:34:29Z</dcterms:created>
  <dcterms:modified xsi:type="dcterms:W3CDTF">2021-10-29T12:34:30Z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images/cover.jpg</vt:lpwstr>
  </property>
  <property fmtid="{D5CDD505-2E9C-101B-9397-08002B2CF9AE}" pid="5" name="date">
    <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output">
    <vt:lpwstr>bookdown::gitbook</vt:lpwstr>
  </property>
  <property fmtid="{D5CDD505-2E9C-101B-9397-08002B2CF9AE}" pid="10" name="site">
    <vt:lpwstr>bookdown::bookdown_site</vt:lpwstr>
  </property>
</Properties>
</file>