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01E84" w14:textId="77777777" w:rsidR="00DD61B1" w:rsidRDefault="00021D54" w:rsidP="00021D54">
      <w:pPr>
        <w:pStyle w:val="FirstParagraph"/>
      </w:pPr>
      <w:r>
        <w:rPr>
          <w:noProof/>
        </w:rPr>
        <w:drawing>
          <wp:inline distT="0" distB="0" distL="0" distR="0" wp14:anchorId="4CE01EDD" wp14:editId="4CE01EDE">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ADRIAN.jpg"/>
                    <pic:cNvPicPr>
                      <a:picLocks noChangeAspect="1" noChangeArrowheads="1"/>
                    </pic:cNvPicPr>
                  </pic:nvPicPr>
                  <pic:blipFill>
                    <a:blip r:embed="rId8"/>
                    <a:stretch>
                      <a:fillRect/>
                    </a:stretch>
                  </pic:blipFill>
                  <pic:spPr bwMode="auto">
                    <a:xfrm>
                      <a:off x="0" y="0"/>
                      <a:ext cx="6336792" cy="8997696"/>
                    </a:xfrm>
                    <a:prstGeom prst="rect">
                      <a:avLst/>
                    </a:prstGeom>
                    <a:noFill/>
                    <a:ln w="9525">
                      <a:noFill/>
                      <a:headEnd/>
                      <a:tailEnd/>
                    </a:ln>
                  </pic:spPr>
                </pic:pic>
              </a:graphicData>
            </a:graphic>
          </wp:inline>
        </w:drawing>
      </w:r>
    </w:p>
    <w:p w14:paraId="4CE01E85" w14:textId="77777777" w:rsidR="00DD61B1" w:rsidRDefault="00021D54" w:rsidP="00B75264">
      <w:pPr>
        <w:jc w:val="center"/>
      </w:pPr>
      <w:bookmarkStart w:id="0" w:name="observatorio-venezolano-de-violencia"/>
      <w:proofErr w:type="spellStart"/>
      <w:r>
        <w:lastRenderedPageBreak/>
        <w:t>Observatorio</w:t>
      </w:r>
      <w:proofErr w:type="spellEnd"/>
      <w:r>
        <w:t xml:space="preserve"> Venezolano de </w:t>
      </w:r>
      <w:proofErr w:type="spellStart"/>
      <w:r>
        <w:t>Violencia</w:t>
      </w:r>
      <w:bookmarkEnd w:id="0"/>
      <w:proofErr w:type="spellEnd"/>
    </w:p>
    <w:p w14:paraId="4CE01E86" w14:textId="000F204B" w:rsidR="00DD61B1" w:rsidRDefault="00021D54">
      <w:pPr>
        <w:pStyle w:val="Ttulo1"/>
      </w:pPr>
      <w:bookmarkStart w:id="1" w:name="presentación"/>
      <w:r>
        <w:t>Presentación</w:t>
      </w:r>
      <w:bookmarkEnd w:id="1"/>
    </w:p>
    <w:p w14:paraId="4CE01E87" w14:textId="77777777" w:rsidR="00DD61B1" w:rsidRDefault="00DD61B1">
      <w:pPr>
        <w:sectPr w:rsidR="00DD61B1">
          <w:type w:val="continuous"/>
          <w:pgSz w:w="11952" w:h="16848"/>
          <w:pgMar w:top="1800" w:right="720" w:bottom="1800" w:left="720" w:header="720" w:footer="720" w:gutter="720"/>
          <w:cols w:space="720"/>
        </w:sectPr>
      </w:pPr>
    </w:p>
    <w:p w14:paraId="4CE01E88" w14:textId="77777777" w:rsidR="00DD61B1" w:rsidRPr="00021D54" w:rsidRDefault="00021D54" w:rsidP="00021D54">
      <w:pPr>
        <w:pStyle w:val="FirstParagraph"/>
      </w:pPr>
      <w:r w:rsidRPr="00021D54">
        <w:t>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14:paraId="4CE01E89" w14:textId="1248966E" w:rsidR="00DD61B1" w:rsidRPr="00021D54" w:rsidRDefault="00021D54" w:rsidP="00021D54">
      <w:pPr>
        <w:pStyle w:val="Textoindependiente"/>
      </w:pPr>
      <w:r w:rsidRPr="00021D54">
        <w:t xml:space="preserve">La información que aquí presentamos no son todos los delitos sobre violencia interpersonal ocurridos durante </w:t>
      </w:r>
      <w:r w:rsidRPr="00021D54">
        <w:t xml:space="preserve">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 (UNODC, </w:t>
      </w:r>
      <w:hyperlink w:anchor="ref-UNODC2015">
        <w:r w:rsidRPr="00021D54">
          <w:rPr>
            <w:rStyle w:val="Hipervnculo"/>
            <w:color w:val="auto"/>
          </w:rPr>
          <w:t>2015</w:t>
        </w:r>
      </w:hyperlink>
      <w:r w:rsidRPr="00021D54">
        <w:t>).</w:t>
      </w:r>
    </w:p>
    <w:p w14:paraId="4CE01E8A" w14:textId="77777777" w:rsidR="00DD61B1" w:rsidRPr="00775737" w:rsidRDefault="00DD61B1">
      <w:pPr>
        <w:rPr>
          <w:lang w:val="es-VE"/>
        </w:rPr>
        <w:sectPr w:rsidR="00DD61B1" w:rsidRPr="00775737">
          <w:type w:val="continuous"/>
          <w:pgSz w:w="11952" w:h="16848"/>
          <w:pgMar w:top="1800" w:right="720" w:bottom="1800" w:left="720" w:header="720" w:footer="720" w:gutter="720"/>
          <w:cols w:num="2" w:sep="1" w:space="288" w:equalWidth="0">
            <w:col w:w="4320" w:space="288"/>
            <w:col w:w="4320"/>
          </w:cols>
        </w:sectPr>
      </w:pPr>
    </w:p>
    <w:p w14:paraId="4CE01E8B" w14:textId="26CAB513" w:rsidR="00DD61B1" w:rsidRDefault="00021D54">
      <w:pPr>
        <w:pStyle w:val="Ttulo1"/>
      </w:pPr>
      <w:bookmarkStart w:id="2" w:name="lo-observado"/>
      <w:r>
        <w:t>Lo observado</w:t>
      </w:r>
      <w:bookmarkEnd w:id="2"/>
    </w:p>
    <w:p w14:paraId="4CE01E8C" w14:textId="77777777" w:rsidR="00DD61B1" w:rsidRDefault="00DD61B1">
      <w:pPr>
        <w:sectPr w:rsidR="00DD61B1">
          <w:type w:val="continuous"/>
          <w:pgSz w:w="11952" w:h="16848"/>
          <w:pgMar w:top="1800" w:right="720" w:bottom="1800" w:left="720" w:header="720" w:footer="720" w:gutter="720"/>
          <w:cols w:space="720"/>
        </w:sectPr>
      </w:pPr>
    </w:p>
    <w:p w14:paraId="4CE01E8D" w14:textId="77777777" w:rsidR="00DD61B1" w:rsidRDefault="00021D54" w:rsidP="00021D54">
      <w:pPr>
        <w:pStyle w:val="FirstParagraph"/>
      </w:pPr>
      <w:r>
        <w:t>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14:paraId="4CE01E8E" w14:textId="77777777" w:rsidR="00DD61B1" w:rsidRDefault="00021D54" w:rsidP="00021D54">
      <w:pPr>
        <w:pStyle w:val="Textoindependiente"/>
      </w:pPr>
      <w:r>
        <w:t>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14:paraId="4CE01E8F" w14:textId="77777777" w:rsidR="00DD61B1" w:rsidRDefault="00021D54" w:rsidP="00021D54">
      <w:pPr>
        <w:pStyle w:val="Textoindependiente"/>
      </w:pPr>
      <w:r>
        <w:t xml:space="preserve">Las medidas de confinamiento y desmovilización de la población, han hecho lo propio para propiciar el recrudecimiento de los conflictos familiares, lo que ha afectado las relaciones entre sus miembros, al punto de </w:t>
      </w:r>
      <w:r>
        <w:t>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14:paraId="4CE01E90" w14:textId="05BFBDB3" w:rsidR="00DD61B1" w:rsidRDefault="00021D54" w:rsidP="00021D54">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humanitaria y viola los derechos humanos de los ciudadanos.</w:t>
      </w:r>
    </w:p>
    <w:p w14:paraId="4CE01E91"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92" w14:textId="71DC0F59" w:rsidR="00DD61B1" w:rsidRDefault="00021D54">
      <w:pPr>
        <w:pStyle w:val="Ttulo1"/>
      </w:pPr>
      <w:bookmarkStart w:id="3" w:name="violencia-letal"/>
      <w:r>
        <w:t>Violencia letal</w:t>
      </w:r>
      <w:bookmarkEnd w:id="3"/>
    </w:p>
    <w:p w14:paraId="4CE01E93" w14:textId="4975D6D6" w:rsidR="00DD61B1" w:rsidRDefault="00021D54">
      <w:pPr>
        <w:pStyle w:val="Ttulo2"/>
      </w:pPr>
      <w:bookmarkStart w:id="4" w:name="homicidio-intencional"/>
      <w:r>
        <w:t>Homicidio intencional</w:t>
      </w:r>
      <w:bookmarkEnd w:id="4"/>
    </w:p>
    <w:p w14:paraId="4CE01E94" w14:textId="77777777" w:rsidR="00DD61B1" w:rsidRDefault="00DD61B1">
      <w:pPr>
        <w:sectPr w:rsidR="00DD61B1">
          <w:type w:val="continuous"/>
          <w:pgSz w:w="11952" w:h="16848"/>
          <w:pgMar w:top="1800" w:right="720" w:bottom="1800" w:left="720" w:header="720" w:footer="720" w:gutter="720"/>
          <w:cols w:space="720"/>
        </w:sectPr>
      </w:pPr>
    </w:p>
    <w:p w14:paraId="4CE01E95" w14:textId="5970E1FD" w:rsidR="00DD61B1" w:rsidRDefault="00021D54" w:rsidP="00021D54">
      <w:pPr>
        <w:pStyle w:val="FirstParagraph"/>
      </w:pPr>
      <w:r>
        <w:t xml:space="preserve">Entendiendo el homicidio intencional como la “muerte ilícita causada a una persona con la intención de causarle </w:t>
      </w:r>
      <w:r>
        <w:t xml:space="preserve">la muerte u ocasionarle lesiones graves” (UNODC, </w:t>
      </w:r>
      <w:hyperlink w:anchor="ref-UNODC2015">
        <w:r>
          <w:rPr>
            <w:rStyle w:val="Hipervnculo"/>
          </w:rPr>
          <w:t>2015</w:t>
        </w:r>
      </w:hyperlink>
      <w:r>
        <w:t xml:space="preserve">, p. 19), no cabe duda de que este delito sigue siendo de los </w:t>
      </w:r>
      <w:r>
        <w:lastRenderedPageBreak/>
        <w:t xml:space="preserve">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 Así puede observarse en el Gráfico </w:t>
      </w:r>
      <w:hyperlink w:anchor="victimasdelhisexoedadpir">
        <w:r>
          <w:fldChar w:fldCharType="begin"/>
        </w:r>
        <w:r>
          <w:instrText xml:space="preserve"> REF victimasdelhisexoedadpir \h</w:instrText>
        </w:r>
        <w:r>
          <w:fldChar w:fldCharType="separate"/>
        </w:r>
        <w:r w:rsidR="00775737">
          <w:rPr>
            <w:noProof/>
          </w:rPr>
          <w:t>1</w:t>
        </w:r>
        <w:r>
          <w:fldChar w:fldCharType="end"/>
        </w:r>
      </w:hyperlink>
      <w:r>
        <w:t xml:space="preserve"> 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14:paraId="4CE01E96" w14:textId="77777777" w:rsidR="00DD61B1" w:rsidRDefault="00021D54">
      <w:pPr>
        <w:jc w:val="center"/>
      </w:pPr>
      <w:r>
        <w:rPr>
          <w:noProof/>
        </w:rPr>
        <w:drawing>
          <wp:inline distT="0" distB="0" distL="0" distR="0" wp14:anchorId="4CE01EDF" wp14:editId="4CE01EE0">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4CE01E97" w14:textId="44C4DC1C" w:rsidR="00DD61B1" w:rsidRDefault="00021D54">
      <w:pPr>
        <w:pStyle w:val="ImageCaption"/>
      </w:pPr>
      <w:r>
        <w:t xml:space="preserve">Gráfico </w:t>
      </w:r>
      <w:bookmarkStart w:id="5" w:name="victimasdelhisexoedadpir"/>
      <w:r>
        <w:fldChar w:fldCharType="begin"/>
      </w:r>
      <w:r>
        <w:instrText>SEQ fig \* Arabic</w:instrText>
      </w:r>
      <w:r>
        <w:fldChar w:fldCharType="separate"/>
      </w:r>
      <w:r w:rsidR="00775737">
        <w:rPr>
          <w:noProof/>
        </w:rPr>
        <w:t>1</w:t>
      </w:r>
      <w:r>
        <w:fldChar w:fldCharType="end"/>
      </w:r>
      <w:bookmarkEnd w:id="5"/>
      <w:r>
        <w:t>: Número víctimas por homicidio intencional discriminadas según edad y sexo.</w:t>
      </w:r>
    </w:p>
    <w:p w14:paraId="4CE01E98" w14:textId="20C95067" w:rsidR="00DD61B1" w:rsidRDefault="00021D54" w:rsidP="00021D54">
      <w:pPr>
        <w:pStyle w:val="Textoindependiente"/>
      </w:pPr>
      <w:r>
        <w:t xml:space="preserve">Esto merece atención por cuanto al ver en el Gráfico </w:t>
      </w:r>
      <w:hyperlink w:anchor="victimasdelhimotiv">
        <w:r>
          <w:fldChar w:fldCharType="begin"/>
        </w:r>
        <w:r>
          <w:instrText xml:space="preserve"> REF victimasdelhimotiv \h</w:instrText>
        </w:r>
        <w:r>
          <w:fldChar w:fldCharType="separate"/>
        </w:r>
        <w:r w:rsidR="00775737">
          <w:rPr>
            <w:noProof/>
          </w:rPr>
          <w:t>2</w:t>
        </w:r>
        <w:r>
          <w:fldChar w:fldCharType="end"/>
        </w:r>
      </w:hyperlink>
      <w:r>
        <w:t>,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14:paraId="4CE01E99" w14:textId="77777777" w:rsidR="00DD61B1" w:rsidRDefault="00021D54">
      <w:pPr>
        <w:jc w:val="center"/>
      </w:pPr>
      <w:r>
        <w:rPr>
          <w:noProof/>
        </w:rPr>
        <w:drawing>
          <wp:inline distT="0" distB="0" distL="0" distR="0" wp14:anchorId="4CE01EE1" wp14:editId="4CE01EE2">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4CE01E9A" w14:textId="4AC6A613" w:rsidR="00DD61B1" w:rsidRDefault="00021D54">
      <w:pPr>
        <w:pStyle w:val="ImageCaption"/>
      </w:pPr>
      <w:r>
        <w:t xml:space="preserve">Gráfico </w:t>
      </w:r>
      <w:bookmarkStart w:id="6" w:name="victimasdelhimotiv"/>
      <w:r>
        <w:fldChar w:fldCharType="begin"/>
      </w:r>
      <w:r>
        <w:instrText>SEQ fig \* Arabic</w:instrText>
      </w:r>
      <w:r>
        <w:fldChar w:fldCharType="separate"/>
      </w:r>
      <w:r w:rsidR="00775737">
        <w:rPr>
          <w:noProof/>
        </w:rPr>
        <w:t>2</w:t>
      </w:r>
      <w:r>
        <w:fldChar w:fldCharType="end"/>
      </w:r>
      <w:bookmarkEnd w:id="6"/>
      <w:r>
        <w:t>: Número víctimas por homicidio intencional discriminadas según el sexo y la motivación del delito.</w:t>
      </w:r>
    </w:p>
    <w:p w14:paraId="4CE01E9B"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9C" w14:textId="2BA8412B" w:rsidR="00DD61B1" w:rsidRDefault="00021D54">
      <w:pPr>
        <w:pStyle w:val="Ttulo2"/>
      </w:pPr>
      <w:bookmarkStart w:id="7" w:name="muertes-por-intervención-policial-mip"/>
      <w:r>
        <w:t>Muertes por intervención policial (MIP)</w:t>
      </w:r>
      <w:bookmarkEnd w:id="7"/>
    </w:p>
    <w:p w14:paraId="4CE01E9D" w14:textId="77777777" w:rsidR="00DD61B1" w:rsidRPr="00021D54" w:rsidRDefault="00DD61B1">
      <w:pPr>
        <w:rPr>
          <w:lang w:val="es-VE"/>
        </w:rPr>
        <w:sectPr w:rsidR="00DD61B1" w:rsidRPr="00021D54">
          <w:type w:val="continuous"/>
          <w:pgSz w:w="11952" w:h="16848"/>
          <w:pgMar w:top="1800" w:right="720" w:bottom="1800" w:left="720" w:header="720" w:footer="720" w:gutter="720"/>
          <w:cols w:space="720"/>
        </w:sectPr>
      </w:pPr>
    </w:p>
    <w:p w14:paraId="4CE01E9E" w14:textId="7E8AF8BA" w:rsidR="00DD61B1" w:rsidRDefault="00021D54" w:rsidP="00021D54">
      <w:pPr>
        <w:pStyle w:val="FirstParagraph"/>
      </w:pPr>
      <w:r>
        <w:t xml:space="preserve">Las muertes por intervención policial informadas durante el primer semestre del 2021, en los reportes de prensa consultados, alcanzan un total de 562 víctimas (gráfico </w:t>
      </w:r>
      <w:hyperlink w:anchor="victimasmilsexoedadpir">
        <w:r>
          <w:fldChar w:fldCharType="begin"/>
        </w:r>
        <w:r>
          <w:instrText xml:space="preserve"> REF victimasmilsexoedadpir \h</w:instrText>
        </w:r>
        <w:r>
          <w:fldChar w:fldCharType="separate"/>
        </w:r>
        <w:r w:rsidR="00775737">
          <w:rPr>
            <w:noProof/>
          </w:rPr>
          <w:t>3</w:t>
        </w:r>
        <w:r>
          <w:fldChar w:fldCharType="end"/>
        </w:r>
      </w:hyperlink>
      <w:r>
        <w:t>).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 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14:paraId="4CE01E9F" w14:textId="77777777" w:rsidR="00DD61B1" w:rsidRDefault="00021D54">
      <w:pPr>
        <w:jc w:val="center"/>
      </w:pPr>
      <w:r>
        <w:rPr>
          <w:noProof/>
        </w:rPr>
        <w:drawing>
          <wp:inline distT="0" distB="0" distL="0" distR="0" wp14:anchorId="4CE01EE3" wp14:editId="4CE01EE4">
            <wp:extent cx="2743200" cy="1920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38100" cy="26670"/>
                    </a:xfrm>
                    <a:prstGeom prst="rect">
                      <a:avLst/>
                    </a:prstGeom>
                    <a:noFill/>
                  </pic:spPr>
                </pic:pic>
              </a:graphicData>
            </a:graphic>
          </wp:inline>
        </w:drawing>
      </w:r>
    </w:p>
    <w:p w14:paraId="4CE01EA0" w14:textId="385609B8" w:rsidR="00DD61B1" w:rsidRDefault="00021D54">
      <w:pPr>
        <w:pStyle w:val="ImageCaption"/>
      </w:pPr>
      <w:r>
        <w:t xml:space="preserve">Gráfico </w:t>
      </w:r>
      <w:bookmarkStart w:id="8" w:name="victimasmilsexoedadpir"/>
      <w:r>
        <w:fldChar w:fldCharType="begin"/>
      </w:r>
      <w:r>
        <w:instrText>SEQ fig \* Arabic</w:instrText>
      </w:r>
      <w:r>
        <w:fldChar w:fldCharType="separate"/>
      </w:r>
      <w:r w:rsidR="00775737">
        <w:rPr>
          <w:noProof/>
        </w:rPr>
        <w:t>3</w:t>
      </w:r>
      <w:r>
        <w:fldChar w:fldCharType="end"/>
      </w:r>
      <w:bookmarkEnd w:id="8"/>
      <w:r>
        <w:t>: Número de muertes por intervención policial discriminados por edad y sexo.</w:t>
      </w:r>
    </w:p>
    <w:p w14:paraId="4CE01EA1" w14:textId="5076833B" w:rsidR="00DD61B1" w:rsidRDefault="00021D54" w:rsidP="00021D54">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fldChar w:fldCharType="separate"/>
        </w:r>
        <w:r w:rsidR="00775737">
          <w:rPr>
            <w:noProof/>
          </w:rPr>
          <w:t>4</w:t>
        </w:r>
        <w:r>
          <w:fldChar w:fldCharType="end"/>
        </w:r>
      </w:hyperlink>
      <w:r>
        <w:t xml:space="preserve">), indica </w:t>
      </w:r>
      <w:proofErr w:type="gramStart"/>
      <w:r>
        <w:t>que</w:t>
      </w:r>
      <w:proofErr w:type="gramEnd"/>
      <w:r>
        <w:t xml:space="preserv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w:t>
      </w:r>
      <w:r>
        <w:lastRenderedPageBreak/>
        <w:t>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14:paraId="4CE01EA2" w14:textId="77777777" w:rsidR="00DD61B1" w:rsidRDefault="00021D54">
      <w:pPr>
        <w:jc w:val="center"/>
      </w:pPr>
      <w:r>
        <w:rPr>
          <w:noProof/>
        </w:rPr>
        <w:drawing>
          <wp:inline distT="0" distB="0" distL="0" distR="0" wp14:anchorId="4CE01EE5" wp14:editId="4CE01EE6">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4CE01EA3" w14:textId="1656B625" w:rsidR="00DD61B1" w:rsidRDefault="00021D54">
      <w:pPr>
        <w:pStyle w:val="ImageCaption"/>
      </w:pPr>
      <w:r>
        <w:t xml:space="preserve">Gráfico </w:t>
      </w:r>
      <w:bookmarkStart w:id="9" w:name="sucesosmil"/>
      <w:r>
        <w:fldChar w:fldCharType="begin"/>
      </w:r>
      <w:r>
        <w:instrText>SEQ fig \* Arabic</w:instrText>
      </w:r>
      <w:r>
        <w:fldChar w:fldCharType="separate"/>
      </w:r>
      <w:r w:rsidR="00775737">
        <w:rPr>
          <w:noProof/>
        </w:rPr>
        <w:t>4</w:t>
      </w:r>
      <w:r>
        <w:fldChar w:fldCharType="end"/>
      </w:r>
      <w:bookmarkEnd w:id="9"/>
      <w:r>
        <w:t>: Número y proporción de sucesos asociados a muertes por intervención policial discriminados según el cuerpo de seguridad involucrado.</w:t>
      </w:r>
    </w:p>
    <w:p w14:paraId="4CE01EA4"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A5" w14:textId="5DD2FE9E" w:rsidR="00DD61B1" w:rsidRDefault="00021D54">
      <w:pPr>
        <w:pStyle w:val="Ttulo1"/>
      </w:pPr>
      <w:bookmarkStart w:id="10" w:name="violencia-no-letal"/>
      <w:r>
        <w:t>Violencia no letal</w:t>
      </w:r>
      <w:bookmarkEnd w:id="10"/>
    </w:p>
    <w:p w14:paraId="4CE01EA6" w14:textId="5089013A" w:rsidR="00DD61B1" w:rsidRDefault="00021D54">
      <w:pPr>
        <w:pStyle w:val="Ttulo2"/>
      </w:pPr>
      <w:bookmarkStart w:id="11" w:name="X9307d968879ef0bc3ebe1d97359fa0ae6db4656"/>
      <w:r>
        <w:t>Otros delitos distintos a homicidio intencional (HI)</w:t>
      </w:r>
      <w:bookmarkEnd w:id="11"/>
    </w:p>
    <w:p w14:paraId="4CE01EA7" w14:textId="77777777" w:rsidR="00DD61B1" w:rsidRPr="00021D54" w:rsidRDefault="00DD61B1">
      <w:pPr>
        <w:rPr>
          <w:lang w:val="es-VE"/>
        </w:rPr>
        <w:sectPr w:rsidR="00DD61B1" w:rsidRPr="00021D54">
          <w:type w:val="continuous"/>
          <w:pgSz w:w="11952" w:h="16848"/>
          <w:pgMar w:top="1800" w:right="720" w:bottom="1800" w:left="720" w:header="720" w:footer="720" w:gutter="720"/>
          <w:cols w:space="720"/>
        </w:sectPr>
      </w:pPr>
    </w:p>
    <w:p w14:paraId="4CE01EA8" w14:textId="1A123E19" w:rsidR="00DD61B1" w:rsidRDefault="00021D54" w:rsidP="00021D54">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 </w:t>
      </w:r>
      <w:hyperlink w:anchor="victimasodelsexoedadpir">
        <w:r>
          <w:fldChar w:fldCharType="begin"/>
        </w:r>
        <w:r>
          <w:instrText xml:space="preserve"> REF victimasodelsexoedadpir \h</w:instrText>
        </w:r>
        <w:r>
          <w:fldChar w:fldCharType="separate"/>
        </w:r>
        <w:r w:rsidR="00775737">
          <w:rPr>
            <w:noProof/>
          </w:rPr>
          <w:t>5</w:t>
        </w:r>
        <w:r>
          <w:fldChar w:fldCharType="end"/>
        </w:r>
      </w:hyperlink>
      <w:r>
        <w:t xml:space="preserve"> 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14:paraId="4CE01EA9" w14:textId="77777777" w:rsidR="00DD61B1" w:rsidRDefault="00021D54">
      <w:pPr>
        <w:jc w:val="center"/>
      </w:pPr>
      <w:r>
        <w:rPr>
          <w:noProof/>
        </w:rPr>
        <w:drawing>
          <wp:inline distT="0" distB="0" distL="0" distR="0" wp14:anchorId="4CE01EE7" wp14:editId="4CE01EE8">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4CE01EAA" w14:textId="241DE5C0" w:rsidR="00DD61B1" w:rsidRDefault="00021D54">
      <w:pPr>
        <w:pStyle w:val="ImageCaption"/>
      </w:pPr>
      <w:r>
        <w:t xml:space="preserve">Gráfico </w:t>
      </w:r>
      <w:bookmarkStart w:id="12" w:name="victimasodelsexoedadpir"/>
      <w:r>
        <w:fldChar w:fldCharType="begin"/>
      </w:r>
      <w:r>
        <w:instrText>SEQ fig \* Arabic</w:instrText>
      </w:r>
      <w:r>
        <w:fldChar w:fldCharType="separate"/>
      </w:r>
      <w:r w:rsidR="00775737">
        <w:rPr>
          <w:noProof/>
        </w:rPr>
        <w:t>5</w:t>
      </w:r>
      <w:r>
        <w:fldChar w:fldCharType="end"/>
      </w:r>
      <w:bookmarkEnd w:id="12"/>
      <w:r>
        <w:t>: Número víctimas de otros delitos distintos a homicidio intencional discriminados por edad y sexo.</w:t>
      </w:r>
    </w:p>
    <w:p w14:paraId="4CE01EAB" w14:textId="73A4355E" w:rsidR="00DD61B1" w:rsidRDefault="00021D54" w:rsidP="00021D54">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 </w:t>
      </w:r>
      <w:hyperlink w:anchor="sucesosodeltipodel">
        <w:r>
          <w:fldChar w:fldCharType="begin"/>
        </w:r>
        <w:r>
          <w:instrText xml:space="preserve"> REF sucesosodeltipodel \h</w:instrText>
        </w:r>
        <w:r>
          <w:fldChar w:fldCharType="separate"/>
        </w:r>
        <w:r w:rsidR="00775737">
          <w:rPr>
            <w:noProof/>
          </w:rPr>
          <w:t>6</w:t>
        </w:r>
        <w:r>
          <w:fldChar w:fldCharType="end"/>
        </w:r>
      </w:hyperlink>
      <w:r>
        <w:t>). 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14:paraId="4CE01EAC" w14:textId="77777777" w:rsidR="00DD61B1" w:rsidRDefault="00021D54">
      <w:pPr>
        <w:jc w:val="center"/>
      </w:pPr>
      <w:r>
        <w:rPr>
          <w:noProof/>
        </w:rPr>
        <w:lastRenderedPageBreak/>
        <w:drawing>
          <wp:inline distT="0" distB="0" distL="0" distR="0" wp14:anchorId="4CE01EE9" wp14:editId="4CE01EEA">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4CE01EAD" w14:textId="7332896A" w:rsidR="00DD61B1" w:rsidRDefault="00021D54">
      <w:pPr>
        <w:pStyle w:val="ImageCaption"/>
      </w:pPr>
      <w:r>
        <w:t xml:space="preserve">Gráfico </w:t>
      </w:r>
      <w:bookmarkStart w:id="13" w:name="sucesosodeltipodel"/>
      <w:r>
        <w:fldChar w:fldCharType="begin"/>
      </w:r>
      <w:r>
        <w:instrText>SEQ fig \* Arabic</w:instrText>
      </w:r>
      <w:r>
        <w:fldChar w:fldCharType="separate"/>
      </w:r>
      <w:r w:rsidR="00775737">
        <w:rPr>
          <w:noProof/>
        </w:rPr>
        <w:t>6</w:t>
      </w:r>
      <w:r>
        <w:fldChar w:fldCharType="end"/>
      </w:r>
      <w:bookmarkEnd w:id="13"/>
      <w:r>
        <w:t>: Número y proporción de sucesos asociados a otros delitos distintos de homicidio intencional discriminados según el tipo de delito.</w:t>
      </w:r>
    </w:p>
    <w:p w14:paraId="4CE01EAE" w14:textId="5D12949A" w:rsidR="00DD61B1" w:rsidRDefault="00021D54" w:rsidP="00021D54">
      <w:pPr>
        <w:pStyle w:val="Textoindependiente"/>
      </w:pPr>
      <w:r>
        <w:t xml:space="preserve">Esos delitos diferentes de los homicidios discriminados por sexo, permiten apreciar de acuerdo con lo reportado por la prensa durante este semestre, que tal como se mencionó en el Gráfico </w:t>
      </w:r>
      <w:hyperlink w:anchor="sucesosodeltipodel">
        <w:r>
          <w:fldChar w:fldCharType="begin"/>
        </w:r>
        <w:r>
          <w:instrText xml:space="preserve"> REF sucesosodeltipodel \h</w:instrText>
        </w:r>
        <w:r>
          <w:fldChar w:fldCharType="separate"/>
        </w:r>
        <w:r w:rsidR="00775737">
          <w:rPr>
            <w:noProof/>
          </w:rPr>
          <w:t>6</w:t>
        </w:r>
        <w:r>
          <w:fldChar w:fldCharType="end"/>
        </w:r>
      </w:hyperlink>
      <w:r>
        <w:t xml:space="preserve"> son las agresiones los delitos más cometidos y en similar proporción en personas del sexo masculino y femenino (Gráfico </w:t>
      </w:r>
      <w:hyperlink w:anchor="victimasodelsexotipodelpir">
        <w:r>
          <w:fldChar w:fldCharType="begin"/>
        </w:r>
        <w:r>
          <w:instrText xml:space="preserve"> REF victimasodelsexotipodelpir \h</w:instrText>
        </w:r>
        <w:r>
          <w:fldChar w:fldCharType="separate"/>
        </w:r>
        <w:r w:rsidR="00775737">
          <w:rPr>
            <w:noProof/>
          </w:rPr>
          <w:t>7</w:t>
        </w:r>
        <w:r>
          <w:fldChar w:fldCharType="end"/>
        </w:r>
      </w:hyperlink>
      <w:r>
        <w:t>). 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14:paraId="4CE01EAF" w14:textId="77777777" w:rsidR="00DD61B1" w:rsidRDefault="00021D54">
      <w:pPr>
        <w:jc w:val="center"/>
      </w:pPr>
      <w:r>
        <w:rPr>
          <w:noProof/>
        </w:rPr>
        <w:drawing>
          <wp:inline distT="0" distB="0" distL="0" distR="0" wp14:anchorId="4CE01EEB" wp14:editId="4CE01EEC">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4CE01EB0" w14:textId="41DB9E16" w:rsidR="00DD61B1" w:rsidRDefault="00021D54">
      <w:pPr>
        <w:pStyle w:val="ImageCaption"/>
      </w:pPr>
      <w:r>
        <w:t xml:space="preserve">Gráfico </w:t>
      </w:r>
      <w:bookmarkStart w:id="14" w:name="victimasodelsexotipodelpir"/>
      <w:r>
        <w:fldChar w:fldCharType="begin"/>
      </w:r>
      <w:r>
        <w:instrText>SEQ fig \* Arabic</w:instrText>
      </w:r>
      <w:r>
        <w:fldChar w:fldCharType="separate"/>
      </w:r>
      <w:r w:rsidR="00775737">
        <w:rPr>
          <w:noProof/>
        </w:rPr>
        <w:t>7</w:t>
      </w:r>
      <w:r>
        <w:fldChar w:fldCharType="end"/>
      </w:r>
      <w:bookmarkEnd w:id="14"/>
      <w:r>
        <w:t>: Número víctimas de otros delitos distintos a homicidio intencional discriminados según sexo y tipo de delito.</w:t>
      </w:r>
    </w:p>
    <w:p w14:paraId="4CE01EB1" w14:textId="1FD70D14" w:rsidR="00DD61B1" w:rsidRDefault="00021D54" w:rsidP="00021D54">
      <w:pPr>
        <w:pStyle w:val="Textoindependiente"/>
      </w:pPr>
      <w:r>
        <w:t xml:space="preserve">De las víctimas de delitos distintos al homicidio, en el caso de los hombres, son fundamentalmente trabajadores, y en menor proporción estudiantes (Gráfico </w:t>
      </w:r>
      <w:hyperlink w:anchor="victimasodelsexoactivpir">
        <w:r>
          <w:fldChar w:fldCharType="begin"/>
        </w:r>
        <w:r>
          <w:instrText xml:space="preserve"> REF victimasodelsexoactivpir \h</w:instrText>
        </w:r>
        <w:r>
          <w:fldChar w:fldCharType="separate"/>
        </w:r>
        <w:r w:rsidR="00775737">
          <w:rPr>
            <w:noProof/>
          </w:rPr>
          <w:t>8</w:t>
        </w:r>
        <w:r>
          <w:fldChar w:fldCharType="end"/>
        </w:r>
      </w:hyperlink>
      <w:r>
        <w:t>).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14:paraId="4CE01EB2" w14:textId="77777777" w:rsidR="00DD61B1" w:rsidRDefault="00021D54">
      <w:pPr>
        <w:jc w:val="center"/>
      </w:pPr>
      <w:r>
        <w:rPr>
          <w:noProof/>
        </w:rPr>
        <w:drawing>
          <wp:inline distT="0" distB="0" distL="0" distR="0" wp14:anchorId="4CE01EED" wp14:editId="4CE01EEE">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4CE01EB3" w14:textId="685B38B5" w:rsidR="00DD61B1" w:rsidRDefault="00021D54">
      <w:pPr>
        <w:pStyle w:val="ImageCaption"/>
      </w:pPr>
      <w:r>
        <w:t xml:space="preserve">Gráfico </w:t>
      </w:r>
      <w:bookmarkStart w:id="15" w:name="victimasodelsexoactivpir"/>
      <w:r>
        <w:fldChar w:fldCharType="begin"/>
      </w:r>
      <w:r>
        <w:instrText>SEQ fig \* Arabic</w:instrText>
      </w:r>
      <w:r>
        <w:fldChar w:fldCharType="separate"/>
      </w:r>
      <w:r w:rsidR="00775737">
        <w:rPr>
          <w:noProof/>
        </w:rPr>
        <w:t>8</w:t>
      </w:r>
      <w:r>
        <w:fldChar w:fldCharType="end"/>
      </w:r>
      <w:bookmarkEnd w:id="15"/>
      <w:r>
        <w:t>: Número víctimas de otros delitos distintos a homicidio intencional discriminados según sexo y actividad a la que se dedica la víctima.</w:t>
      </w:r>
    </w:p>
    <w:p w14:paraId="4CE01EB4"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B5" w14:textId="52FD369A" w:rsidR="00DD61B1" w:rsidRDefault="00021D54">
      <w:pPr>
        <w:pStyle w:val="Ttulo2"/>
      </w:pPr>
      <w:bookmarkStart w:id="16" w:name="víctimas-de-agresión"/>
      <w:r>
        <w:t>Víctimas de agresión</w:t>
      </w:r>
      <w:bookmarkEnd w:id="16"/>
    </w:p>
    <w:p w14:paraId="4CE01EB6" w14:textId="77777777" w:rsidR="00DD61B1" w:rsidRDefault="00DD61B1">
      <w:pPr>
        <w:sectPr w:rsidR="00DD61B1">
          <w:type w:val="continuous"/>
          <w:pgSz w:w="11952" w:h="16848"/>
          <w:pgMar w:top="1800" w:right="720" w:bottom="1800" w:left="720" w:header="720" w:footer="720" w:gutter="720"/>
          <w:cols w:space="720"/>
        </w:sectPr>
      </w:pPr>
    </w:p>
    <w:p w14:paraId="4CE01EB7" w14:textId="0C376FF3" w:rsidR="00DD61B1" w:rsidRDefault="00021D54" w:rsidP="00021D54">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 </w:t>
      </w:r>
      <w:hyperlink w:anchor="victimasagresiondelmotivpir">
        <w:r>
          <w:fldChar w:fldCharType="begin"/>
        </w:r>
        <w:r>
          <w:instrText xml:space="preserve"> REF victimasagresiondelmotivpir \h</w:instrText>
        </w:r>
        <w:r>
          <w:fldChar w:fldCharType="separate"/>
        </w:r>
        <w:r w:rsidR="00775737">
          <w:rPr>
            <w:noProof/>
          </w:rPr>
          <w:t>9</w:t>
        </w:r>
        <w:r>
          <w:fldChar w:fldCharType="end"/>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w:t>
      </w:r>
      <w:r>
        <w:t xml:space="preserve">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w:t>
      </w:r>
      <w:r>
        <w:lastRenderedPageBreak/>
        <w:t>aceptan las relaciones de género en términos de igualdad.</w:t>
      </w:r>
    </w:p>
    <w:p w14:paraId="4CE01EB8" w14:textId="77777777" w:rsidR="00DD61B1" w:rsidRDefault="00021D54">
      <w:pPr>
        <w:jc w:val="center"/>
      </w:pPr>
      <w:r>
        <w:rPr>
          <w:noProof/>
        </w:rPr>
        <w:drawing>
          <wp:inline distT="0" distB="0" distL="0" distR="0" wp14:anchorId="4CE01EEF" wp14:editId="4CE01EF0">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4CE01EB9" w14:textId="1B0E80BA" w:rsidR="00DD61B1" w:rsidRDefault="00021D54">
      <w:pPr>
        <w:pStyle w:val="ImageCaption"/>
      </w:pPr>
      <w:r>
        <w:t xml:space="preserve">Gráfico </w:t>
      </w:r>
      <w:bookmarkStart w:id="17" w:name="victimasagresiondelmotivpir"/>
      <w:r>
        <w:fldChar w:fldCharType="begin"/>
      </w:r>
      <w:r>
        <w:instrText>SEQ fig \* Arabic</w:instrText>
      </w:r>
      <w:r>
        <w:fldChar w:fldCharType="separate"/>
      </w:r>
      <w:r w:rsidR="00775737">
        <w:rPr>
          <w:noProof/>
        </w:rPr>
        <w:t>9</w:t>
      </w:r>
      <w:r>
        <w:fldChar w:fldCharType="end"/>
      </w:r>
      <w:bookmarkEnd w:id="17"/>
      <w:r>
        <w:t>: Número víctimas de agresión discriminados según sexo y la motivación del delito.</w:t>
      </w:r>
    </w:p>
    <w:p w14:paraId="4CE01EBA" w14:textId="118BCF75" w:rsidR="00DD61B1" w:rsidRDefault="00021D54" w:rsidP="00021D54">
      <w:pPr>
        <w:pStyle w:val="Textoindependiente"/>
      </w:pPr>
      <w:r>
        <w:t xml:space="preserve">Como se ha venido afirmando, de acuerdo con los roles socialmente desempeñados por ambos sexos, el Gráfico </w:t>
      </w:r>
      <w:hyperlink w:anchor="victimasagresiondeldondepir">
        <w:r>
          <w:fldChar w:fldCharType="begin"/>
        </w:r>
        <w:r>
          <w:instrText xml:space="preserve"> REF victimasagresiondeldondepir \h</w:instrText>
        </w:r>
        <w:r>
          <w:fldChar w:fldCharType="separate"/>
        </w:r>
        <w:r w:rsidR="00775737">
          <w:rPr>
            <w:noProof/>
          </w:rPr>
          <w:t>10</w:t>
        </w:r>
        <w:r>
          <w:fldChar w:fldCharType="end"/>
        </w:r>
      </w:hyperlink>
      <w:r>
        <w:t xml:space="preserve"> 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w:t>
      </w:r>
      <w:r>
        <w:t>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14:paraId="4CE01EBB" w14:textId="77777777" w:rsidR="00DD61B1" w:rsidRDefault="00021D54">
      <w:pPr>
        <w:jc w:val="center"/>
      </w:pPr>
      <w:r>
        <w:rPr>
          <w:noProof/>
        </w:rPr>
        <w:drawing>
          <wp:inline distT="0" distB="0" distL="0" distR="0" wp14:anchorId="4CE01EF1" wp14:editId="4CE01EF2">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4CE01EBC" w14:textId="5866D363" w:rsidR="00DD61B1" w:rsidRDefault="00021D54">
      <w:pPr>
        <w:pStyle w:val="ImageCaption"/>
      </w:pPr>
      <w:r>
        <w:t xml:space="preserve">Gráfico </w:t>
      </w:r>
      <w:bookmarkStart w:id="18" w:name="victimasagresiondeldondepir"/>
      <w:r>
        <w:fldChar w:fldCharType="begin"/>
      </w:r>
      <w:r>
        <w:instrText>SEQ fig \* Arabic</w:instrText>
      </w:r>
      <w:r>
        <w:fldChar w:fldCharType="separate"/>
      </w:r>
      <w:r w:rsidR="00775737">
        <w:rPr>
          <w:noProof/>
        </w:rPr>
        <w:t>10</w:t>
      </w:r>
      <w:r>
        <w:fldChar w:fldCharType="end"/>
      </w:r>
      <w:bookmarkEnd w:id="18"/>
      <w:r>
        <w:t>: Número víctimas de agresión discriminados según sexo y por el lugar donde ocurrió el delito.</w:t>
      </w:r>
    </w:p>
    <w:p w14:paraId="4CE01EBD"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BE" w14:textId="0E323609" w:rsidR="00DD61B1" w:rsidRDefault="00021D54">
      <w:pPr>
        <w:pStyle w:val="Ttulo1"/>
      </w:pPr>
      <w:bookmarkStart w:id="19" w:name="niñas-niños-y-adolescentes"/>
      <w:r>
        <w:t>Niñas, niños y adolescentes</w:t>
      </w:r>
      <w:bookmarkEnd w:id="19"/>
    </w:p>
    <w:p w14:paraId="4CE01EBF" w14:textId="3C23BC56" w:rsidR="00DD61B1" w:rsidRDefault="00021D54">
      <w:pPr>
        <w:pStyle w:val="Ttulo2"/>
      </w:pPr>
      <w:bookmarkStart w:id="20" w:name="características-y-tipo-de-delito"/>
      <w:r>
        <w:t>Características y tipo de delito</w:t>
      </w:r>
      <w:bookmarkEnd w:id="20"/>
    </w:p>
    <w:p w14:paraId="4CE01EC0" w14:textId="77777777" w:rsidR="00DD61B1" w:rsidRDefault="00DD61B1">
      <w:pPr>
        <w:sectPr w:rsidR="00DD61B1">
          <w:type w:val="continuous"/>
          <w:pgSz w:w="11952" w:h="16848"/>
          <w:pgMar w:top="1800" w:right="720" w:bottom="1800" w:left="720" w:header="720" w:footer="720" w:gutter="720"/>
          <w:cols w:space="720"/>
        </w:sectPr>
      </w:pPr>
    </w:p>
    <w:p w14:paraId="4CE01EC1" w14:textId="19288FED" w:rsidR="00DD61B1" w:rsidRDefault="00021D54" w:rsidP="00021D54">
      <w:pPr>
        <w:pStyle w:val="FirstParagraph"/>
      </w:pPr>
      <w:r>
        <w:t xml:space="preserve">La caracterización de las víctimas cuando son niños, niñas y adolescentes, permiten afirmar que los sucesos reportados en la prensa durante el primer semestre del año 2021 (Gráfico </w:t>
      </w:r>
      <w:hyperlink w:anchor="victimasdeledadsexopir">
        <w:r>
          <w:fldChar w:fldCharType="begin"/>
        </w:r>
        <w:r>
          <w:instrText xml:space="preserve"> REF victimasdeledadsexopir \h</w:instrText>
        </w:r>
        <w:r>
          <w:fldChar w:fldCharType="separate"/>
        </w:r>
        <w:r w:rsidR="00775737">
          <w:rPr>
            <w:noProof/>
          </w:rPr>
          <w:t>11</w:t>
        </w:r>
        <w:r>
          <w:fldChar w:fldCharType="end"/>
        </w:r>
      </w:hyperlink>
      <w:r>
        <w:t xml:space="preserve">), revelan </w:t>
      </w:r>
      <w:proofErr w:type="gramStart"/>
      <w:r>
        <w:t>que</w:t>
      </w:r>
      <w:proofErr w:type="gramEnd"/>
      <w:r>
        <w:t xml:space="preserv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14:paraId="4CE01EC2" w14:textId="77777777" w:rsidR="00DD61B1" w:rsidRDefault="00021D54">
      <w:pPr>
        <w:jc w:val="center"/>
      </w:pPr>
      <w:r>
        <w:rPr>
          <w:noProof/>
        </w:rPr>
        <w:drawing>
          <wp:inline distT="0" distB="0" distL="0" distR="0" wp14:anchorId="4CE01EF3" wp14:editId="4CE01EF4">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4CE01EC3" w14:textId="4634F8AB" w:rsidR="00DD61B1" w:rsidRDefault="00021D54">
      <w:pPr>
        <w:pStyle w:val="ImageCaption"/>
      </w:pPr>
      <w:r>
        <w:t xml:space="preserve">Gráfico </w:t>
      </w:r>
      <w:bookmarkStart w:id="21" w:name="victimasdeledadsexopir"/>
      <w:r>
        <w:fldChar w:fldCharType="begin"/>
      </w:r>
      <w:r>
        <w:instrText>SEQ fig \* Arabic</w:instrText>
      </w:r>
      <w:r>
        <w:fldChar w:fldCharType="separate"/>
      </w:r>
      <w:r w:rsidR="00775737">
        <w:rPr>
          <w:noProof/>
        </w:rPr>
        <w:t>11</w:t>
      </w:r>
      <w:r>
        <w:fldChar w:fldCharType="end"/>
      </w:r>
      <w:bookmarkEnd w:id="21"/>
      <w:r>
        <w:t>: Número niñas, niños, adolescentes y jóvenes víctimas de delitos discriminados según sexo y edad.</w:t>
      </w:r>
    </w:p>
    <w:p w14:paraId="4CE01EC4" w14:textId="1792BA8A" w:rsidR="00DD61B1" w:rsidRDefault="00021D54" w:rsidP="00021D54">
      <w:pPr>
        <w:pStyle w:val="Textoindependiente"/>
      </w:pPr>
      <w:r>
        <w:t xml:space="preserve">Esa vulnerabilidad en el grupo femenino de 11 a 15 años, mencionado en el comentario anterior, confirma lo que se observa en el gráfico </w:t>
      </w:r>
      <w:hyperlink w:anchor="victimasexodelpir">
        <w:r>
          <w:fldChar w:fldCharType="begin"/>
        </w:r>
        <w:r>
          <w:instrText xml:space="preserve"> REF victimasexodelpir \h</w:instrText>
        </w:r>
        <w:r>
          <w:fldChar w:fldCharType="separate"/>
        </w:r>
        <w:r w:rsidR="00775737">
          <w:rPr>
            <w:noProof/>
          </w:rPr>
          <w:t>12</w:t>
        </w:r>
        <w:r>
          <w:fldChar w:fldCharType="end"/>
        </w:r>
      </w:hyperlink>
      <w:r>
        <w:t xml:space="preserve">, sobre los tipos de delitos a los que son sometidas las niñas y adolescentes, lo que resulta importante y puede encender las alarmas. Como ya se comentó en el gráfico </w:t>
      </w:r>
      <w:hyperlink w:anchor="victimasexodelpir">
        <w:r>
          <w:fldChar w:fldCharType="begin"/>
        </w:r>
        <w:r>
          <w:instrText xml:space="preserve"> REF victimasexodelpir \h</w:instrText>
        </w:r>
        <w:r>
          <w:fldChar w:fldCharType="separate"/>
        </w:r>
        <w:r w:rsidR="00775737">
          <w:rPr>
            <w:noProof/>
          </w:rPr>
          <w:t>12</w:t>
        </w:r>
        <w:r>
          <w:fldChar w:fldCharType="end"/>
        </w:r>
      </w:hyperlink>
      <w:r>
        <w:t xml:space="preserve">, son personas del sexo femenino las más victimizadas y el tipo de delito más producido contra ellas es la violación sexual, en casi 80 </w:t>
      </w:r>
      <w:r>
        <w:lastRenderedPageBreak/>
        <w:t>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14:paraId="4CE01EC5" w14:textId="77777777" w:rsidR="00DD61B1" w:rsidRDefault="00021D54">
      <w:pPr>
        <w:jc w:val="center"/>
      </w:pPr>
      <w:r>
        <w:rPr>
          <w:noProof/>
        </w:rPr>
        <w:drawing>
          <wp:inline distT="0" distB="0" distL="0" distR="0" wp14:anchorId="4CE01EF5" wp14:editId="4CE01EF6">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4CE01EC6" w14:textId="16E218F8" w:rsidR="00DD61B1" w:rsidRDefault="00021D54">
      <w:pPr>
        <w:pStyle w:val="ImageCaption"/>
      </w:pPr>
      <w:r>
        <w:t xml:space="preserve">Gráfico </w:t>
      </w:r>
      <w:bookmarkStart w:id="22" w:name="victimasexodelpir"/>
      <w:r>
        <w:fldChar w:fldCharType="begin"/>
      </w:r>
      <w:r>
        <w:instrText>SEQ fig \* Arabic</w:instrText>
      </w:r>
      <w:r>
        <w:fldChar w:fldCharType="separate"/>
      </w:r>
      <w:r w:rsidR="00775737">
        <w:rPr>
          <w:noProof/>
        </w:rPr>
        <w:t>12</w:t>
      </w:r>
      <w:r>
        <w:fldChar w:fldCharType="end"/>
      </w:r>
      <w:bookmarkEnd w:id="22"/>
      <w:r>
        <w:t>: Número niñas, niños, adolescentes y jóvenes víctimas de delitos discriminados según sexo y tipo de delito.</w:t>
      </w:r>
    </w:p>
    <w:p w14:paraId="4CE01EC7"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C8" w14:textId="228871E6" w:rsidR="00DD61B1" w:rsidRDefault="00021D54">
      <w:pPr>
        <w:pStyle w:val="Ttulo2"/>
      </w:pPr>
      <w:bookmarkStart w:id="23" w:name="los-victimarios"/>
      <w:r>
        <w:t>Los victimarios</w:t>
      </w:r>
      <w:bookmarkEnd w:id="23"/>
    </w:p>
    <w:p w14:paraId="4CE01EC9" w14:textId="77777777" w:rsidR="00DD61B1" w:rsidRDefault="00DD61B1">
      <w:pPr>
        <w:sectPr w:rsidR="00DD61B1">
          <w:type w:val="continuous"/>
          <w:pgSz w:w="11952" w:h="16848"/>
          <w:pgMar w:top="1800" w:right="720" w:bottom="1800" w:left="720" w:header="720" w:footer="720" w:gutter="720"/>
          <w:cols w:space="720"/>
        </w:sectPr>
      </w:pPr>
    </w:p>
    <w:p w14:paraId="4CE01ECA" w14:textId="77777777" w:rsidR="00DD61B1" w:rsidRDefault="00021D54" w:rsidP="00021D54">
      <w:pPr>
        <w:pStyle w:val="FirstParagraph"/>
      </w:pPr>
      <w:r>
        <w:t>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14:paraId="4CE01ECB" w14:textId="77777777" w:rsidR="00DD61B1" w:rsidRDefault="00021D54">
      <w:pPr>
        <w:jc w:val="center"/>
      </w:pPr>
      <w:r>
        <w:rPr>
          <w:noProof/>
        </w:rPr>
        <w:drawing>
          <wp:inline distT="0" distB="0" distL="0" distR="0" wp14:anchorId="4CE01EF7" wp14:editId="4CE01EF8">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4CE01ECC" w14:textId="1E712AEA" w:rsidR="00DD61B1" w:rsidRDefault="00021D54">
      <w:pPr>
        <w:pStyle w:val="ImageCaption"/>
      </w:pPr>
      <w:r>
        <w:t xml:space="preserve">Gráfico </w:t>
      </w:r>
      <w:bookmarkStart w:id="24" w:name="victimasexodelvictimariorelpir"/>
      <w:r>
        <w:fldChar w:fldCharType="begin"/>
      </w:r>
      <w:r>
        <w:instrText>SEQ fig \* Arabic</w:instrText>
      </w:r>
      <w:r>
        <w:fldChar w:fldCharType="separate"/>
      </w:r>
      <w:r w:rsidR="00775737">
        <w:rPr>
          <w:noProof/>
        </w:rPr>
        <w:t>13</w:t>
      </w:r>
      <w:r>
        <w:fldChar w:fldCharType="end"/>
      </w:r>
      <w:bookmarkEnd w:id="24"/>
      <w:r>
        <w:t>: Número niñas, niños, adolescentes y jóvenes víctimas de delitos discriminados según sexo y tipo de victimario.</w:t>
      </w:r>
    </w:p>
    <w:p w14:paraId="4CE01ECD" w14:textId="778B7151" w:rsidR="00DD61B1" w:rsidRDefault="00021D54" w:rsidP="00021D54">
      <w:pPr>
        <w:pStyle w:val="Textoindependiente"/>
      </w:pPr>
      <w:r>
        <w:t xml:space="preserve">Si profundizamos en las características relacionales de las víctimas con sus mayores victimarios que son personas conocidas, se observa que los datos reportados y visualizados en el gráfico </w:t>
      </w:r>
      <w:hyperlink w:anchor="victimasexodelvictimarioconpir">
        <w:r>
          <w:fldChar w:fldCharType="begin"/>
        </w:r>
        <w:r>
          <w:instrText xml:space="preserve"> REF victimasexodelvictimarioconpir \h</w:instrText>
        </w:r>
        <w:r>
          <w:fldChar w:fldCharType="separate"/>
        </w:r>
        <w:r w:rsidR="00775737">
          <w:rPr>
            <w:noProof/>
          </w:rPr>
          <w:t>14</w:t>
        </w:r>
        <w:r>
          <w:fldChar w:fldCharType="end"/>
        </w:r>
      </w:hyperlink>
      <w:r>
        <w:t>,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14:paraId="4CE01ECE" w14:textId="77777777" w:rsidR="00DD61B1" w:rsidRDefault="00021D54">
      <w:pPr>
        <w:jc w:val="center"/>
      </w:pPr>
      <w:r>
        <w:rPr>
          <w:noProof/>
        </w:rPr>
        <w:drawing>
          <wp:inline distT="0" distB="0" distL="0" distR="0" wp14:anchorId="4CE01EF9" wp14:editId="4CE01EFA">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38100" cy="26670"/>
                    </a:xfrm>
                    <a:prstGeom prst="rect">
                      <a:avLst/>
                    </a:prstGeom>
                    <a:noFill/>
                  </pic:spPr>
                </pic:pic>
              </a:graphicData>
            </a:graphic>
          </wp:inline>
        </w:drawing>
      </w:r>
    </w:p>
    <w:p w14:paraId="4CE01ECF" w14:textId="07F23A3D" w:rsidR="00DD61B1" w:rsidRDefault="00021D54">
      <w:pPr>
        <w:pStyle w:val="ImageCaption"/>
      </w:pPr>
      <w:r>
        <w:t xml:space="preserve">Gráfico </w:t>
      </w:r>
      <w:bookmarkStart w:id="25" w:name="victimasexodelvictimarioconpir"/>
      <w:r>
        <w:fldChar w:fldCharType="begin"/>
      </w:r>
      <w:r>
        <w:instrText>SEQ fig \* Arabic</w:instrText>
      </w:r>
      <w:r>
        <w:fldChar w:fldCharType="separate"/>
      </w:r>
      <w:r w:rsidR="00775737">
        <w:rPr>
          <w:noProof/>
        </w:rPr>
        <w:t>14</w:t>
      </w:r>
      <w:r>
        <w:fldChar w:fldCharType="end"/>
      </w:r>
      <w:bookmarkEnd w:id="25"/>
      <w:r>
        <w:t>: Número niñas, niños, adolescentes y jóvenes víctimas de delitos discriminados según sexo y relacion con el victimario.</w:t>
      </w:r>
    </w:p>
    <w:p w14:paraId="4CE01ED0"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D1" w14:textId="3873B7EB" w:rsidR="00DD61B1" w:rsidRDefault="00021D54">
      <w:pPr>
        <w:pStyle w:val="Ttulo1"/>
      </w:pPr>
      <w:bookmarkStart w:id="26" w:name="para-reflexionar"/>
      <w:r>
        <w:t>Para reflexionar</w:t>
      </w:r>
      <w:bookmarkEnd w:id="26"/>
    </w:p>
    <w:p w14:paraId="4CE01ED2" w14:textId="77777777" w:rsidR="00DD61B1" w:rsidRDefault="00DD61B1">
      <w:pPr>
        <w:sectPr w:rsidR="00DD61B1">
          <w:type w:val="continuous"/>
          <w:pgSz w:w="11952" w:h="16848"/>
          <w:pgMar w:top="1800" w:right="720" w:bottom="1800" w:left="720" w:header="720" w:footer="720" w:gutter="720"/>
          <w:cols w:space="720"/>
        </w:sectPr>
      </w:pPr>
    </w:p>
    <w:p w14:paraId="4CE01ED3" w14:textId="3B871581" w:rsidR="00DD61B1" w:rsidRDefault="00021D54" w:rsidP="00021D54">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 (Galtung, </w:t>
      </w:r>
      <w:hyperlink w:anchor="ref-Galtung2016">
        <w:r>
          <w:rPr>
            <w:rStyle w:val="Hipervnculo"/>
          </w:rPr>
          <w:t>2016</w:t>
        </w:r>
      </w:hyperlink>
      <w:r>
        <w:t xml:space="preserve">). El </w:t>
      </w:r>
      <w:r>
        <w:t xml:space="preserve">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w:t>
      </w:r>
      <w:r>
        <w:lastRenderedPageBreak/>
        <w:t>sobre la responsabilidad compartida de parte de todos los actores sociales, a fin de disminuir o eliminar los factores de riesgo y propiciar un ambiente de seguridad ciudadana.</w:t>
      </w:r>
    </w:p>
    <w:p w14:paraId="4CE01ED4" w14:textId="77777777" w:rsidR="00DD61B1" w:rsidRDefault="00021D54" w:rsidP="00021D54">
      <w:pPr>
        <w:pStyle w:val="Textoindependiente"/>
      </w:pPr>
      <w:r>
        <w:t>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14:paraId="4CE01ED5" w14:textId="77777777" w:rsidR="00DD61B1" w:rsidRDefault="00021D54" w:rsidP="00021D54">
      <w:pPr>
        <w:pStyle w:val="Textoindependiente"/>
      </w:pPr>
      <w:r>
        <w:t>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14:paraId="4CE01ED6" w14:textId="77777777" w:rsidR="00DD61B1" w:rsidRDefault="00021D54" w:rsidP="00021D54">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w:t>
      </w:r>
      <w:r>
        <w:t>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14:paraId="4CE01ED7" w14:textId="77777777" w:rsidR="00DD61B1" w:rsidRDefault="00021D54" w:rsidP="00021D54">
      <w:pPr>
        <w:pStyle w:val="Textoindependiente"/>
      </w:pPr>
      <w:r>
        <w:t>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14:paraId="4CE01ED8" w14:textId="77777777" w:rsidR="00DD61B1" w:rsidRPr="00021D54" w:rsidRDefault="00DD61B1">
      <w:pPr>
        <w:rPr>
          <w:lang w:val="es-VE"/>
        </w:rPr>
        <w:sectPr w:rsidR="00DD61B1" w:rsidRPr="00021D54">
          <w:type w:val="continuous"/>
          <w:pgSz w:w="11952" w:h="16848"/>
          <w:pgMar w:top="1800" w:right="720" w:bottom="1800" w:left="720" w:header="720" w:footer="720" w:gutter="720"/>
          <w:cols w:num="2" w:sep="1" w:space="288" w:equalWidth="0">
            <w:col w:w="4320" w:space="288"/>
            <w:col w:w="4320"/>
          </w:cols>
        </w:sectPr>
      </w:pPr>
    </w:p>
    <w:p w14:paraId="4CE01ED9" w14:textId="06A84365" w:rsidR="00DD61B1" w:rsidRDefault="00021D54">
      <w:pPr>
        <w:pStyle w:val="Ttulo1"/>
      </w:pPr>
      <w:bookmarkStart w:id="27" w:name="referencias"/>
      <w:r>
        <w:t>Referencias</w:t>
      </w:r>
      <w:bookmarkEnd w:id="27"/>
    </w:p>
    <w:p w14:paraId="4CE01EDA" w14:textId="4850D10D" w:rsidR="00DD61B1" w:rsidRPr="00021D54" w:rsidRDefault="00021D54" w:rsidP="00021D54">
      <w:pPr>
        <w:pStyle w:val="Bibliografa"/>
      </w:pPr>
      <w:bookmarkStart w:id="28" w:name="ref-Galtung2016"/>
      <w:bookmarkStart w:id="29" w:name="refs"/>
      <w:r w:rsidRPr="00021D54">
        <w:t xml:space="preserve">Galtung, J. (2016). La violencia: cultural, estructural y directa. Cuadernos de estrategia, (183), 147–168. </w:t>
      </w:r>
      <w:proofErr w:type="spellStart"/>
      <w:r w:rsidRPr="00021D54">
        <w:t>Retrieved</w:t>
      </w:r>
      <w:proofErr w:type="spellEnd"/>
      <w:r w:rsidRPr="00021D54">
        <w:t xml:space="preserve"> </w:t>
      </w:r>
      <w:proofErr w:type="spellStart"/>
      <w:r w:rsidRPr="00021D54">
        <w:t>from</w:t>
      </w:r>
      <w:proofErr w:type="spellEnd"/>
      <w:r w:rsidRPr="00021D54">
        <w:t xml:space="preserve"> </w:t>
      </w:r>
      <w:hyperlink r:id="rId23">
        <w:r w:rsidRPr="00021D54">
          <w:rPr>
            <w:rStyle w:val="Hipervnculo"/>
            <w:color w:val="auto"/>
          </w:rPr>
          <w:t>https://dialnet.unirioja.es/servlet/articulo?codigo=5832797</w:t>
        </w:r>
      </w:hyperlink>
    </w:p>
    <w:p w14:paraId="4CE01EDB" w14:textId="5F70BBBC" w:rsidR="00DD61B1" w:rsidRPr="00B75264" w:rsidRDefault="00021D54" w:rsidP="00021D54">
      <w:pPr>
        <w:pStyle w:val="Bibliografa"/>
        <w:rPr>
          <w:lang w:val="en-US"/>
        </w:rPr>
      </w:pPr>
      <w:bookmarkStart w:id="30" w:name="ref-LACSO-OVV2020"/>
      <w:bookmarkEnd w:id="28"/>
      <w:r w:rsidRPr="00775737">
        <w:t xml:space="preserve">LACSO-OVV. (2020). Informe Anual de Violencia 2020 – Entre las epidemias de la Violencia y del Covid-19 - Observatorio Venezolano de Violencia. </w:t>
      </w:r>
      <w:r w:rsidRPr="00B75264">
        <w:rPr>
          <w:lang w:val="en-US"/>
        </w:rPr>
        <w:t xml:space="preserve">Retrieved October 26, 2021, from </w:t>
      </w:r>
      <w:hyperlink r:id="rId24">
        <w:r w:rsidRPr="00B75264">
          <w:rPr>
            <w:rStyle w:val="Hipervnculo"/>
            <w:lang w:val="en-US"/>
          </w:rPr>
          <w:t>https://observatoriodeviolencia.org.ve/news/informe-anual-de-violencia-2020-entre-las-epidemias-de-la-violencia-y-del-covid-19/</w:t>
        </w:r>
      </w:hyperlink>
    </w:p>
    <w:p w14:paraId="4CE01EDC" w14:textId="02DEF73D" w:rsidR="00DD61B1" w:rsidRPr="00B75264" w:rsidRDefault="00021D54" w:rsidP="00021D54">
      <w:pPr>
        <w:pStyle w:val="Bibliografa"/>
        <w:rPr>
          <w:lang w:val="en-US"/>
        </w:rPr>
      </w:pPr>
      <w:bookmarkStart w:id="31" w:name="ref-UNODC2015"/>
      <w:bookmarkEnd w:id="30"/>
      <w:r w:rsidRPr="00775737">
        <w:t xml:space="preserve">UNODC. (2015). </w:t>
      </w:r>
      <w:r w:rsidRPr="00775737">
        <w:rPr>
          <w:i/>
        </w:rPr>
        <w:t xml:space="preserve">Clasificación internacional de delitos con fines </w:t>
      </w:r>
      <w:proofErr w:type="spellStart"/>
      <w:r w:rsidRPr="00775737">
        <w:rPr>
          <w:i/>
        </w:rPr>
        <w:t>estidísticos</w:t>
      </w:r>
      <w:proofErr w:type="spellEnd"/>
      <w:r w:rsidRPr="00775737">
        <w:t xml:space="preserve"> (p. 148). Viena: Oficina de las Naciones Unidas Contra La Droga y el Delito. </w:t>
      </w:r>
      <w:r w:rsidRPr="00B75264">
        <w:rPr>
          <w:lang w:val="en-US"/>
        </w:rPr>
        <w:t xml:space="preserve">Retrieved from </w:t>
      </w:r>
      <w:hyperlink r:id="rId25">
        <w:r w:rsidRPr="00B75264">
          <w:rPr>
            <w:rStyle w:val="Hipervnculo"/>
            <w:lang w:val="en-US"/>
          </w:rPr>
          <w:t>https://www.unodc.org/documents/data-and-analysis/statistics/crime/ICCS/ICCS_SPANISH_2016_web.pdf</w:t>
        </w:r>
      </w:hyperlink>
      <w:bookmarkEnd w:id="29"/>
      <w:bookmarkEnd w:id="31"/>
    </w:p>
    <w:sectPr w:rsidR="00DD61B1" w:rsidRPr="00B75264">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0048" w14:textId="77777777" w:rsidR="00D274A0" w:rsidRDefault="00D274A0">
      <w:pPr>
        <w:spacing w:after="0"/>
      </w:pPr>
      <w:r>
        <w:separator/>
      </w:r>
    </w:p>
  </w:endnote>
  <w:endnote w:type="continuationSeparator" w:id="0">
    <w:p w14:paraId="0CE29CBA" w14:textId="77777777" w:rsidR="00D274A0" w:rsidRDefault="00D274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E91DA" w14:textId="77777777" w:rsidR="00D274A0" w:rsidRDefault="00D274A0">
      <w:r>
        <w:separator/>
      </w:r>
    </w:p>
  </w:footnote>
  <w:footnote w:type="continuationSeparator" w:id="0">
    <w:p w14:paraId="4ED12A86" w14:textId="77777777" w:rsidR="00D274A0" w:rsidRDefault="00D274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D54"/>
    <w:rsid w:val="004E29B3"/>
    <w:rsid w:val="00590D07"/>
    <w:rsid w:val="00775737"/>
    <w:rsid w:val="00776C3A"/>
    <w:rsid w:val="00784D58"/>
    <w:rsid w:val="008D6863"/>
    <w:rsid w:val="00B75264"/>
    <w:rsid w:val="00B86B75"/>
    <w:rsid w:val="00BC48D5"/>
    <w:rsid w:val="00C36279"/>
    <w:rsid w:val="00D274A0"/>
    <w:rsid w:val="00DD61B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1E82"/>
  <w15:docId w15:val="{93CB6F61-42C1-43FD-A76B-8AF0172B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nodc.org/documents/data-and-analysis/statistics/crime/ICCS/ICCS_SPANISH_2016_web.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servatoriodeviolencia.org.ve/news/informe-anual-de-violencia-2020-entre-las-epidemias-de-la-violencia-y-del-covid-1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alnet.unirioja.es/servlet/articulo?codigo=583279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E8A8-7EB1-4F60-AE49-758C6501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4068</Words>
  <Characters>22380</Characters>
  <Application>Microsoft Office Word</Application>
  <DocSecurity>0</DocSecurity>
  <Lines>186</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cp:keywords/>
  <dc:description/>
  <cp:lastModifiedBy>Adrián González</cp:lastModifiedBy>
  <cp:revision>4</cp:revision>
  <dcterms:created xsi:type="dcterms:W3CDTF">2021-10-30T14:09:00Z</dcterms:created>
  <dcterms:modified xsi:type="dcterms:W3CDTF">2021-10-30T22:15:00Z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apa-5th-edition.csl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