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4.png" ContentType="image/png"/>
  <Override PartName="/word/media/rId32.png" ContentType="image/png"/>
  <Override PartName="/word/media/rId28.png" ContentType="image/png"/>
  <Override PartName="/word/media/rId36.png" ContentType="image/png"/>
  <Override PartName="/word/media/rId37.png" ContentType="image/png"/>
  <Override PartName="/word/media/rId24.png" ContentType="image/png"/>
  <Override PartName="/word/media/rId25.png" ContentType="image/png"/>
  <Override PartName="/word/media/rId34.png" ContentType="image/png"/>
  <Override PartName="/word/media/rId33.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BodyText"/>
      </w:pPr>
      <w:r>
        <w:t xml:space="preserve">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Así puede observarse en la gráfica</w:t>
      </w:r>
      <w:r>
        <w:t xml:space="preserve"> </w:t>
      </w:r>
      <w:r>
        <w:t xml:space="preserve">2.1</w:t>
      </w:r>
      <w:r>
        <w:t xml:space="preserve"> </w:t>
      </w:r>
      <w:r>
        <w:t xml:space="preserve">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aptionedFigure"/>
      </w:pPr>
      <w:r>
        <w:drawing>
          <wp:inline>
            <wp:extent cx="5334000" cy="3333749"/>
            <wp:effectExtent b="0" l="0" r="0" t="0"/>
            <wp:docPr descr="Gráfico 2.1: Número víctimas por homicidio intencional discriminadas según edad y sexo." title="" id="1" name="Picture"/>
            <a:graphic>
              <a:graphicData uri="http://schemas.openxmlformats.org/drawingml/2006/picture">
                <pic:pic>
                  <pic:nvPicPr>
                    <pic:cNvPr descr="images/victimasdelhi_piramide.png" id="0" name="Picture"/>
                    <pic:cNvPicPr>
                      <a:picLocks noChangeArrowheads="1" noChangeAspect="1"/>
                    </pic:cNvPicPr>
                  </pic:nvPicPr>
                  <pic:blipFill>
                    <a:blip r:embed="rId2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2.1: Número víctimas por homicidio intencional discriminadas según edad y sexo.</w:t>
      </w:r>
    </w:p>
    <w:p>
      <w:pPr>
        <w:pStyle w:val="BodyText"/>
      </w:pPr>
      <w:r>
        <w:t xml:space="preserve">Esto merece atención por cuanto al ver en el grafico</w:t>
      </w:r>
      <w:r>
        <w:t xml:space="preserve"> </w:t>
      </w:r>
      <w:r>
        <w:t xml:space="preserve">2.2</w:t>
      </w:r>
      <w:r>
        <w:t xml:space="preserve">,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pPr>
        <w:pStyle w:val="CaptionedFigure"/>
      </w:pPr>
      <w:r>
        <w:drawing>
          <wp:inline>
            <wp:extent cx="5334000" cy="3333749"/>
            <wp:effectExtent b="0" l="0" r="0" t="0"/>
            <wp:docPr descr="Gráfico 2.2: Número víctimas por homicidio intencional discriminadas según el sexo y la motivación del delito." title="" id="1" name="Picture"/>
            <a:graphic>
              <a:graphicData uri="http://schemas.openxmlformats.org/drawingml/2006/picture">
                <pic:pic>
                  <pic:nvPicPr>
                    <pic:cNvPr descr="images/victimasdelhimotiv_graf.png" id="0"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2.2: Número víctimas por homicidio intencional discriminadas según el sexo y la motivación del delito.</w:t>
      </w:r>
    </w:p>
    <w:p>
      <w:pPr>
        <w:pStyle w:val="Heading2"/>
      </w:pPr>
      <w:bookmarkStart w:id="26" w:name="muertes-por-intervención-policial-mip"/>
      <w:r>
        <w:t xml:space="preserve">2.2	Muertes por intervención policial (MIP)</w:t>
      </w:r>
      <w:bookmarkEnd w:id="26"/>
    </w:p>
    <w:p>
      <w:pPr>
        <w:pStyle w:val="FirstParagraph"/>
      </w:pPr>
      <w:r>
        <w:t xml:space="preserve">Las muertes por intervención policial informadas durante este semestre (gráfico</w:t>
      </w:r>
      <w:r>
        <w:t xml:space="preserve"> </w:t>
      </w:r>
      <w:r>
        <w:t xml:space="preserve">2.3</w:t>
      </w:r>
      <w:r>
        <w:t xml:space="preserve">),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Allí se puede apreciar, que las muertes violentas producto de HI casi se duplican mientras que la letalidad policial, prácticamente, permanece invariable hasta el momento.</w:t>
      </w:r>
    </w:p>
    <w:p>
      <w:pPr>
        <w:pStyle w:val="CaptionedFigure"/>
      </w:pPr>
      <w:r>
        <w:drawing>
          <wp:inline>
            <wp:extent cx="5334000" cy="3333749"/>
            <wp:effectExtent b="0" l="0" r="0" t="0"/>
            <wp:docPr descr="Gráfico 2.3: Número de muertes por intervención policial discriminados por edad y sexo." title="" id="1" name="Picture"/>
            <a:graphic>
              <a:graphicData uri="http://schemas.openxmlformats.org/drawingml/2006/picture">
                <pic:pic>
                  <pic:nvPicPr>
                    <pic:cNvPr descr="images/victimasmilsexoedad_piramide.png" id="0" name="Picture"/>
                    <pic:cNvPicPr>
                      <a:picLocks noChangeArrowheads="1" noChangeAspect="1"/>
                    </pic:cNvPicPr>
                  </pic:nvPicPr>
                  <pic:blipFill>
                    <a:blip r:embed="rId2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2.3: Número de muertes por intervención policial discriminados por edad y sexo.</w:t>
      </w:r>
    </w:p>
    <w:p>
      <w:pPr>
        <w:pStyle w:val="BodyText"/>
      </w:pPr>
      <w:r>
        <w:t xml:space="preserve">El desglose de los organismos policiales vinculados a los homicidios reportados en prensa (gráfico</w:t>
      </w:r>
      <w:r>
        <w:t xml:space="preserve"> </w:t>
      </w:r>
      <w:r>
        <w:t xml:space="preserve">2.4</w:t>
      </w:r>
      <w:r>
        <w:t xml:space="preserve">), indica que en por lo menos 160 sucesos conocidos, estuvo involucrada la policía estadal en 35%, seguidos por la PNB y el CICPC en casi 100 casos cada uno, para un 20% respectivamente, siendo los cuerpos menos involucrados la policía municipal y las FANB.</w:t>
      </w:r>
    </w:p>
    <w:p>
      <w:pPr>
        <w:pStyle w:val="CaptionedFigure"/>
      </w:pPr>
      <w:r>
        <w:drawing>
          <wp:inline>
            <wp:extent cx="5334000" cy="3333749"/>
            <wp:effectExtent b="0" l="0" r="0" t="0"/>
            <wp:docPr descr="Gráfico 2.4: Número y proporción de sucesos asociados a muertes por intervención policial discriminados según el cuerpo de seguridad involucrado." title="" id="1" name="Picture"/>
            <a:graphic>
              <a:graphicData uri="http://schemas.openxmlformats.org/drawingml/2006/picture">
                <pic:pic>
                  <pic:nvPicPr>
                    <pic:cNvPr descr="images/sucesospol_barras.png" id="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2.4: Número y proporción de sucesos asociados a muertes por intervención policial discriminados según el cuerpo de seguridad involucrado.</w:t>
      </w:r>
    </w:p>
    <w:p>
      <w:pPr>
        <w:pStyle w:val="Heading1"/>
      </w:pPr>
      <w:bookmarkStart w:id="29" w:name="violencia-no-letal"/>
      <w:r>
        <w:t xml:space="preserve">3	Violencia no letal</w:t>
      </w:r>
      <w:bookmarkEnd w:id="29"/>
    </w:p>
    <w:p>
      <w:pPr>
        <w:pStyle w:val="Heading2"/>
      </w:pPr>
      <w:bookmarkStart w:id="30" w:name="X88b8ba423618179d24b2617875c1d3543e57585"/>
      <w:r>
        <w:t xml:space="preserve">3.1	Otros delitos distintos a homicido intencional (HI)</w:t>
      </w:r>
      <w:bookmarkEnd w:id="30"/>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(gráfico</w:t>
      </w:r>
      <w:r>
        <w:t xml:space="preserve"> </w:t>
      </w:r>
      <w:r>
        <w:t xml:space="preserve">2.1</w:t>
      </w:r>
      <w:r>
        <w:t xml:space="preserve">), sorprendentemente en los grupos etarios entre 6 y 15 años, además del grupo de 46 a 50 años. Entre los hombres, es el grupo de hombres entre 11 y 40 años quienes son víctimas de estos delitos.</w:t>
      </w:r>
    </w:p>
    <w:p>
      <w:pPr>
        <w:pStyle w:val="CaptionedFigure"/>
      </w:pPr>
      <w:r>
        <w:drawing>
          <wp:inline>
            <wp:extent cx="5334000" cy="3333749"/>
            <wp:effectExtent b="0" l="0" r="0" t="0"/>
            <wp:docPr descr="Gráfico 3.1: Número víctimas por homicidio intencional discriminadas según edad y sexo." title="" id="1" name="Picture"/>
            <a:graphic>
              <a:graphicData uri="http://schemas.openxmlformats.org/drawingml/2006/picture">
                <pic:pic>
                  <pic:nvPicPr>
                    <pic:cNvPr descr="images/victimasodel_piramide.png" id="0" name="Picture"/>
                    <pic:cNvPicPr>
                      <a:picLocks noChangeArrowheads="1" noChangeAspect="1"/>
                    </pic:cNvPicPr>
                  </pic:nvPicPr>
                  <pic:blipFill>
                    <a:blip r:embed="rId3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3.1: Número víctimas por homicidio intencional discriminadas según edad y sexo.</w:t>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CaptionedFigure"/>
      </w:pPr>
      <w:r>
        <w:drawing>
          <wp:inline>
            <wp:extent cx="5334000" cy="3333749"/>
            <wp:effectExtent b="0" l="0" r="0" t="0"/>
            <wp:docPr descr="Gráfico 3.2: Número y proporción de sucesos asociados a otros delitos distintos de homicidio intencional discriminados según el tipo de delito." title="" id="1" name="Picture"/>
            <a:graphic>
              <a:graphicData uri="http://schemas.openxmlformats.org/drawingml/2006/picture">
                <pic:pic>
                  <pic:nvPicPr>
                    <pic:cNvPr descr="images/sucesosotrosdel_barras.png" id="0" name="Picture"/>
                    <pic:cNvPicPr>
                      <a:picLocks noChangeArrowheads="1" noChangeAspect="1"/>
                    </pic:cNvPicPr>
                  </pic:nvPicPr>
                  <pic:blipFill>
                    <a:blip r:embed="rId3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3.2: Número y proporción de sucesos asociados a otros delitos distintos de homicidio intencional discriminados según el tipo de delito.</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3.2</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CaptionedFigure"/>
      </w:pPr>
      <w:r>
        <w:drawing>
          <wp:inline>
            <wp:extent cx="5334000" cy="3333749"/>
            <wp:effectExtent b="0" l="0" r="0" t="0"/>
            <wp:docPr descr="Gráfico 3.3: Número víctimas de otros delitos distintos a homicidio intencional discriminados según sexo y tipo de delito." title="" id="1" name="Picture"/>
            <a:graphic>
              <a:graphicData uri="http://schemas.openxmlformats.org/drawingml/2006/picture">
                <pic:pic>
                  <pic:nvPicPr>
                    <pic:cNvPr descr="images/victimasexotrosdel_graf.png" id="0"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3.3: Número víctimas de otros delitos distintos a homicidio intencional discriminados según sexo y tipo de delito.</w:t>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CaptionedFigure"/>
      </w:pPr>
      <w:r>
        <w:drawing>
          <wp:inline>
            <wp:extent cx="5334000" cy="3333749"/>
            <wp:effectExtent b="0" l="0" r="0" t="0"/>
            <wp:docPr descr="Gráfico 3.4: Número víctimas de otros delitos distintos a homicidio intencional discriminados según sexo y actividad a la que se dedica la víctima." title="" id="1" name="Picture"/>
            <a:graphic>
              <a:graphicData uri="http://schemas.openxmlformats.org/drawingml/2006/picture">
                <pic:pic>
                  <pic:nvPicPr>
                    <pic:cNvPr descr="images/victimasexodelactiv_graf.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3.4: Número víctimas de otros delitos distintos a homicidio intencional discriminados según sexo y actividad a la que se dedica la víctima.</w:t>
      </w:r>
    </w:p>
    <w:p>
      <w:pPr>
        <w:pStyle w:val="Heading2"/>
      </w:pPr>
      <w:bookmarkStart w:id="35" w:name="víctimas-de-agresión"/>
      <w:r>
        <w:t xml:space="preserve">3.2	Víctimas de agresión</w:t>
      </w:r>
      <w:bookmarkEnd w:id="35"/>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 (gráfico</w:t>
      </w:r>
      <w:r>
        <w:t xml:space="preserve"> </w:t>
      </w:r>
      <w:r>
        <w:t xml:space="preserve">3.5</w:t>
      </w:r>
      <w:r>
        <w:t xml:space="preserve">).</w:t>
      </w:r>
    </w:p>
    <w:p>
      <w:pPr>
        <w:pStyle w:val="CaptionedFigure"/>
      </w:pPr>
      <w:r>
        <w:drawing>
          <wp:inline>
            <wp:extent cx="5334000" cy="3333749"/>
            <wp:effectExtent b="0" l="0" r="0" t="0"/>
            <wp:docPr descr="Gráfico 3.5: Número víctimas de agresión discriminados según sexo y la motivación del delito." title="" id="1" name="Picture"/>
            <a:graphic>
              <a:graphicData uri="http://schemas.openxmlformats.org/drawingml/2006/picture">
                <pic:pic>
                  <pic:nvPicPr>
                    <pic:cNvPr descr="images/victimasagresiondelmotiv_pir.png" id="0" name="Picture"/>
                    <pic:cNvPicPr>
                      <a:picLocks noChangeArrowheads="1" noChangeAspect="1"/>
                    </pic:cNvPicPr>
                  </pic:nvPicPr>
                  <pic:blipFill>
                    <a:blip r:embed="rId36"/>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3.5: Número víctimas de agresión discriminados según sexo y la motivación del delito.</w:t>
      </w:r>
    </w:p>
    <w:p>
      <w:pPr>
        <w:pStyle w:val="BodyText"/>
      </w:pPr>
      <w:r>
        <w:t xml:space="preserve">De acuerdo con los roles socialmente desempeñados por ambos sexos, la gráfica</w:t>
      </w:r>
      <w:r>
        <w:t xml:space="preserve"> </w:t>
      </w:r>
      <w:r>
        <w:t xml:space="preserve">3.6</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CaptionedFigure"/>
      </w:pPr>
      <w:r>
        <w:drawing>
          <wp:inline>
            <wp:extent cx="5334000" cy="3333749"/>
            <wp:effectExtent b="0" l="0" r="0" t="0"/>
            <wp:docPr descr="Gráfico 3.6: Número víctimas de agresión discriminados según sexo y por el lugar donde ocurrió el delito." title="" id="1" name="Picture"/>
            <a:graphic>
              <a:graphicData uri="http://schemas.openxmlformats.org/drawingml/2006/picture">
                <pic:pic>
                  <pic:nvPicPr>
                    <pic:cNvPr descr="images/victimasagresiondonde_grafico.png" id="0" name="Picture"/>
                    <pic:cNvPicPr>
                      <a:picLocks noChangeArrowheads="1" noChangeAspect="1"/>
                    </pic:cNvPicPr>
                  </pic:nvPicPr>
                  <pic:blipFill>
                    <a:blip r:embed="rId3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3.6: Número víctimas de agresión discriminados según sexo y por el lugar donde ocurrió el delito.</w:t>
      </w:r>
    </w:p>
    <w:p>
      <w:pPr>
        <w:pStyle w:val="Heading1"/>
      </w:pPr>
      <w:bookmarkStart w:id="38" w:name="niñas-niños-y-adolescentes"/>
      <w:r>
        <w:t xml:space="preserve">4	Niñas, niños y adolescentes</w:t>
      </w:r>
      <w:bookmarkEnd w:id="38"/>
    </w:p>
    <w:p>
      <w:pPr>
        <w:pStyle w:val="Heading2"/>
      </w:pPr>
      <w:bookmarkStart w:id="39" w:name="caracteríticas-y-tipo-de-delito"/>
      <w:r>
        <w:t xml:space="preserve">4.1	Caracteríticas y tipo de delito</w:t>
      </w:r>
      <w:bookmarkEnd w:id="39"/>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BodyText"/>
      </w:pPr>
      <w:r>
        <w:drawing>
          <wp:inline>
            <wp:extent cx="3696101" cy="3696101"/>
            <wp:effectExtent b="0" l="0" r="0" t="0"/>
            <wp:docPr descr="Gráfico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42" w:name="los-victimarios"/>
      <w:r>
        <w:t xml:space="preserve">4.2	Los victimarios</w:t>
      </w:r>
      <w:bookmarkEnd w:id="42"/>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BodyText"/>
      </w:pPr>
      <w:r>
        <w:drawing>
          <wp:inline>
            <wp:extent cx="3696101" cy="3696101"/>
            <wp:effectExtent b="0" l="0" r="0" t="0"/>
            <wp:docPr descr="Gráfico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3"/>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4.3</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Heading1"/>
      </w:pPr>
      <w:bookmarkStart w:id="45" w:name="para-reflexionar"/>
      <w:r>
        <w:t xml:space="preserve">5	Para reflexionar</w:t>
      </w:r>
      <w:bookmarkEnd w:id="45"/>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6" w:name="referencias"/>
      <w:r>
        <w:t xml:space="preserve">Referencias</w:t>
      </w:r>
      <w:bookmarkEnd w:id="46"/>
    </w:p>
    <w:bookmarkStart w:id="51" w:name="refs"/>
    <w:bookmarkStart w:id="48"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7">
        <w:r>
          <w:rPr>
            <w:rStyle w:val="Hyperlink"/>
          </w:rPr>
          <w:t xml:space="preserve">https://doi.org/ISSN 1697-6924</w:t>
        </w:r>
      </w:hyperlink>
      <w:r>
        <w:t xml:space="preserve">.</w:t>
      </w:r>
    </w:p>
    <w:bookmarkEnd w:id="48"/>
    <w:bookmarkStart w:id="50" w:name="ref-UNODC2015"/>
    <w:p>
      <w:pPr>
        <w:pStyle w:val="Bibliography"/>
      </w:pPr>
      <w:r>
        <w:t xml:space="preserve">UNODC. 2015. “Clasificación internacional de delitos con fines estidísticos.” Viena: Oficina de las Naciones Unidas Contra La Droga y el Delito.</w:t>
      </w:r>
      <w:r>
        <w:t xml:space="preserve"> </w:t>
      </w:r>
      <w:hyperlink r:id="rId49">
        <w:r>
          <w:rPr>
            <w:rStyle w:val="Hyperlink"/>
          </w:rPr>
          <w:t xml:space="preserve">https://www.unodc.org/documents/data-and-analysis/statistics/crime/ICCS/ICCS_SPANISH_2016_web.pdf</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2021-10-25T20:43:56Z</dcterms:created>
  <dcterms:modified xsi:type="dcterms:W3CDTF">2021-10-25T20:43:56Z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