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40.png" ContentType="image/png"/>
  <Override PartName="/word/media/rId4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BodyText"/>
      </w:pPr>
      <w:r>
        <w:drawing>
          <wp:inline>
            <wp:extent cx="2772075" cy="3696101"/>
            <wp:effectExtent b="0" l="0" r="0" t="0"/>
            <wp:docPr descr="Figura 2.1: Número víctimas por homicidio intencional." title="" id="1" name="Picture"/>
            <a:graphic>
              <a:graphicData uri="http://schemas.openxmlformats.org/drawingml/2006/picture">
                <pic:pic>
                  <pic:nvPicPr>
                    <pic:cNvPr descr="bookdown-boletinOVVS1_files/figure-docx/victimasvioletal-1.png" id="0" name="Picture"/>
                    <pic:cNvPicPr>
                      <a:picLocks noChangeArrowheads="1" noChangeAspect="1"/>
                    </pic:cNvPicPr>
                  </pic:nvPicPr>
                  <pic:blipFill>
                    <a:blip r:embed="rId24"/>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violetal)Número víctimas por homicidio intencional." title="" id="1" name="Picture"/>
            <a:graphic>
              <a:graphicData uri="http://schemas.openxmlformats.org/drawingml/2006/picture">
                <pic:pic>
                  <pic:nvPicPr>
                    <pic:cNvPr descr="bookdown-boletinOVVS1_files/figure-docx/victimasvioletal-2.png" id="0" name="Picture"/>
                    <pic:cNvPicPr>
                      <a:picLocks noChangeArrowheads="1" noChangeAspect="1"/>
                    </pic:cNvPicPr>
                  </pic:nvPicPr>
                  <pic:blipFill>
                    <a:blip r:embed="rId25"/>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Esto merece atención por cuanto al ver en el grafico</w:t>
      </w:r>
      <w:r>
        <w:t xml:space="preserve"> </w:t>
      </w:r>
      <w:r>
        <w:t xml:space="preserve">2.1</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 Allí se puede apreciar, que las muertes violentas producto de HI casi se duplican mientras que la letalidad policial, prácticamente, permanece invariable hasta el momento.</w:t>
      </w:r>
    </w:p>
    <w:p>
      <w:pPr>
        <w:pStyle w:val="BodyText"/>
      </w:pPr>
      <w:r>
        <w:drawing>
          <wp:inline>
            <wp:extent cx="2772075" cy="3696101"/>
            <wp:effectExtent b="0" l="0" r="0" t="0"/>
            <wp:docPr descr="Figura 2.3: Número víctimas y sucesos por intervención policial." title="" id="1" name="Picture"/>
            <a:graphic>
              <a:graphicData uri="http://schemas.openxmlformats.org/drawingml/2006/picture">
                <pic:pic>
                  <pic:nvPicPr>
                    <pic:cNvPr descr="bookdown-boletinOVVS1_files/figure-docx/victimasdelhimitiv-1.png" id="0" name="Picture"/>
                    <pic:cNvPicPr>
                      <a:picLocks noChangeArrowheads="1" noChangeAspect="1"/>
                    </pic:cNvPicPr>
                  </pic:nvPicPr>
                  <pic:blipFill>
                    <a:blip r:embed="rId27"/>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delhimitiv)Número víctimas y sucesos por intervención policial." title="" id="1" name="Picture"/>
            <a:graphic>
              <a:graphicData uri="http://schemas.openxmlformats.org/drawingml/2006/picture">
                <pic:pic>
                  <pic:nvPicPr>
                    <pic:cNvPr descr="bookdown-boletinOVVS1_files/figure-docx/victimasdelhimitiv-2.png" id="0" name="Picture"/>
                    <pic:cNvPicPr>
                      <a:picLocks noChangeArrowheads="1" noChangeAspect="1"/>
                    </pic:cNvPicPr>
                  </pic:nvPicPr>
                  <pic:blipFill>
                    <a:blip r:embed="rId28"/>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El desglose de los organismos policiales vinculados a los homicidios reportados en prensa, indica que en por lo menos 160 sucesos conocidos, estuvo involucrada la policía estadal en 35%, seguidos por la PNB y el CICPC en casi 100 casos cada uno, para un 20% respectivamente, siendo los cuerpos menos involucrados la policía municipal y las FANB.</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sorprendentemente en los grupos etarios entre 6 y 15 años, además del grupo de 46 a 50 años. Entre los hombres, es el grupo de hombres entre 11 y 40 años quienes son víctimas de estos delitos.</w:t>
      </w:r>
    </w:p>
    <w:p>
      <w:pPr>
        <w:pStyle w:val="BodyText"/>
      </w:pPr>
      <w:r>
        <w:drawing>
          <wp:inline>
            <wp:extent cx="2772075" cy="3696101"/>
            <wp:effectExtent b="0" l="0" r="0" t="0"/>
            <wp:docPr descr="Figura 3.1: Número víctimas y sucesos de otros delitos distintos a homicidio intencional." title="" id="1" name="Picture"/>
            <a:graphic>
              <a:graphicData uri="http://schemas.openxmlformats.org/drawingml/2006/picture">
                <pic:pic>
                  <pic:nvPicPr>
                    <pic:cNvPr descr="bookdown-boletinOVVS1_files/figure-docx/victimasodeledadsexopirgraf-1.png" id="0" name="Picture"/>
                    <pic:cNvPicPr>
                      <a:picLocks noChangeArrowheads="1" noChangeAspect="1"/>
                    </pic:cNvPicPr>
                  </pic:nvPicPr>
                  <pic:blipFill>
                    <a:blip r:embed="rId31"/>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odeledadsexopirgraf)Número víctimas y sucesos de otros delitos distintos a homicidio intencional." title="" id="1" name="Picture"/>
            <a:graphic>
              <a:graphicData uri="http://schemas.openxmlformats.org/drawingml/2006/picture">
                <pic:pic>
                  <pic:nvPicPr>
                    <pic:cNvPr descr="bookdown-boletinOVVS1_files/figure-docx/victimasodeledadsexopirgraf-2.png" id="0" name="Picture"/>
                    <pic:cNvPicPr>
                      <a:picLocks noChangeArrowheads="1" noChangeAspect="1"/>
                    </pic:cNvPicPr>
                  </pic:nvPicPr>
                  <pic:blipFill>
                    <a:blip r:embed="rId32"/>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3.3</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BodyText"/>
      </w:pPr>
      <w:r>
        <w:drawing>
          <wp:inline>
            <wp:extent cx="2772075" cy="3696101"/>
            <wp:effectExtent b="0" l="0" r="0" t="0"/>
            <wp:docPr descr="Figura 3.3: 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1.png" id="0" name="Picture"/>
                    <pic:cNvPicPr>
                      <a:picLocks noChangeArrowheads="1" noChangeAspect="1"/>
                    </pic:cNvPicPr>
                  </pic:nvPicPr>
                  <pic:blipFill>
                    <a:blip r:embed="rId33"/>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masodelsexopirgraf)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2.png" id="0" name="Picture"/>
                    <pic:cNvPicPr>
                      <a:picLocks noChangeArrowheads="1" noChangeAspect="1"/>
                    </pic:cNvPicPr>
                  </pic:nvPicPr>
                  <pic:blipFill>
                    <a:blip r:embed="rId34"/>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w:t>
      </w:r>
    </w:p>
    <w:p>
      <w:pPr>
        <w:pStyle w:val="BodyText"/>
      </w:pPr>
      <w:r>
        <w:drawing>
          <wp:inline>
            <wp:extent cx="2772075" cy="3696101"/>
            <wp:effectExtent b="0" l="0" r="0" t="0"/>
            <wp:docPr descr="Figura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6"/>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7"/>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De acuerdo con los roles socialmente desempeñados por ambos sexos, la gráfica</w:t>
      </w:r>
      <w:r>
        <w:t xml:space="preserve"> </w:t>
      </w:r>
      <w:r>
        <w:t xml:space="preserve">3.5</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BodyText"/>
      </w:pPr>
      <w:r>
        <w:drawing>
          <wp:inline>
            <wp:extent cx="2772075" cy="3696101"/>
            <wp:effectExtent b="0" l="0" r="0" t="0"/>
            <wp:docPr descr="Figura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0"/>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1"/>
                    <a:stretch>
                      <a:fillRect/>
                    </a:stretch>
                  </pic:blipFill>
                  <pic:spPr bwMode="auto">
                    <a:xfrm>
                      <a:off x="0" y="0"/>
                      <a:ext cx="2772075" cy="3696101"/>
                    </a:xfrm>
                    <a:prstGeom prst="rect">
                      <a:avLst/>
                    </a:prstGeom>
                    <a:noFill/>
                    <a:ln w="9525">
                      <a:noFill/>
                      <a:headEnd/>
                      <a:tailEnd/>
                    </a:ln>
                  </pic:spPr>
                </pic:pic>
              </a:graphicData>
            </a:graphic>
          </wp:inline>
        </w:drawing>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BodyText"/>
      </w:pPr>
      <w:r>
        <w:drawing>
          <wp:inline>
            <wp:extent cx="2772075" cy="3696101"/>
            <wp:effectExtent b="0" l="0" r="0" t="0"/>
            <wp:docPr descr="Figura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3"/>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4"/>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4.3</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bookmarkStart w:id="50" w:name="refs"/>
    <w:bookmarkStart w:id="47"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6">
        <w:r>
          <w:rPr>
            <w:rStyle w:val="Hyperlink"/>
          </w:rPr>
          <w:t xml:space="preserve">https://doi.org/ISSN 1697-6924</w:t>
        </w:r>
      </w:hyperlink>
      <w:r>
        <w:t xml:space="preserve">.</w:t>
      </w:r>
    </w:p>
    <w:bookmarkEnd w:id="47"/>
    <w:bookmarkStart w:id="49" w:name="ref-UNODC2015"/>
    <w:p>
      <w:pPr>
        <w:pStyle w:val="Bibliography"/>
      </w:pPr>
      <w:r>
        <w:t xml:space="preserve">UNODC. 2015. “Clasificación internacional de delitos con fines estidísticos.” Viena: Oficina de las Naciones Unidas Contra La Droga y el Delito.</w:t>
      </w:r>
      <w:r>
        <w:t xml:space="preserve"> </w:t>
      </w:r>
      <w:hyperlink r:id="rId48">
        <w:r>
          <w:rPr>
            <w:rStyle w:val="Hyperlink"/>
          </w:rPr>
          <w:t xml:space="preserve">https://www.unodc.org/documents/data-and-analysis/statistics/crime/ICCS/ICCS_SPANISH_2016_web.pdf</w:t>
        </w:r>
      </w:hyperlink>
      <w:r>
        <w:t xml:space="preserve">.</w:t>
      </w:r>
    </w:p>
    <w:bookmarkEnd w:id="49"/>
    <w:bookmarkEnd w:id="50"/>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46" Target="https://doi.org/ISSN%201697-6924" TargetMode="External" /><Relationship Type="http://schemas.openxmlformats.org/officeDocument/2006/relationships/hyperlink" Id="rId48"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ISSN%201697-6924" TargetMode="External" /><Relationship Type="http://schemas.openxmlformats.org/officeDocument/2006/relationships/hyperlink" Id="rId48"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2021-10-23T17:36:04Z</dcterms:created>
  <dcterms:modified xsi:type="dcterms:W3CDTF">2021-10-23T17:36:04Z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