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37.png" ContentType="image/png"/>
  <Override PartName="/word/media/rId38.png" ContentType="image/png"/>
  <Override PartName="/word/media/rId25.png" ContentType="image/png"/>
  <Override PartName="/word/media/rId26.png" ContentType="image/png"/>
  <Override PartName="/word/media/rId42.png" ContentType="image/png"/>
  <Override PartName="/word/media/rId35.png" ContentType="image/png"/>
  <Override PartName="/word/media/rId45.png" ContentType="image/png"/>
  <Override PartName="/word/media/rId44.png" ContentType="image/png"/>
  <Override PartName="/word/media/rId34.png" ContentType="image/png"/>
  <Override PartName="/word/media/rId28.png" ContentType="image/png"/>
  <Override PartName="/word/media/rId4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observatotio-venezolano-de-violencia"/>
      <w:r>
        <w:t xml:space="preserve">Observatotio Venezolano de Violencia</w:t>
      </w:r>
      <w:bookmarkEnd w:id="20"/>
    </w:p>
    <w:p>
      <w:pPr>
        <w:pStyle w:val="Heading1"/>
      </w:pPr>
      <w:bookmarkStart w:id="21" w:name="presentación"/>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no son todos los delitos sobre violencia interpersonal ocurridos durante el primer semestre del año 2021, sino aquellos que fueron reportados en la prensa nacional y regional disponible y consultada, considerando la falta de muchos medios que por diversas razones han cesado, o por la censura que pesa sobre ellos y les impide cubrir o informar a la sociedad. Esta información extraída de la prensa fue procesada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Heading1"/>
      </w:pPr>
      <w:bookmarkStart w:id="22" w:name="lo-observado"/>
      <w:r>
        <w:t xml:space="preserve">2	Lo observado</w:t>
      </w:r>
      <w:bookmarkEnd w:id="22"/>
    </w:p>
    <w:p>
      <w:pPr>
        <w:pStyle w:val="FirstParagraph"/>
      </w:pPr>
      <w:r>
        <w:t xml:space="preserve">La observación y análisis de los datos obtenidos por el Observatorio de Prensa, de las noticias aparecidas en los medios consultados en el primer semestre del año 2021,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números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 en convivencia al sexo femenino con su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que apunta hacia el incremento de casos de violencia que ocurren en ambientes cerrados y privados y disminución de hechos violentos en lugares abiertos y públicos, sin duda tiene que ver, a pesar de los conflictos sociales e inestabilidad política, con factores como la migración de venezolanos a otros países, la destrucción de la economía y del trabajo, las medidas de confinamiento producto de la cuarentena por la pandemia del covid-19, la reducción de delincuentes producto de acciones extrajudiciales por parte de organismos de seguridad, las oportunidades de delitos a pequeñas escalas y más discretas dada la dolarización de actividades económicas, tanto en pequeños comercios como en la economía informal</w:t>
      </w:r>
      <w:r>
        <w:t xml:space="preserve"> </w:t>
      </w:r>
      <w:r>
        <w:t xml:space="preserve">(LACSO-OVV</w:t>
      </w:r>
      <w:r>
        <w:t xml:space="preserve"> </w:t>
      </w:r>
      <w:hyperlink w:anchor="ref-LACSO-OVV2020">
        <w:r>
          <w:rPr>
            <w:rStyle w:val="Hyperlink"/>
          </w:rPr>
          <w:t xml:space="preserve">2020</w:t>
        </w:r>
      </w:hyperlink>
      <w:r>
        <w:t xml:space="preserve">)</w:t>
      </w:r>
      <w:r>
        <w:t xml:space="preserve">. A todo ello se suma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3" w:name="violencia-letal"/>
      <w:r>
        <w:t xml:space="preserve">3	Violencia letal</w:t>
      </w:r>
      <w:bookmarkEnd w:id="23"/>
    </w:p>
    <w:p>
      <w:pPr>
        <w:pStyle w:val="Heading2"/>
      </w:pPr>
      <w:bookmarkStart w:id="24" w:name="homicidio-intencional"/>
      <w:r>
        <w:t xml:space="preserve">3.1	Homicidio intencional</w:t>
      </w:r>
      <w:bookmarkEnd w:id="24"/>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consultada. Para este primer semestre del año 2021 la prensa nacional y regional consultada, registró un total de 652 muertes por homicidio intencional, de los cuales sólo se tuvo información sobre edad y sexo en 468 casos. Así puede observarse en el Gráfico</w:t>
      </w:r>
      <w:r>
        <w:t xml:space="preserve"> </w:t>
      </w:r>
      <w:r>
        <w:t xml:space="preserve">3.1</w:t>
      </w:r>
      <w:r>
        <w:t xml:space="preserve"> </w:t>
      </w:r>
      <w:r>
        <w:t xml:space="preserve">que este delito discriminado por edad y sexo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CaptionedFigure"/>
      </w:pPr>
      <w:r>
        <w:drawing>
          <wp:inline>
            <wp:extent cx="5334000" cy="3333749"/>
            <wp:effectExtent b="0" l="0" r="0" t="0"/>
            <wp:docPr descr="Gráfico 3.1: Número víctimas por homicidio intencional discriminadas según edad y sexo." title="" id="1" name="Picture"/>
            <a:graphic>
              <a:graphicData uri="http://schemas.openxmlformats.org/drawingml/2006/picture">
                <pic:pic>
                  <pic:nvPicPr>
                    <pic:cNvPr descr="images/victimasdelhi_piramide.png" id="0"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3.1: Número víctimas por homicidio intencional discriminadas según edad y sexo.</w:t>
      </w:r>
    </w:p>
    <w:p>
      <w:pPr>
        <w:pStyle w:val="BodyText"/>
      </w:pPr>
      <w:r>
        <w:t xml:space="preserve">Esto merece atención por cuanto al ver en el Gráfico</w:t>
      </w:r>
      <w:r>
        <w:t xml:space="preserve"> </w:t>
      </w:r>
      <w:r>
        <w:t xml:space="preserve">3.2</w:t>
      </w:r>
      <w:r>
        <w:t xml:space="preserve">, las motivaciones para estos delitos discriminados por sexo, nos muestra que en los 446 donde se pudo obtener esta información, las causas reportadas para el caso de las mujeres, son las que tienen que ver con el género, y otras motivaciones, entre las cuales se menciona los conflictos intrafamiliares; mientras que para los hombres predominan como motivaciones los ajustes de cuentas, el provecho ilícito y la venganza. Se pone en evidencia entonces el hecho de que dado que las mujeres están más tiempo en casa por el rol que socialmente le ha sido asignado, se encuentra en mayor riesgo de ser victimizada dentro del hogar, al contrario de lo que sucede con el sexo masculino, quien ejerce sus funciones fundamentalmente fuera del hogar.</w:t>
      </w:r>
    </w:p>
    <w:p>
      <w:pPr>
        <w:pStyle w:val="CaptionedFigure"/>
      </w:pPr>
      <w:r>
        <w:drawing>
          <wp:inline>
            <wp:extent cx="5334000" cy="3333749"/>
            <wp:effectExtent b="0" l="0" r="0" t="0"/>
            <wp:docPr descr="Gráfico 3.2: Número víctimas por homicidio intencional discriminadas según el sexo y la motivación del delito." title="" id="1" name="Picture"/>
            <a:graphic>
              <a:graphicData uri="http://schemas.openxmlformats.org/drawingml/2006/picture">
                <pic:pic>
                  <pic:nvPicPr>
                    <pic:cNvPr descr="images/victimasdelhimotiv_graf.png" id="0" name="Picture"/>
                    <pic:cNvPicPr>
                      <a:picLocks noChangeArrowheads="1" noChangeAspect="1"/>
                    </pic:cNvPicPr>
                  </pic:nvPicPr>
                  <pic:blipFill>
                    <a:blip r:embed="rId26"/>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3.2: Número víctimas por homicidio intencional discriminadas según el sexo y la motivación del delito.</w:t>
      </w:r>
    </w:p>
    <w:p>
      <w:pPr>
        <w:pStyle w:val="Heading2"/>
      </w:pPr>
      <w:bookmarkStart w:id="27" w:name="muertes-por-intervención-policial-mip"/>
      <w:r>
        <w:t xml:space="preserve">3.2	Muertes por intervención policial (MIP)</w:t>
      </w:r>
      <w:bookmarkEnd w:id="27"/>
    </w:p>
    <w:p>
      <w:pPr>
        <w:pStyle w:val="FirstParagraph"/>
      </w:pPr>
      <w:r>
        <w:t xml:space="preserve">Las muertes por intervención policial informadas durante el primer semestre del 2021, en los reportes de prensa consultados, alcanzan un total de 562 víctimas (gráfico</w:t>
      </w:r>
      <w:r>
        <w:t xml:space="preserve"> </w:t>
      </w:r>
      <w:r>
        <w:t xml:space="preserve">3.3</w:t>
      </w:r>
      <w:r>
        <w:t xml:space="preserve">). Sin embargo, de ese total la prensa solo mencionó en 207 casos información de edad y sexo de las víctimas, entre las cuales 60 son de sexo masculino, en edades comprendidas entre 20 y 30 años, aunque llama la atención que también se reportaron víctimas de menos de un año y de 70 años, que, aunque en mucha menor proporción, intriga la muerte de varones de esas edades en manos de la policía. La muerte de mujeres por funcionarios policiales es mucho menor que los hombres, siendo las víctimas mayores de 20 años las más afectadas. Las cifras de víctimas del sexo femenino es inferior, y puede deberse a que son las menos expuestas, aunque el hecho de que sean mayores de 20 años, pueden dar cuenta de víctimas que se mueven fuera del hogar por razones de trabajo o estudio, o son victimizadas por policías por estar en involucradas en delitos o estar en lugares cercanos donde funcionarios policiales realizaron sus acciones.</w:t>
      </w:r>
    </w:p>
    <w:p>
      <w:pPr>
        <w:pStyle w:val="CaptionedFigure"/>
      </w:pPr>
      <w:r>
        <w:drawing>
          <wp:inline>
            <wp:extent cx="5334000" cy="3333749"/>
            <wp:effectExtent b="0" l="0" r="0" t="0"/>
            <wp:docPr descr="Gráfico 3.3: Número de muertes por intervención policial discriminados por edad y sexo." title="" id="1" name="Picture"/>
            <a:graphic>
              <a:graphicData uri="http://schemas.openxmlformats.org/drawingml/2006/picture">
                <pic:pic>
                  <pic:nvPicPr>
                    <pic:cNvPr descr="images/victimasmilsexoedad_piramide.png" id="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3.3: Número de muertes por intervención policial discriminados por edad y sexo.</w:t>
      </w:r>
    </w:p>
    <w:p>
      <w:pPr>
        <w:pStyle w:val="BodyText"/>
      </w:pPr>
      <w:r>
        <w:t xml:space="preserve">El desglose de los organismos policiales vinculados a los homicidios reportados en prensa (gráfico</w:t>
      </w:r>
      <w:r>
        <w:t xml:space="preserve"> </w:t>
      </w:r>
      <w:r>
        <w:t xml:space="preserve">3.4</w:t>
      </w:r>
      <w:r>
        <w:t xml:space="preserve">), indica que en los 465 casos conocidos, por lo menos en 160 sucesos, estuvo involucrada la policía estadal con 35%, seguidos por la PNB y el CICPC en casi 100 casos cada uno, para un 20% respectivamente, siendo los cuerpos menos involucrados la policía municipal y las FANB. Aquí puede apreciarse como ha disminuido el protagonismo de la PNB, especialmente del grupo FAES, quien ha recibido innumerables acusaciones y denuncias tanto dentro del territorio nacional, como a nivel internacional sobre todo por las denuncias en los informes de la Alta Comisionada de las Naciones Unidas para los Derechos Humanos, Michelle Bachelet, lo que ha obligado al gobierno a pensar la política de represión implementada a través de este grupo comando e incluso del CICPC, cuerpo de investigación que se ha visto muy involucrado en casos de homicidios, sobre todo de ejecuciones extrajudiciales.</w:t>
      </w:r>
    </w:p>
    <w:p>
      <w:pPr>
        <w:pStyle w:val="CaptionedFigure"/>
      </w:pPr>
      <w:r>
        <w:drawing>
          <wp:inline>
            <wp:extent cx="5334000" cy="3333749"/>
            <wp:effectExtent b="0" l="0" r="0" t="0"/>
            <wp:docPr descr="Gráfico 3.4: Número y proporción de sucesos asociados a muertes por intervención policial discriminados según el cuerpo de seguridad involucrado." title="" id="1" name="Picture"/>
            <a:graphic>
              <a:graphicData uri="http://schemas.openxmlformats.org/drawingml/2006/picture">
                <pic:pic>
                  <pic:nvPicPr>
                    <pic:cNvPr descr="images/sucesospol_barras.png" id="0" name="Picture"/>
                    <pic:cNvPicPr>
                      <a:picLocks noChangeArrowheads="1" noChangeAspect="1"/>
                    </pic:cNvPicPr>
                  </pic:nvPicPr>
                  <pic:blipFill>
                    <a:blip r:embed="rId29"/>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3.4: Número y proporción de sucesos asociados a muertes por intervención policial discriminados según el cuerpo de seguridad involucrado.</w:t>
      </w:r>
    </w:p>
    <w:p>
      <w:pPr>
        <w:pStyle w:val="Heading1"/>
      </w:pPr>
      <w:bookmarkStart w:id="30" w:name="violencia-no-letal"/>
      <w:r>
        <w:t xml:space="preserve">4	Violencia no letal</w:t>
      </w:r>
      <w:bookmarkEnd w:id="30"/>
    </w:p>
    <w:p>
      <w:pPr>
        <w:pStyle w:val="Heading2"/>
      </w:pPr>
      <w:bookmarkStart w:id="31" w:name="X88b8ba423618179d24b2617875c1d3543e57585"/>
      <w:r>
        <w:t xml:space="preserve">4.1	Otros delitos distintos a homicido intencional (HI)</w:t>
      </w:r>
      <w:bookmarkEnd w:id="31"/>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son las mujeres las más afectadas (gráfico</w:t>
      </w:r>
      <w:r>
        <w:t xml:space="preserve"> </w:t>
      </w:r>
      <w:r>
        <w:t xml:space="preserve">3.1</w:t>
      </w:r>
      <w:r>
        <w:t xml:space="preserve">), sorprendentemente en los grupos etarios entre 6 y 15 años, además del grupo de 46 a 50 años. Entre los hombres, es el grupo de hombres entre 11 y 40 años quienes son víctimas de estos delitos.</w:t>
      </w:r>
    </w:p>
    <w:p>
      <w:pPr>
        <w:pStyle w:val="CaptionedFigure"/>
      </w:pPr>
      <w:r>
        <w:drawing>
          <wp:inline>
            <wp:extent cx="5334000" cy="3333749"/>
            <wp:effectExtent b="0" l="0" r="0" t="0"/>
            <wp:docPr descr="Gráfico 4.1: Número víctimas por homicidio intencional discriminadas según edad y sexo." title="" id="1" name="Picture"/>
            <a:graphic>
              <a:graphicData uri="http://schemas.openxmlformats.org/drawingml/2006/picture">
                <pic:pic>
                  <pic:nvPicPr>
                    <pic:cNvPr descr="images/victimasodel_piramide.png" id="0" name="Picture"/>
                    <pic:cNvPicPr>
                      <a:picLocks noChangeArrowheads="1" noChangeAspect="1"/>
                    </pic:cNvPicPr>
                  </pic:nvPicPr>
                  <pic:blipFill>
                    <a:blip r:embed="rId3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4.1: Número víctimas por homicidio intencional discriminadas según edad y sexo.</w:t>
      </w:r>
    </w:p>
    <w:p>
      <w:pPr>
        <w:pStyle w:val="BodyText"/>
      </w:pPr>
      <w:r>
        <w:t xml:space="preserve">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pPr>
        <w:pStyle w:val="CaptionedFigure"/>
      </w:pPr>
      <w:r>
        <w:drawing>
          <wp:inline>
            <wp:extent cx="5334000" cy="3333749"/>
            <wp:effectExtent b="0" l="0" r="0" t="0"/>
            <wp:docPr descr="Gráfico 4.2: Número y proporción de sucesos asociados a otros delitos distintos de homicidio intencional discriminados según el tipo de delito." title="" id="1" name="Picture"/>
            <a:graphic>
              <a:graphicData uri="http://schemas.openxmlformats.org/drawingml/2006/picture">
                <pic:pic>
                  <pic:nvPicPr>
                    <pic:cNvPr descr="images/sucesosotrosdel_barras.png" id="0"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4.2: Número y proporción de sucesos asociados a otros delitos distintos de homicidio intencional discriminados según el tipo de delito.</w:t>
      </w:r>
    </w:p>
    <w:p>
      <w:pPr>
        <w:pStyle w:val="BodyText"/>
      </w:pPr>
      <w:r>
        <w:t xml:space="preserve">Esos delitos diferentes de los homicidios discriminados por sexo, permiten apreciar de acuerdo con lo reportado por la prensa durante este semestre, que tal como lo mencionamos en la gráfica</w:t>
      </w:r>
      <w:r>
        <w:t xml:space="preserve"> </w:t>
      </w:r>
      <w:r>
        <w:t xml:space="preserve">4.2</w:t>
      </w:r>
      <w:r>
        <w:t xml:space="preserve"> </w:t>
      </w:r>
      <w:r>
        <w:t xml:space="preserve">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pPr>
        <w:pStyle w:val="CaptionedFigure"/>
      </w:pPr>
      <w:r>
        <w:drawing>
          <wp:inline>
            <wp:extent cx="5334000" cy="3333749"/>
            <wp:effectExtent b="0" l="0" r="0" t="0"/>
            <wp:docPr descr="Gráfico 4.3: Número víctimas de otros delitos distintos a homicidio intencional discriminados según sexo y tipo de delito." title="" id="1" name="Picture"/>
            <a:graphic>
              <a:graphicData uri="http://schemas.openxmlformats.org/drawingml/2006/picture">
                <pic:pic>
                  <pic:nvPicPr>
                    <pic:cNvPr descr="images/victimasexotrosdel_graf.png" id="0" name="Picture"/>
                    <pic:cNvPicPr>
                      <a:picLocks noChangeArrowheads="1" noChangeAspect="1"/>
                    </pic:cNvPicPr>
                  </pic:nvPicPr>
                  <pic:blipFill>
                    <a:blip r:embed="rId3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4.3: Número víctimas de otros delitos distintos a homicidio intencional discriminados según sexo y tipo de delito.</w:t>
      </w:r>
    </w:p>
    <w:p>
      <w:pPr>
        <w:pStyle w:val="BodyText"/>
      </w:pPr>
      <w:r>
        <w:t xml:space="preserve">De las víctimas de delitos distintos al homicidio, en el caso de los hombres son fundamentalmente trabajadores, y en menor proporción estudiantes. Son las mujeres estudiantes las más afectadas por este tipo de delitos y menor número de trabajadoras.</w:t>
      </w:r>
    </w:p>
    <w:p>
      <w:pPr>
        <w:pStyle w:val="CaptionedFigure"/>
      </w:pPr>
      <w:r>
        <w:drawing>
          <wp:inline>
            <wp:extent cx="5334000" cy="3333749"/>
            <wp:effectExtent b="0" l="0" r="0" t="0"/>
            <wp:docPr descr="Gráfico 4.4: Número víctimas de otros delitos distintos a homicidio intencional discriminados según sexo y actividad a la que se dedica la víctima." title="" id="1" name="Picture"/>
            <a:graphic>
              <a:graphicData uri="http://schemas.openxmlformats.org/drawingml/2006/picture">
                <pic:pic>
                  <pic:nvPicPr>
                    <pic:cNvPr descr="images/victimasexodelactiv_graf.png" id="0" name="Picture"/>
                    <pic:cNvPicPr>
                      <a:picLocks noChangeArrowheads="1" noChangeAspect="1"/>
                    </pic:cNvPicPr>
                  </pic:nvPicPr>
                  <pic:blipFill>
                    <a:blip r:embed="rId3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4.4: Número víctimas de otros delitos distintos a homicidio intencional discriminados según sexo y actividad a la que se dedica la víctima.</w:t>
      </w:r>
    </w:p>
    <w:p>
      <w:pPr>
        <w:pStyle w:val="Heading2"/>
      </w:pPr>
      <w:bookmarkStart w:id="36" w:name="víctimas-de-agresión"/>
      <w:r>
        <w:t xml:space="preserve">4.2	Víctimas de agresión</w:t>
      </w:r>
      <w:bookmarkEnd w:id="36"/>
    </w:p>
    <w:p>
      <w:pPr>
        <w:pStyle w:val="FirstParagraph"/>
      </w:pPr>
      <w:r>
        <w:t xml:space="preserve">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 (gráfico</w:t>
      </w:r>
      <w:r>
        <w:t xml:space="preserve"> </w:t>
      </w:r>
      <w:r>
        <w:t xml:space="preserve">4.5</w:t>
      </w:r>
      <w:r>
        <w:t xml:space="preserve">).</w:t>
      </w:r>
    </w:p>
    <w:p>
      <w:pPr>
        <w:pStyle w:val="CaptionedFigure"/>
      </w:pPr>
      <w:r>
        <w:drawing>
          <wp:inline>
            <wp:extent cx="5334000" cy="3333749"/>
            <wp:effectExtent b="0" l="0" r="0" t="0"/>
            <wp:docPr descr="Gráfico 4.5: Número víctimas de agresión discriminados según sexo y la motivación del delito." title="" id="1" name="Picture"/>
            <a:graphic>
              <a:graphicData uri="http://schemas.openxmlformats.org/drawingml/2006/picture">
                <pic:pic>
                  <pic:nvPicPr>
                    <pic:cNvPr descr="images/victimasagresiondelmotiv_pir.png" id="0" name="Picture"/>
                    <pic:cNvPicPr>
                      <a:picLocks noChangeArrowheads="1" noChangeAspect="1"/>
                    </pic:cNvPicPr>
                  </pic:nvPicPr>
                  <pic:blipFill>
                    <a:blip r:embed="rId3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4.5: Número víctimas de agresión discriminados según sexo y la motivación del delito.</w:t>
      </w:r>
    </w:p>
    <w:p>
      <w:pPr>
        <w:pStyle w:val="BodyText"/>
      </w:pPr>
      <w:r>
        <w:t xml:space="preserve">De acuerdo con los roles socialmente desempeñados por ambos sexos, la gráfica</w:t>
      </w:r>
      <w:r>
        <w:t xml:space="preserve"> </w:t>
      </w:r>
      <w:r>
        <w:t xml:space="preserve">4.6</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pPr>
        <w:pStyle w:val="CaptionedFigure"/>
      </w:pPr>
      <w:r>
        <w:drawing>
          <wp:inline>
            <wp:extent cx="5334000" cy="3333749"/>
            <wp:effectExtent b="0" l="0" r="0" t="0"/>
            <wp:docPr descr="Gráfico 4.6: Número víctimas de agresión discriminados según sexo y por el lugar donde ocurrió el delito." title="" id="1" name="Picture"/>
            <a:graphic>
              <a:graphicData uri="http://schemas.openxmlformats.org/drawingml/2006/picture">
                <pic:pic>
                  <pic:nvPicPr>
                    <pic:cNvPr descr="images/victimasagresiondonde_grafico.png" id="0" name="Picture"/>
                    <pic:cNvPicPr>
                      <a:picLocks noChangeArrowheads="1" noChangeAspect="1"/>
                    </pic:cNvPicPr>
                  </pic:nvPicPr>
                  <pic:blipFill>
                    <a:blip r:embed="rId3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4.6: Número víctimas de agresión discriminados según sexo y por el lugar donde ocurrió el delito.</w:t>
      </w:r>
    </w:p>
    <w:p>
      <w:pPr>
        <w:pStyle w:val="Heading1"/>
      </w:pPr>
      <w:bookmarkStart w:id="39" w:name="niñas-niños-y-adolescentes"/>
      <w:r>
        <w:t xml:space="preserve">5	Niñas, niños y adolescentes</w:t>
      </w:r>
      <w:bookmarkEnd w:id="39"/>
    </w:p>
    <w:p>
      <w:pPr>
        <w:pStyle w:val="Heading2"/>
      </w:pPr>
      <w:bookmarkStart w:id="40" w:name="caracteríticas-y-tipo-de-delito"/>
      <w:r>
        <w:t xml:space="preserve">5.1	Caracteríticas y tipo de delito</w:t>
      </w:r>
      <w:bookmarkEnd w:id="40"/>
    </w:p>
    <w:p>
      <w:pPr>
        <w:pStyle w:val="FirstParagraph"/>
      </w:pPr>
      <w:r>
        <w:t xml:space="preserve">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pPr>
        <w:pStyle w:val="CaptionedFigure"/>
      </w:pPr>
      <w:r>
        <w:drawing>
          <wp:inline>
            <wp:extent cx="5334000" cy="3333749"/>
            <wp:effectExtent b="0" l="0" r="0" t="0"/>
            <wp:docPr descr="Gráfico 5.1: Número niñas, niños, adolescentes y jóvenes víctimas de delitos discriminados según sexo y edad." title="" id="1" name="Picture"/>
            <a:graphic>
              <a:graphicData uri="http://schemas.openxmlformats.org/drawingml/2006/picture">
                <pic:pic>
                  <pic:nvPicPr>
                    <pic:cNvPr descr="images/victimasodelNNA_piramide.png" id="0"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5.1: Número niñas, niños, adolescentes y jóvenes víctimas de delitos discriminados según sexo y edad.</w:t>
      </w:r>
    </w:p>
    <w:p>
      <w:pPr>
        <w:pStyle w:val="CaptionedFigure"/>
      </w:pPr>
      <w:r>
        <w:drawing>
          <wp:inline>
            <wp:extent cx="5334000" cy="3333749"/>
            <wp:effectExtent b="0" l="0" r="0" t="0"/>
            <wp:docPr descr="Gráfico 5.2: Número niñas, niños, adolescentes y jóvenes víctimas de delitos discriminados según sexo y tipo de delito." title="" id="1" name="Picture"/>
            <a:graphic>
              <a:graphicData uri="http://schemas.openxmlformats.org/drawingml/2006/picture">
                <pic:pic>
                  <pic:nvPicPr>
                    <pic:cNvPr descr="images/victimasexodelNNA_graf.png" id="0" name="Picture"/>
                    <pic:cNvPicPr>
                      <a:picLocks noChangeArrowheads="1" noChangeAspect="1"/>
                    </pic:cNvPicPr>
                  </pic:nvPicPr>
                  <pic:blipFill>
                    <a:blip r:embed="rId4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5.2: Número niñas, niños, adolescentes y jóvenes víctimas de delitos discriminados según sexo y tipo de delito.</w:t>
      </w:r>
    </w:p>
    <w:p>
      <w:pPr>
        <w:pStyle w:val="Heading2"/>
      </w:pPr>
      <w:bookmarkStart w:id="43" w:name="los-victimarios"/>
      <w:r>
        <w:t xml:space="preserve">5.2	Los victimarios</w:t>
      </w:r>
      <w:bookmarkEnd w:id="43"/>
    </w:p>
    <w:p>
      <w:pPr>
        <w:pStyle w:val="FirstParagraph"/>
      </w:pPr>
      <w:r>
        <w:t xml:space="preserve">Los victimarios de esos niños, niñas y adolescentes son fundamentalmente familiares conocidos por las víctimas, siendo también victimarios la delincuencia común aunque presentes en más casos cuando se trata del sexo masculino.</w:t>
      </w:r>
    </w:p>
    <w:p>
      <w:pPr>
        <w:pStyle w:val="CaptionedFigure"/>
      </w:pPr>
      <w:r>
        <w:drawing>
          <wp:inline>
            <wp:extent cx="5334000" cy="3333749"/>
            <wp:effectExtent b="0" l="0" r="0" t="0"/>
            <wp:docPr descr="Gráfico 5.3: Número niñas, niños, adolescentes y jóvenes víctimas de delitos discriminados según sexo y tipo de victimario." title="" id="1" name="Picture"/>
            <a:graphic>
              <a:graphicData uri="http://schemas.openxmlformats.org/drawingml/2006/picture">
                <pic:pic>
                  <pic:nvPicPr>
                    <pic:cNvPr descr="images/victimasexodelvictimariorelNNA_graf.png" id="0" name="Picture"/>
                    <pic:cNvPicPr>
                      <a:picLocks noChangeArrowheads="1" noChangeAspect="1"/>
                    </pic:cNvPicPr>
                  </pic:nvPicPr>
                  <pic:blipFill>
                    <a:blip r:embed="rId4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5.3: Número niñas, niños, adolescentes y jóvenes víctimas de delitos discriminados según sexo y tipo de victimario.</w:t>
      </w:r>
    </w:p>
    <w:p>
      <w:pPr>
        <w:pStyle w:val="BodyText"/>
      </w:pPr>
      <w:r>
        <w:t xml:space="preserve">Si profundizamos en las características relacionales de las víctimas con sus mayores victimarios que son personas conocidas, nos encontramos con que los datos reportados y visualizados en la gráfica</w:t>
      </w:r>
      <w:r>
        <w:t xml:space="preserve"> </w:t>
      </w:r>
      <w:r>
        <w:t xml:space="preserve">5.4</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CaptionedFigure"/>
      </w:pPr>
      <w:r>
        <w:drawing>
          <wp:inline>
            <wp:extent cx="5334000" cy="3333749"/>
            <wp:effectExtent b="0" l="0" r="0" t="0"/>
            <wp:docPr descr="Gráfico 5.4: Número niñas, niños, adolescentes y jóvenes víctimas de delitos discriminados según sexo y relacion con el victimario." title="" id="1" name="Picture"/>
            <a:graphic>
              <a:graphicData uri="http://schemas.openxmlformats.org/drawingml/2006/picture">
                <pic:pic>
                  <pic:nvPicPr>
                    <pic:cNvPr descr="images/victimasexodelvictimarioconNNA_graf.png" id="0" name="Picture"/>
                    <pic:cNvPicPr>
                      <a:picLocks noChangeArrowheads="1" noChangeAspect="1"/>
                    </pic:cNvPicPr>
                  </pic:nvPicPr>
                  <pic:blipFill>
                    <a:blip r:embed="rId4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5.4: Número niñas, niños, adolescentes y jóvenes víctimas de delitos discriminados según sexo y relacion con el victimario.</w:t>
      </w:r>
    </w:p>
    <w:p>
      <w:pPr>
        <w:pStyle w:val="Heading1"/>
      </w:pPr>
      <w:bookmarkStart w:id="46" w:name="para-reflexionar"/>
      <w:r>
        <w:t xml:space="preserve">6	Para reflexionar</w:t>
      </w:r>
      <w:bookmarkEnd w:id="46"/>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Heading1"/>
      </w:pPr>
      <w:bookmarkStart w:id="47" w:name="referencias"/>
      <w:r>
        <w:t xml:space="preserve">Referencias</w:t>
      </w:r>
      <w:bookmarkEnd w:id="47"/>
    </w:p>
    <w:bookmarkStart w:id="54" w:name="refs"/>
    <w:bookmarkStart w:id="49"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8">
        <w:r>
          <w:rPr>
            <w:rStyle w:val="Hyperlink"/>
          </w:rPr>
          <w:t xml:space="preserve">https://doi.org/ISSN 1697-6924</w:t>
        </w:r>
      </w:hyperlink>
      <w:r>
        <w:t xml:space="preserve">.</w:t>
      </w:r>
    </w:p>
    <w:bookmarkEnd w:id="49"/>
    <w:bookmarkStart w:id="51" w:name="ref-LACSO-OVV2020"/>
    <w:p>
      <w:pPr>
        <w:pStyle w:val="Bibliography"/>
      </w:pPr>
      <w:r>
        <w:t xml:space="preserve">LACSO-OVV. 2020. “Informe Anual de Violencia 2020 – Entre las epidemias de la Violencia y del Covid-19 - Observatorio Venezolano de Violencia.”</w:t>
      </w:r>
      <w:r>
        <w:t xml:space="preserve"> </w:t>
      </w:r>
      <w:hyperlink r:id="rId50">
        <w:r>
          <w:rPr>
            <w:rStyle w:val="Hyperlink"/>
          </w:rPr>
          <w:t xml:space="preserve">https://observatoriodeviolencia.org.ve/news/informe-anual-de-violencia-2020-entre-las-epidemias-de-la-violencia-y-del-covid-19/</w:t>
        </w:r>
      </w:hyperlink>
      <w:r>
        <w:t xml:space="preserve">.</w:t>
      </w:r>
    </w:p>
    <w:bookmarkEnd w:id="51"/>
    <w:bookmarkStart w:id="53" w:name="ref-UNODC2015"/>
    <w:p>
      <w:pPr>
        <w:pStyle w:val="Bibliography"/>
      </w:pPr>
      <w:r>
        <w:t xml:space="preserve">UNODC. 2015. “Clasificación internacional de delitos con fines estidísticos.” Viena: Oficina de las Naciones Unidas Contra La Droga y el Delito.</w:t>
      </w:r>
      <w:r>
        <w:t xml:space="preserve"> </w:t>
      </w:r>
      <w:hyperlink r:id="rId52">
        <w:r>
          <w:rPr>
            <w:rStyle w:val="Hyperlink"/>
          </w:rPr>
          <w:t xml:space="preserve">https://www.unodc.org/documents/data-and-analysis/statistics/crime/ICCS/ICCS_SPANISH_2016_web.pdf</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hyperlink" Id="rId48" Target="https://doi.org/ISSN%201697-6924" TargetMode="External" /><Relationship Type="http://schemas.openxmlformats.org/officeDocument/2006/relationships/hyperlink" Id="rId50" Target="https://observatoriodeviolencia.org.ve/news/informe-anual-de-violencia-2020-entre-las-epidemias-de-la-violencia-y-del-covid-19/" TargetMode="External" /><Relationship Type="http://schemas.openxmlformats.org/officeDocument/2006/relationships/hyperlink" Id="rId52"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ISSN%201697-6924" TargetMode="External" /><Relationship Type="http://schemas.openxmlformats.org/officeDocument/2006/relationships/hyperlink" Id="rId50" Target="https://observatoriodeviolencia.org.ve/news/informe-anual-de-violencia-2020-entre-las-epidemias-de-la-violencia-y-del-covid-19/" TargetMode="External" /><Relationship Type="http://schemas.openxmlformats.org/officeDocument/2006/relationships/hyperlink" Id="rId52"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2021-10-26T23:11:33Z</dcterms:created>
  <dcterms:modified xsi:type="dcterms:W3CDTF">2021-10-26T23:11:33Z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