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One</w:t>
      </w:r>
    </w:p>
    <w:p>
      <w:pPr>
        <w:pStyle w:val="Author"/>
      </w:pPr>
      <w:r>
        <w:t xml:space="preserve">Adrián</w:t>
      </w:r>
      <w:r>
        <w:t xml:space="preserve"> </w:t>
      </w:r>
      <w:r>
        <w:t xml:space="preserve">González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de</w:t>
      </w:r>
      <w:r>
        <w:t xml:space="preserve"> </w:t>
      </w:r>
      <w:r>
        <w:t xml:space="preserve">Mayo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</w:t>
      </w:r>
    </w:p>
    <w:p>
      <w:pPr>
        <w:pStyle w:val="BodyText"/>
      </w:pPr>
      <w:r>
        <w:t xml:space="preserve">Here are some example R comands: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mean(c(1,2,3,4,5,6))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blocj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items</w:t>
      </w:r>
    </w:p>
    <w:p>
      <w:pPr>
        <w:pStyle w:val="FirstParagraph"/>
      </w:pPr>
      <w:r>
        <w:t xml:space="preserve">Here is an example of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 2+2</w:t>
      </w:r>
      <w:r>
        <w:br w:type="textWrapping"/>
      </w:r>
      <w:r>
        <w:rPr>
          <w:rStyle w:val="VerbatimChar"/>
        </w:rPr>
        <w:t xml:space="preserve"> 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eba4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352712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b5a3d6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2f76e7eb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9d82d589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document One</dc:title>
  <dc:creator>Adrián González</dc:creator>
  <dcterms:created xsi:type="dcterms:W3CDTF">2019-05-19T18:55:08Z</dcterms:created>
  <dcterms:modified xsi:type="dcterms:W3CDTF">2019-05-19T18:55:08Z</dcterms:modified>
</cp:coreProperties>
</file>