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B98A5" w14:textId="77777777" w:rsidR="00F62FE5" w:rsidRPr="004462E8" w:rsidRDefault="00A66A4B">
      <w:pPr>
        <w:pStyle w:val="Encabezado"/>
        <w:spacing w:after="120"/>
        <w:jc w:val="center"/>
        <w:rPr>
          <w:b/>
          <w:sz w:val="36"/>
          <w:lang w:val="es-PE"/>
        </w:rPr>
      </w:pPr>
      <w:r w:rsidRPr="004462E8">
        <w:rPr>
          <w:b/>
          <w:sz w:val="36"/>
          <w:lang w:val="es-PE"/>
        </w:rPr>
        <w:t>Acuerdo de nivel operativo (OLA)</w:t>
      </w:r>
    </w:p>
    <w:p w14:paraId="3F6BB9DF" w14:textId="77777777" w:rsidR="00F62FE5" w:rsidRPr="004462E8" w:rsidRDefault="00A66A4B">
      <w:pPr>
        <w:pStyle w:val="Encabezado"/>
        <w:spacing w:after="120"/>
        <w:jc w:val="center"/>
        <w:rPr>
          <w:b/>
          <w:sz w:val="36"/>
          <w:lang w:val="es-PE"/>
        </w:rPr>
      </w:pPr>
      <w:r w:rsidRPr="004462E8">
        <w:rPr>
          <w:b/>
          <w:sz w:val="36"/>
          <w:lang w:val="es-PE"/>
        </w:rPr>
        <w:t>Por</w:t>
      </w:r>
    </w:p>
    <w:p w14:paraId="22C6883D" w14:textId="77777777" w:rsidR="00F62FE5" w:rsidRPr="004462E8" w:rsidRDefault="00A66A4B">
      <w:pPr>
        <w:pStyle w:val="Encabezado"/>
        <w:spacing w:after="120"/>
        <w:jc w:val="center"/>
        <w:rPr>
          <w:b/>
          <w:sz w:val="36"/>
          <w:lang w:val="es-PE"/>
        </w:rPr>
      </w:pPr>
      <w:r w:rsidRPr="004462E8">
        <w:rPr>
          <w:b/>
          <w:sz w:val="36"/>
          <w:lang w:val="es-PE"/>
        </w:rPr>
        <w:t>Proveedores de servicios ITS</w:t>
      </w:r>
    </w:p>
    <w:p w14:paraId="3565590A" w14:textId="77777777" w:rsidR="00F62FE5" w:rsidRPr="004462E8" w:rsidRDefault="00A66A4B">
      <w:pPr>
        <w:pStyle w:val="Encabezado"/>
        <w:spacing w:after="120"/>
        <w:jc w:val="center"/>
        <w:rPr>
          <w:b/>
          <w:sz w:val="36"/>
          <w:lang w:val="es-PE"/>
        </w:rPr>
      </w:pPr>
      <w:r w:rsidRPr="004462E8">
        <w:rPr>
          <w:b/>
          <w:sz w:val="36"/>
          <w:lang w:val="es-PE"/>
        </w:rPr>
        <w:t>Para</w:t>
      </w:r>
    </w:p>
    <w:p w14:paraId="0C15960C" w14:textId="77777777" w:rsidR="00F62FE5" w:rsidRPr="004462E8" w:rsidRDefault="00A66A4B">
      <w:pPr>
        <w:pStyle w:val="Encabezado"/>
        <w:spacing w:after="120"/>
        <w:jc w:val="center"/>
        <w:rPr>
          <w:lang w:val="es-PE"/>
        </w:rPr>
      </w:pPr>
      <w:r w:rsidRPr="004462E8">
        <w:rPr>
          <w:bCs/>
          <w:color w:val="0000FF"/>
          <w:sz w:val="36"/>
          <w:lang w:val="es-PE"/>
        </w:rPr>
        <w:t>[</w:t>
      </w:r>
      <w:r w:rsidRPr="004462E8">
        <w:rPr>
          <w:b/>
          <w:color w:val="0000FF"/>
          <w:sz w:val="36"/>
          <w:lang w:val="es-PE"/>
        </w:rPr>
        <w:t>Nombre del Servicio</w:t>
      </w:r>
      <w:r w:rsidRPr="004462E8">
        <w:rPr>
          <w:bCs/>
          <w:color w:val="0000FF"/>
          <w:sz w:val="36"/>
          <w:lang w:val="es-PE"/>
        </w:rPr>
        <w:t>]</w:t>
      </w:r>
    </w:p>
    <w:p w14:paraId="332A13CA" w14:textId="77777777" w:rsidR="00F62FE5" w:rsidRPr="004462E8" w:rsidRDefault="00F62FE5">
      <w:pPr>
        <w:pStyle w:val="Encabezado"/>
        <w:rPr>
          <w:b/>
          <w:bCs/>
          <w:color w:val="0000FF"/>
          <w:sz w:val="36"/>
          <w:lang w:val="es-PE"/>
        </w:rPr>
      </w:pPr>
    </w:p>
    <w:p w14:paraId="70460685" w14:textId="77777777" w:rsidR="00F62FE5" w:rsidRPr="004462E8" w:rsidRDefault="00A66A4B">
      <w:pPr>
        <w:pStyle w:val="Encabezado"/>
        <w:rPr>
          <w:b/>
          <w:sz w:val="36"/>
          <w:lang w:val="es-PE"/>
        </w:rPr>
      </w:pPr>
      <w:r w:rsidRPr="004462E8">
        <w:rPr>
          <w:b/>
          <w:iCs/>
          <w:color w:val="000000"/>
          <w:lang w:val="es-PE"/>
        </w:rPr>
        <w:t xml:space="preserve">Fecha efectiva: </w:t>
      </w:r>
    </w:p>
    <w:p w14:paraId="497509DD" w14:textId="77777777" w:rsidR="00F62FE5" w:rsidRPr="004462E8" w:rsidRDefault="00F62FE5">
      <w:pPr>
        <w:pStyle w:val="Encabezado"/>
        <w:rPr>
          <w:b/>
          <w:sz w:val="36"/>
          <w:lang w:val="es-PE"/>
        </w:rPr>
      </w:pPr>
    </w:p>
    <w:p w14:paraId="2A082C58" w14:textId="77777777" w:rsidR="00F62FE5" w:rsidRPr="004462E8" w:rsidRDefault="00F62FE5">
      <w:pPr>
        <w:pStyle w:val="Encabezado"/>
        <w:rPr>
          <w:b/>
          <w:lang w:val="es-PE"/>
        </w:rPr>
      </w:pPr>
    </w:p>
    <w:tbl>
      <w:tblPr>
        <w:tblW w:w="9360" w:type="dxa"/>
        <w:tblInd w:w="-185" w:type="dxa"/>
        <w:tblLayout w:type="fixed"/>
        <w:tblLook w:val="0000" w:firstRow="0" w:lastRow="0" w:firstColumn="0" w:lastColumn="0" w:noHBand="0" w:noVBand="0"/>
      </w:tblPr>
      <w:tblGrid>
        <w:gridCol w:w="3420"/>
        <w:gridCol w:w="5940"/>
      </w:tblGrid>
      <w:tr w:rsidR="00F62FE5" w:rsidRPr="004462E8" w14:paraId="16B13FCF" w14:textId="77777777">
        <w:tc>
          <w:tcPr>
            <w:tcW w:w="3420" w:type="dxa"/>
            <w:tcBorders>
              <w:top w:val="single" w:sz="4" w:space="0" w:color="000000"/>
              <w:left w:val="single" w:sz="4" w:space="0" w:color="000000"/>
              <w:bottom w:val="single" w:sz="4" w:space="0" w:color="000000"/>
              <w:right w:val="single" w:sz="4" w:space="0" w:color="000000"/>
            </w:tcBorders>
          </w:tcPr>
          <w:p w14:paraId="1699E345" w14:textId="77777777" w:rsidR="00F62FE5" w:rsidRPr="004462E8" w:rsidRDefault="00A66A4B">
            <w:pPr>
              <w:pStyle w:val="Textoindependiente"/>
              <w:spacing w:before="20" w:after="20"/>
              <w:rPr>
                <w:b/>
                <w:bCs/>
                <w:szCs w:val="24"/>
                <w:lang w:val="es-PE"/>
              </w:rPr>
            </w:pPr>
            <w:r w:rsidRPr="004462E8">
              <w:rPr>
                <w:b/>
                <w:bCs/>
                <w:szCs w:val="24"/>
                <w:lang w:val="es-PE"/>
              </w:rPr>
              <w:t>Dueño del documento:</w:t>
            </w:r>
          </w:p>
        </w:tc>
        <w:tc>
          <w:tcPr>
            <w:tcW w:w="5940" w:type="dxa"/>
            <w:tcBorders>
              <w:top w:val="single" w:sz="4" w:space="0" w:color="000000"/>
              <w:left w:val="single" w:sz="4" w:space="0" w:color="000000"/>
              <w:bottom w:val="single" w:sz="4" w:space="0" w:color="000000"/>
              <w:right w:val="single" w:sz="4" w:space="0" w:color="000000"/>
            </w:tcBorders>
          </w:tcPr>
          <w:p w14:paraId="28B0837E" w14:textId="77777777" w:rsidR="00F62FE5" w:rsidRPr="004462E8" w:rsidRDefault="00F62FE5">
            <w:pPr>
              <w:pStyle w:val="Textoindependiente"/>
              <w:snapToGrid w:val="0"/>
              <w:spacing w:before="20" w:after="20"/>
              <w:rPr>
                <w:b/>
                <w:bCs/>
                <w:color w:val="0000FF"/>
                <w:sz w:val="20"/>
                <w:szCs w:val="24"/>
                <w:lang w:val="es-PE"/>
              </w:rPr>
            </w:pPr>
          </w:p>
        </w:tc>
      </w:tr>
    </w:tbl>
    <w:p w14:paraId="28E9A32B" w14:textId="77777777" w:rsidR="00F62FE5" w:rsidRPr="004462E8" w:rsidRDefault="00F62FE5">
      <w:pPr>
        <w:pStyle w:val="Encabezado"/>
        <w:rPr>
          <w:b/>
          <w:lang w:val="es-PE"/>
        </w:rPr>
      </w:pPr>
    </w:p>
    <w:p w14:paraId="26258097" w14:textId="77777777" w:rsidR="00F62FE5" w:rsidRPr="004462E8" w:rsidRDefault="00A66A4B">
      <w:pPr>
        <w:pStyle w:val="Encabezado"/>
        <w:rPr>
          <w:b/>
          <w:lang w:val="es-PE"/>
        </w:rPr>
      </w:pPr>
      <w:r w:rsidRPr="004462E8">
        <w:rPr>
          <w:b/>
          <w:lang w:val="es-PE"/>
        </w:rPr>
        <w:t>Versión</w:t>
      </w:r>
    </w:p>
    <w:p w14:paraId="07C2DDC7" w14:textId="77777777" w:rsidR="00F62FE5" w:rsidRPr="004462E8" w:rsidRDefault="00F62FE5">
      <w:pPr>
        <w:pStyle w:val="Encabezado"/>
        <w:rPr>
          <w:b/>
          <w:lang w:val="es-PE"/>
        </w:rPr>
      </w:pPr>
    </w:p>
    <w:tbl>
      <w:tblPr>
        <w:tblW w:w="9360" w:type="dxa"/>
        <w:tblInd w:w="-185" w:type="dxa"/>
        <w:tblLayout w:type="fixed"/>
        <w:tblLook w:val="0000" w:firstRow="0" w:lastRow="0" w:firstColumn="0" w:lastColumn="0" w:noHBand="0" w:noVBand="0"/>
      </w:tblPr>
      <w:tblGrid>
        <w:gridCol w:w="1260"/>
        <w:gridCol w:w="1530"/>
        <w:gridCol w:w="4410"/>
        <w:gridCol w:w="2160"/>
      </w:tblGrid>
      <w:tr w:rsidR="00F62FE5" w:rsidRPr="004462E8" w14:paraId="29C3E1E9" w14:textId="77777777">
        <w:tc>
          <w:tcPr>
            <w:tcW w:w="1260" w:type="dxa"/>
            <w:tcBorders>
              <w:top w:val="single" w:sz="4" w:space="0" w:color="000000"/>
              <w:left w:val="single" w:sz="4" w:space="0" w:color="000000"/>
              <w:bottom w:val="single" w:sz="4" w:space="0" w:color="000000"/>
              <w:right w:val="single" w:sz="4" w:space="0" w:color="000000"/>
            </w:tcBorders>
          </w:tcPr>
          <w:p w14:paraId="59C2C241" w14:textId="77777777" w:rsidR="00F62FE5" w:rsidRPr="004462E8" w:rsidRDefault="00A66A4B">
            <w:pPr>
              <w:pStyle w:val="TableHeading"/>
              <w:rPr>
                <w:lang w:val="es-PE"/>
              </w:rPr>
            </w:pPr>
            <w:r w:rsidRPr="004462E8">
              <w:rPr>
                <w:lang w:val="es-PE"/>
              </w:rPr>
              <w:t>Versión</w:t>
            </w:r>
          </w:p>
        </w:tc>
        <w:tc>
          <w:tcPr>
            <w:tcW w:w="1530" w:type="dxa"/>
            <w:tcBorders>
              <w:top w:val="single" w:sz="4" w:space="0" w:color="000000"/>
              <w:left w:val="single" w:sz="4" w:space="0" w:color="000000"/>
              <w:bottom w:val="single" w:sz="4" w:space="0" w:color="000000"/>
              <w:right w:val="single" w:sz="4" w:space="0" w:color="000000"/>
            </w:tcBorders>
          </w:tcPr>
          <w:p w14:paraId="1FA322D7" w14:textId="77777777" w:rsidR="00F62FE5" w:rsidRPr="004462E8" w:rsidRDefault="00A66A4B">
            <w:pPr>
              <w:pStyle w:val="TableHeading"/>
              <w:rPr>
                <w:lang w:val="es-PE"/>
              </w:rPr>
            </w:pPr>
            <w:r w:rsidRPr="004462E8">
              <w:rPr>
                <w:lang w:val="es-PE"/>
              </w:rPr>
              <w:t>Fecha</w:t>
            </w:r>
          </w:p>
        </w:tc>
        <w:tc>
          <w:tcPr>
            <w:tcW w:w="4410" w:type="dxa"/>
            <w:tcBorders>
              <w:top w:val="single" w:sz="4" w:space="0" w:color="000000"/>
              <w:left w:val="single" w:sz="4" w:space="0" w:color="000000"/>
              <w:bottom w:val="single" w:sz="4" w:space="0" w:color="000000"/>
              <w:right w:val="single" w:sz="4" w:space="0" w:color="000000"/>
            </w:tcBorders>
          </w:tcPr>
          <w:p w14:paraId="507C42CF" w14:textId="77777777" w:rsidR="00F62FE5" w:rsidRPr="004462E8" w:rsidRDefault="00A66A4B">
            <w:pPr>
              <w:pStyle w:val="TableHeading"/>
              <w:rPr>
                <w:lang w:val="es-PE"/>
              </w:rPr>
            </w:pPr>
            <w:r w:rsidRPr="004462E8">
              <w:rPr>
                <w:lang w:val="es-PE"/>
              </w:rPr>
              <w:t>Descripción de la revisión</w:t>
            </w:r>
          </w:p>
        </w:tc>
        <w:tc>
          <w:tcPr>
            <w:tcW w:w="2160" w:type="dxa"/>
            <w:tcBorders>
              <w:top w:val="single" w:sz="4" w:space="0" w:color="000000"/>
              <w:left w:val="single" w:sz="4" w:space="0" w:color="000000"/>
              <w:bottom w:val="single" w:sz="4" w:space="0" w:color="000000"/>
              <w:right w:val="single" w:sz="4" w:space="0" w:color="000000"/>
            </w:tcBorders>
          </w:tcPr>
          <w:p w14:paraId="4A1BDB96" w14:textId="77777777" w:rsidR="00F62FE5" w:rsidRPr="004462E8" w:rsidRDefault="00A66A4B">
            <w:pPr>
              <w:pStyle w:val="TableHeading"/>
              <w:rPr>
                <w:lang w:val="es-PE"/>
              </w:rPr>
            </w:pPr>
            <w:r w:rsidRPr="004462E8">
              <w:rPr>
                <w:lang w:val="es-PE"/>
              </w:rPr>
              <w:t>Autor</w:t>
            </w:r>
          </w:p>
        </w:tc>
      </w:tr>
      <w:tr w:rsidR="00F62FE5" w:rsidRPr="004462E8" w14:paraId="1BD6DF7A" w14:textId="77777777">
        <w:tc>
          <w:tcPr>
            <w:tcW w:w="1260" w:type="dxa"/>
            <w:tcBorders>
              <w:top w:val="single" w:sz="4" w:space="0" w:color="000000"/>
              <w:left w:val="single" w:sz="4" w:space="0" w:color="000000"/>
              <w:bottom w:val="single" w:sz="4" w:space="0" w:color="000000"/>
              <w:right w:val="single" w:sz="4" w:space="0" w:color="000000"/>
            </w:tcBorders>
          </w:tcPr>
          <w:p w14:paraId="5ABE6802" w14:textId="77777777" w:rsidR="00F62FE5" w:rsidRPr="004462E8" w:rsidRDefault="00F62FE5">
            <w:pPr>
              <w:pStyle w:val="Textoindependiente"/>
              <w:snapToGrid w:val="0"/>
              <w:spacing w:before="20" w:after="20"/>
              <w:rPr>
                <w:color w:val="0000FF"/>
                <w:sz w:val="20"/>
                <w:lang w:val="es-PE"/>
              </w:rPr>
            </w:pPr>
          </w:p>
        </w:tc>
        <w:tc>
          <w:tcPr>
            <w:tcW w:w="1530" w:type="dxa"/>
            <w:tcBorders>
              <w:top w:val="single" w:sz="4" w:space="0" w:color="000000"/>
              <w:left w:val="single" w:sz="4" w:space="0" w:color="000000"/>
              <w:bottom w:val="single" w:sz="4" w:space="0" w:color="000000"/>
              <w:right w:val="single" w:sz="4" w:space="0" w:color="000000"/>
            </w:tcBorders>
          </w:tcPr>
          <w:p w14:paraId="55A8EFB0" w14:textId="77777777" w:rsidR="00F62FE5" w:rsidRPr="004462E8" w:rsidRDefault="00F62FE5">
            <w:pPr>
              <w:pStyle w:val="Textoindependiente"/>
              <w:snapToGrid w:val="0"/>
              <w:spacing w:before="20" w:after="20"/>
              <w:rPr>
                <w:color w:val="0000FF"/>
                <w:sz w:val="20"/>
                <w:lang w:val="es-PE"/>
              </w:rPr>
            </w:pPr>
          </w:p>
        </w:tc>
        <w:tc>
          <w:tcPr>
            <w:tcW w:w="4410" w:type="dxa"/>
            <w:tcBorders>
              <w:top w:val="single" w:sz="4" w:space="0" w:color="000000"/>
              <w:left w:val="single" w:sz="4" w:space="0" w:color="000000"/>
              <w:bottom w:val="single" w:sz="4" w:space="0" w:color="000000"/>
              <w:right w:val="single" w:sz="4" w:space="0" w:color="000000"/>
            </w:tcBorders>
          </w:tcPr>
          <w:p w14:paraId="4D002068" w14:textId="77777777" w:rsidR="00F62FE5" w:rsidRPr="004462E8" w:rsidRDefault="00F62FE5">
            <w:pPr>
              <w:pStyle w:val="Textoindependiente"/>
              <w:snapToGrid w:val="0"/>
              <w:spacing w:before="20" w:after="20"/>
              <w:rPr>
                <w:color w:val="0000FF"/>
                <w:sz w:val="20"/>
                <w:lang w:val="es-PE"/>
              </w:rPr>
            </w:pPr>
          </w:p>
        </w:tc>
        <w:tc>
          <w:tcPr>
            <w:tcW w:w="2160" w:type="dxa"/>
            <w:tcBorders>
              <w:top w:val="single" w:sz="4" w:space="0" w:color="000000"/>
              <w:left w:val="single" w:sz="4" w:space="0" w:color="000000"/>
              <w:bottom w:val="single" w:sz="4" w:space="0" w:color="000000"/>
              <w:right w:val="single" w:sz="4" w:space="0" w:color="000000"/>
            </w:tcBorders>
          </w:tcPr>
          <w:p w14:paraId="18E81E16" w14:textId="77777777" w:rsidR="00F62FE5" w:rsidRPr="004462E8" w:rsidRDefault="00F62FE5">
            <w:pPr>
              <w:pStyle w:val="Textoindependiente"/>
              <w:snapToGrid w:val="0"/>
              <w:spacing w:before="20" w:after="20"/>
              <w:rPr>
                <w:color w:val="0000FF"/>
                <w:sz w:val="20"/>
                <w:lang w:val="es-PE"/>
              </w:rPr>
            </w:pPr>
          </w:p>
        </w:tc>
      </w:tr>
      <w:tr w:rsidR="00F62FE5" w:rsidRPr="004462E8" w14:paraId="436D9CA8" w14:textId="77777777">
        <w:tc>
          <w:tcPr>
            <w:tcW w:w="1260" w:type="dxa"/>
            <w:tcBorders>
              <w:top w:val="single" w:sz="4" w:space="0" w:color="000000"/>
              <w:left w:val="single" w:sz="4" w:space="0" w:color="000000"/>
              <w:bottom w:val="single" w:sz="4" w:space="0" w:color="000000"/>
              <w:right w:val="single" w:sz="4" w:space="0" w:color="000000"/>
            </w:tcBorders>
          </w:tcPr>
          <w:p w14:paraId="1D48089D" w14:textId="77777777" w:rsidR="00F62FE5" w:rsidRPr="004462E8" w:rsidRDefault="00F62FE5">
            <w:pPr>
              <w:pStyle w:val="Textoindependiente"/>
              <w:snapToGrid w:val="0"/>
              <w:spacing w:before="20" w:after="20"/>
              <w:rPr>
                <w:b/>
                <w:bCs/>
                <w:color w:val="0000FF"/>
                <w:sz w:val="20"/>
                <w:lang w:val="es-PE"/>
              </w:rPr>
            </w:pPr>
          </w:p>
        </w:tc>
        <w:tc>
          <w:tcPr>
            <w:tcW w:w="1530" w:type="dxa"/>
            <w:tcBorders>
              <w:top w:val="single" w:sz="4" w:space="0" w:color="000000"/>
              <w:left w:val="single" w:sz="4" w:space="0" w:color="000000"/>
              <w:bottom w:val="single" w:sz="4" w:space="0" w:color="000000"/>
              <w:right w:val="single" w:sz="4" w:space="0" w:color="000000"/>
            </w:tcBorders>
          </w:tcPr>
          <w:p w14:paraId="6F7F38D6" w14:textId="77777777" w:rsidR="00F62FE5" w:rsidRPr="004462E8" w:rsidRDefault="00F62FE5">
            <w:pPr>
              <w:pStyle w:val="Textoindependiente"/>
              <w:snapToGrid w:val="0"/>
              <w:spacing w:before="20" w:after="20"/>
              <w:rPr>
                <w:b/>
                <w:bCs/>
                <w:color w:val="0000FF"/>
                <w:sz w:val="20"/>
                <w:lang w:val="es-PE"/>
              </w:rPr>
            </w:pPr>
          </w:p>
        </w:tc>
        <w:tc>
          <w:tcPr>
            <w:tcW w:w="4410" w:type="dxa"/>
            <w:tcBorders>
              <w:top w:val="single" w:sz="4" w:space="0" w:color="000000"/>
              <w:left w:val="single" w:sz="4" w:space="0" w:color="000000"/>
              <w:bottom w:val="single" w:sz="4" w:space="0" w:color="000000"/>
              <w:right w:val="single" w:sz="4" w:space="0" w:color="000000"/>
            </w:tcBorders>
          </w:tcPr>
          <w:p w14:paraId="7EB466B8" w14:textId="77777777" w:rsidR="00F62FE5" w:rsidRPr="004462E8" w:rsidRDefault="00F62FE5">
            <w:pPr>
              <w:pStyle w:val="Textoindependiente"/>
              <w:snapToGrid w:val="0"/>
              <w:spacing w:before="20" w:after="20"/>
              <w:rPr>
                <w:color w:val="0000FF"/>
                <w:sz w:val="20"/>
                <w:lang w:val="es-PE"/>
              </w:rPr>
            </w:pPr>
          </w:p>
        </w:tc>
        <w:tc>
          <w:tcPr>
            <w:tcW w:w="2160" w:type="dxa"/>
            <w:tcBorders>
              <w:top w:val="single" w:sz="4" w:space="0" w:color="000000"/>
              <w:left w:val="single" w:sz="4" w:space="0" w:color="000000"/>
              <w:bottom w:val="single" w:sz="4" w:space="0" w:color="000000"/>
              <w:right w:val="single" w:sz="4" w:space="0" w:color="000000"/>
            </w:tcBorders>
          </w:tcPr>
          <w:p w14:paraId="69D5A025" w14:textId="77777777" w:rsidR="00F62FE5" w:rsidRPr="004462E8" w:rsidRDefault="00F62FE5">
            <w:pPr>
              <w:pStyle w:val="Textoindependiente"/>
              <w:snapToGrid w:val="0"/>
              <w:spacing w:before="20" w:after="20"/>
              <w:rPr>
                <w:color w:val="0000FF"/>
                <w:sz w:val="20"/>
                <w:lang w:val="es-PE"/>
              </w:rPr>
            </w:pPr>
          </w:p>
        </w:tc>
      </w:tr>
      <w:tr w:rsidR="00F62FE5" w:rsidRPr="004462E8" w14:paraId="5332C38B" w14:textId="77777777">
        <w:tc>
          <w:tcPr>
            <w:tcW w:w="1260" w:type="dxa"/>
            <w:tcBorders>
              <w:top w:val="single" w:sz="4" w:space="0" w:color="000000"/>
              <w:left w:val="single" w:sz="4" w:space="0" w:color="000000"/>
              <w:bottom w:val="single" w:sz="4" w:space="0" w:color="000000"/>
              <w:right w:val="single" w:sz="4" w:space="0" w:color="000000"/>
            </w:tcBorders>
          </w:tcPr>
          <w:p w14:paraId="5F1FC47A" w14:textId="77777777" w:rsidR="00F62FE5" w:rsidRPr="004462E8" w:rsidRDefault="00F62FE5">
            <w:pPr>
              <w:pStyle w:val="Textoindependiente"/>
              <w:snapToGrid w:val="0"/>
              <w:spacing w:before="20" w:after="20"/>
              <w:rPr>
                <w:color w:val="0000FF"/>
                <w:sz w:val="20"/>
                <w:lang w:val="es-PE"/>
              </w:rPr>
            </w:pPr>
          </w:p>
        </w:tc>
        <w:tc>
          <w:tcPr>
            <w:tcW w:w="1530" w:type="dxa"/>
            <w:tcBorders>
              <w:top w:val="single" w:sz="4" w:space="0" w:color="000000"/>
              <w:left w:val="single" w:sz="4" w:space="0" w:color="000000"/>
              <w:bottom w:val="single" w:sz="4" w:space="0" w:color="000000"/>
              <w:right w:val="single" w:sz="4" w:space="0" w:color="000000"/>
            </w:tcBorders>
          </w:tcPr>
          <w:p w14:paraId="60C1684A" w14:textId="77777777" w:rsidR="00F62FE5" w:rsidRPr="004462E8" w:rsidRDefault="00F62FE5">
            <w:pPr>
              <w:pStyle w:val="Textoindependiente"/>
              <w:snapToGrid w:val="0"/>
              <w:spacing w:before="20" w:after="20"/>
              <w:rPr>
                <w:color w:val="0000FF"/>
                <w:sz w:val="20"/>
                <w:lang w:val="es-PE"/>
              </w:rPr>
            </w:pPr>
          </w:p>
        </w:tc>
        <w:tc>
          <w:tcPr>
            <w:tcW w:w="4410" w:type="dxa"/>
            <w:tcBorders>
              <w:top w:val="single" w:sz="4" w:space="0" w:color="000000"/>
              <w:left w:val="single" w:sz="4" w:space="0" w:color="000000"/>
              <w:bottom w:val="single" w:sz="4" w:space="0" w:color="000000"/>
              <w:right w:val="single" w:sz="4" w:space="0" w:color="000000"/>
            </w:tcBorders>
          </w:tcPr>
          <w:p w14:paraId="76CAD544" w14:textId="77777777" w:rsidR="00F62FE5" w:rsidRPr="004462E8" w:rsidRDefault="00F62FE5">
            <w:pPr>
              <w:pStyle w:val="Textoindependiente"/>
              <w:snapToGrid w:val="0"/>
              <w:spacing w:before="20" w:after="20"/>
              <w:rPr>
                <w:color w:val="0000FF"/>
                <w:sz w:val="20"/>
                <w:lang w:val="es-PE"/>
              </w:rPr>
            </w:pPr>
          </w:p>
        </w:tc>
        <w:tc>
          <w:tcPr>
            <w:tcW w:w="2160" w:type="dxa"/>
            <w:tcBorders>
              <w:top w:val="single" w:sz="4" w:space="0" w:color="000000"/>
              <w:left w:val="single" w:sz="4" w:space="0" w:color="000000"/>
              <w:bottom w:val="single" w:sz="4" w:space="0" w:color="000000"/>
              <w:right w:val="single" w:sz="4" w:space="0" w:color="000000"/>
            </w:tcBorders>
          </w:tcPr>
          <w:p w14:paraId="5E64919B" w14:textId="77777777" w:rsidR="00F62FE5" w:rsidRPr="004462E8" w:rsidRDefault="00F62FE5">
            <w:pPr>
              <w:pStyle w:val="Textoindependiente"/>
              <w:snapToGrid w:val="0"/>
              <w:spacing w:before="20" w:after="20"/>
              <w:rPr>
                <w:color w:val="0000FF"/>
                <w:sz w:val="20"/>
                <w:lang w:val="es-PE"/>
              </w:rPr>
            </w:pPr>
          </w:p>
        </w:tc>
      </w:tr>
    </w:tbl>
    <w:p w14:paraId="5D849C56" w14:textId="77777777" w:rsidR="00F62FE5" w:rsidRPr="004462E8" w:rsidRDefault="00F62FE5">
      <w:pPr>
        <w:pStyle w:val="Encabezado"/>
        <w:rPr>
          <w:b/>
          <w:lang w:val="es-PE"/>
        </w:rPr>
      </w:pPr>
    </w:p>
    <w:p w14:paraId="436E7E36" w14:textId="77777777" w:rsidR="00F62FE5" w:rsidRPr="004462E8" w:rsidRDefault="00A66A4B">
      <w:pPr>
        <w:pStyle w:val="Encabezado"/>
        <w:spacing w:after="120"/>
        <w:rPr>
          <w:b/>
          <w:lang w:val="es-PE"/>
        </w:rPr>
      </w:pPr>
      <w:r w:rsidRPr="004462E8">
        <w:rPr>
          <w:b/>
          <w:lang w:val="es-PE"/>
        </w:rPr>
        <w:t>Aprobación</w:t>
      </w:r>
    </w:p>
    <w:p w14:paraId="00ECB7D6" w14:textId="77777777" w:rsidR="00F62FE5" w:rsidRPr="004462E8" w:rsidRDefault="00F62FE5">
      <w:pPr>
        <w:rPr>
          <w:b/>
          <w:lang w:val="es-PE"/>
        </w:rPr>
      </w:pPr>
    </w:p>
    <w:tbl>
      <w:tblPr>
        <w:tblW w:w="9360" w:type="dxa"/>
        <w:tblInd w:w="-185" w:type="dxa"/>
        <w:tblLayout w:type="fixed"/>
        <w:tblLook w:val="0000" w:firstRow="0" w:lastRow="0" w:firstColumn="0" w:lastColumn="0" w:noHBand="0" w:noVBand="0"/>
      </w:tblPr>
      <w:tblGrid>
        <w:gridCol w:w="1800"/>
        <w:gridCol w:w="4500"/>
        <w:gridCol w:w="3060"/>
      </w:tblGrid>
      <w:tr w:rsidR="00F62FE5" w:rsidRPr="004462E8" w14:paraId="63639935" w14:textId="77777777">
        <w:tc>
          <w:tcPr>
            <w:tcW w:w="1800" w:type="dxa"/>
            <w:tcBorders>
              <w:top w:val="single" w:sz="4" w:space="0" w:color="000000"/>
              <w:left w:val="single" w:sz="4" w:space="0" w:color="000000"/>
              <w:bottom w:val="single" w:sz="4" w:space="0" w:color="000000"/>
              <w:right w:val="single" w:sz="4" w:space="0" w:color="000000"/>
            </w:tcBorders>
          </w:tcPr>
          <w:p w14:paraId="14553488" w14:textId="77777777" w:rsidR="00F62FE5" w:rsidRPr="004462E8" w:rsidRDefault="00A66A4B">
            <w:pPr>
              <w:pStyle w:val="TableHeading"/>
              <w:rPr>
                <w:lang w:val="es-PE"/>
              </w:rPr>
            </w:pPr>
            <w:r w:rsidRPr="004462E8">
              <w:rPr>
                <w:lang w:val="es-PE"/>
              </w:rPr>
              <w:t>Aprobador</w:t>
            </w:r>
          </w:p>
        </w:tc>
        <w:tc>
          <w:tcPr>
            <w:tcW w:w="4500" w:type="dxa"/>
            <w:tcBorders>
              <w:top w:val="single" w:sz="4" w:space="0" w:color="000000"/>
              <w:left w:val="single" w:sz="4" w:space="0" w:color="000000"/>
              <w:bottom w:val="single" w:sz="4" w:space="0" w:color="000000"/>
              <w:right w:val="single" w:sz="4" w:space="0" w:color="000000"/>
            </w:tcBorders>
          </w:tcPr>
          <w:p w14:paraId="23CD0A32" w14:textId="77777777" w:rsidR="00F62FE5" w:rsidRPr="004462E8" w:rsidRDefault="00A66A4B">
            <w:pPr>
              <w:pStyle w:val="TableHeading"/>
              <w:rPr>
                <w:lang w:val="es-PE"/>
              </w:rPr>
            </w:pPr>
            <w:r w:rsidRPr="004462E8">
              <w:rPr>
                <w:lang w:val="es-PE"/>
              </w:rPr>
              <w:t>Título</w:t>
            </w:r>
          </w:p>
        </w:tc>
        <w:tc>
          <w:tcPr>
            <w:tcW w:w="3060" w:type="dxa"/>
            <w:tcBorders>
              <w:top w:val="single" w:sz="4" w:space="0" w:color="000000"/>
              <w:left w:val="single" w:sz="4" w:space="0" w:color="000000"/>
              <w:bottom w:val="single" w:sz="4" w:space="0" w:color="000000"/>
              <w:right w:val="single" w:sz="4" w:space="0" w:color="000000"/>
            </w:tcBorders>
          </w:tcPr>
          <w:p w14:paraId="0C0CD567" w14:textId="77777777" w:rsidR="00F62FE5" w:rsidRPr="004462E8" w:rsidRDefault="00A66A4B">
            <w:pPr>
              <w:pStyle w:val="TableHeading"/>
              <w:rPr>
                <w:lang w:val="es-PE"/>
              </w:rPr>
            </w:pPr>
            <w:r w:rsidRPr="004462E8">
              <w:rPr>
                <w:lang w:val="es-PE"/>
              </w:rPr>
              <w:t>Fecha de aprobación</w:t>
            </w:r>
          </w:p>
        </w:tc>
      </w:tr>
      <w:tr w:rsidR="00F62FE5" w:rsidRPr="004462E8" w14:paraId="4AAC6CD2" w14:textId="77777777">
        <w:tc>
          <w:tcPr>
            <w:tcW w:w="1800" w:type="dxa"/>
            <w:tcBorders>
              <w:top w:val="single" w:sz="4" w:space="0" w:color="000000"/>
              <w:left w:val="single" w:sz="4" w:space="0" w:color="000000"/>
              <w:bottom w:val="single" w:sz="4" w:space="0" w:color="000000"/>
              <w:right w:val="single" w:sz="4" w:space="0" w:color="000000"/>
            </w:tcBorders>
          </w:tcPr>
          <w:p w14:paraId="7EF98511" w14:textId="77777777" w:rsidR="00F62FE5" w:rsidRPr="004462E8" w:rsidRDefault="00A66A4B">
            <w:pPr>
              <w:pStyle w:val="Textoindependiente"/>
              <w:spacing w:before="20" w:after="20"/>
              <w:rPr>
                <w:sz w:val="20"/>
                <w:lang w:val="es-PE"/>
              </w:rPr>
            </w:pPr>
            <w:r w:rsidRPr="004462E8">
              <w:rPr>
                <w:sz w:val="20"/>
                <w:lang w:val="es-PE"/>
              </w:rPr>
              <w:t>DL</w:t>
            </w:r>
          </w:p>
        </w:tc>
        <w:tc>
          <w:tcPr>
            <w:tcW w:w="4500" w:type="dxa"/>
            <w:tcBorders>
              <w:top w:val="single" w:sz="4" w:space="0" w:color="000000"/>
              <w:left w:val="single" w:sz="4" w:space="0" w:color="000000"/>
              <w:bottom w:val="single" w:sz="4" w:space="0" w:color="000000"/>
              <w:right w:val="single" w:sz="4" w:space="0" w:color="000000"/>
            </w:tcBorders>
          </w:tcPr>
          <w:p w14:paraId="4572DA9B" w14:textId="77777777" w:rsidR="00F62FE5" w:rsidRPr="004462E8" w:rsidRDefault="00F62FE5">
            <w:pPr>
              <w:pStyle w:val="Textoindependiente"/>
              <w:snapToGrid w:val="0"/>
              <w:spacing w:before="20" w:after="20"/>
              <w:rPr>
                <w:color w:val="0000FF"/>
                <w:sz w:val="20"/>
                <w:lang w:val="es-PE"/>
              </w:rPr>
            </w:pPr>
          </w:p>
        </w:tc>
        <w:tc>
          <w:tcPr>
            <w:tcW w:w="3060" w:type="dxa"/>
            <w:tcBorders>
              <w:top w:val="single" w:sz="4" w:space="0" w:color="000000"/>
              <w:left w:val="single" w:sz="4" w:space="0" w:color="000000"/>
              <w:bottom w:val="single" w:sz="4" w:space="0" w:color="000000"/>
              <w:right w:val="single" w:sz="4" w:space="0" w:color="000000"/>
            </w:tcBorders>
          </w:tcPr>
          <w:p w14:paraId="623948D8" w14:textId="77777777" w:rsidR="00F62FE5" w:rsidRPr="004462E8" w:rsidRDefault="00F62FE5">
            <w:pPr>
              <w:pStyle w:val="Textoindependiente"/>
              <w:snapToGrid w:val="0"/>
              <w:spacing w:before="20" w:after="20"/>
              <w:rPr>
                <w:color w:val="0000FF"/>
                <w:sz w:val="20"/>
                <w:lang w:val="es-PE"/>
              </w:rPr>
            </w:pPr>
          </w:p>
        </w:tc>
      </w:tr>
      <w:tr w:rsidR="00F62FE5" w:rsidRPr="004462E8" w14:paraId="5E1B36D1" w14:textId="77777777">
        <w:tc>
          <w:tcPr>
            <w:tcW w:w="1800" w:type="dxa"/>
            <w:tcBorders>
              <w:top w:val="single" w:sz="4" w:space="0" w:color="000000"/>
              <w:left w:val="single" w:sz="4" w:space="0" w:color="000000"/>
              <w:bottom w:val="single" w:sz="4" w:space="0" w:color="000000"/>
              <w:right w:val="single" w:sz="4" w:space="0" w:color="000000"/>
            </w:tcBorders>
          </w:tcPr>
          <w:p w14:paraId="53D792C6" w14:textId="77777777" w:rsidR="00F62FE5" w:rsidRPr="004462E8" w:rsidRDefault="00A66A4B">
            <w:pPr>
              <w:pStyle w:val="Textoindependiente"/>
              <w:spacing w:before="20" w:after="20"/>
              <w:rPr>
                <w:bCs/>
                <w:sz w:val="20"/>
                <w:lang w:val="es-PE"/>
              </w:rPr>
            </w:pPr>
            <w:r w:rsidRPr="004462E8">
              <w:rPr>
                <w:bCs/>
                <w:sz w:val="20"/>
                <w:lang w:val="es-PE"/>
              </w:rPr>
              <w:t>SMT</w:t>
            </w:r>
          </w:p>
        </w:tc>
        <w:tc>
          <w:tcPr>
            <w:tcW w:w="4500" w:type="dxa"/>
            <w:tcBorders>
              <w:top w:val="single" w:sz="4" w:space="0" w:color="000000"/>
              <w:left w:val="single" w:sz="4" w:space="0" w:color="000000"/>
              <w:bottom w:val="single" w:sz="4" w:space="0" w:color="000000"/>
              <w:right w:val="single" w:sz="4" w:space="0" w:color="000000"/>
            </w:tcBorders>
          </w:tcPr>
          <w:p w14:paraId="102691A5" w14:textId="77777777" w:rsidR="00F62FE5" w:rsidRPr="004462E8" w:rsidRDefault="00F62FE5">
            <w:pPr>
              <w:pStyle w:val="Textoindependiente"/>
              <w:snapToGrid w:val="0"/>
              <w:spacing w:before="20" w:after="20"/>
              <w:rPr>
                <w:bCs/>
                <w:color w:val="0000FF"/>
                <w:sz w:val="20"/>
                <w:lang w:val="es-PE"/>
              </w:rPr>
            </w:pPr>
          </w:p>
        </w:tc>
        <w:tc>
          <w:tcPr>
            <w:tcW w:w="3060" w:type="dxa"/>
            <w:tcBorders>
              <w:top w:val="single" w:sz="4" w:space="0" w:color="000000"/>
              <w:left w:val="single" w:sz="4" w:space="0" w:color="000000"/>
              <w:bottom w:val="single" w:sz="4" w:space="0" w:color="000000"/>
              <w:right w:val="single" w:sz="4" w:space="0" w:color="000000"/>
            </w:tcBorders>
          </w:tcPr>
          <w:p w14:paraId="32AE2702" w14:textId="77777777" w:rsidR="00F62FE5" w:rsidRPr="004462E8" w:rsidRDefault="00F62FE5">
            <w:pPr>
              <w:pStyle w:val="Textoindependiente"/>
              <w:snapToGrid w:val="0"/>
              <w:spacing w:before="20" w:after="20"/>
              <w:rPr>
                <w:color w:val="0000FF"/>
                <w:sz w:val="20"/>
                <w:lang w:val="es-PE"/>
              </w:rPr>
            </w:pPr>
          </w:p>
        </w:tc>
      </w:tr>
      <w:tr w:rsidR="00F62FE5" w:rsidRPr="004462E8" w14:paraId="46C6E658" w14:textId="77777777">
        <w:tc>
          <w:tcPr>
            <w:tcW w:w="1800" w:type="dxa"/>
            <w:tcBorders>
              <w:top w:val="single" w:sz="4" w:space="0" w:color="000000"/>
              <w:left w:val="single" w:sz="4" w:space="0" w:color="000000"/>
              <w:bottom w:val="single" w:sz="4" w:space="0" w:color="000000"/>
              <w:right w:val="single" w:sz="4" w:space="0" w:color="000000"/>
            </w:tcBorders>
          </w:tcPr>
          <w:p w14:paraId="5512C784" w14:textId="77777777" w:rsidR="00F62FE5" w:rsidRPr="004462E8" w:rsidRDefault="00F62FE5">
            <w:pPr>
              <w:pStyle w:val="Textoindependiente"/>
              <w:snapToGrid w:val="0"/>
              <w:spacing w:before="20" w:after="20"/>
              <w:rPr>
                <w:b/>
                <w:bCs/>
                <w:color w:val="0000FF"/>
                <w:sz w:val="20"/>
                <w:lang w:val="es-PE"/>
              </w:rPr>
            </w:pPr>
          </w:p>
        </w:tc>
        <w:tc>
          <w:tcPr>
            <w:tcW w:w="4500" w:type="dxa"/>
            <w:tcBorders>
              <w:top w:val="single" w:sz="4" w:space="0" w:color="000000"/>
              <w:left w:val="single" w:sz="4" w:space="0" w:color="000000"/>
              <w:bottom w:val="single" w:sz="4" w:space="0" w:color="000000"/>
              <w:right w:val="single" w:sz="4" w:space="0" w:color="000000"/>
            </w:tcBorders>
          </w:tcPr>
          <w:p w14:paraId="4C7CF9C1" w14:textId="77777777" w:rsidR="00F62FE5" w:rsidRPr="004462E8" w:rsidRDefault="00F62FE5">
            <w:pPr>
              <w:pStyle w:val="Textoindependiente"/>
              <w:snapToGrid w:val="0"/>
              <w:spacing w:before="20" w:after="20"/>
              <w:rPr>
                <w:b/>
                <w:bCs/>
                <w:color w:val="0000FF"/>
                <w:sz w:val="20"/>
                <w:lang w:val="es-PE"/>
              </w:rPr>
            </w:pPr>
          </w:p>
        </w:tc>
        <w:tc>
          <w:tcPr>
            <w:tcW w:w="3060" w:type="dxa"/>
            <w:tcBorders>
              <w:top w:val="single" w:sz="4" w:space="0" w:color="000000"/>
              <w:left w:val="single" w:sz="4" w:space="0" w:color="000000"/>
              <w:bottom w:val="single" w:sz="4" w:space="0" w:color="000000"/>
              <w:right w:val="single" w:sz="4" w:space="0" w:color="000000"/>
            </w:tcBorders>
          </w:tcPr>
          <w:p w14:paraId="7186430B" w14:textId="77777777" w:rsidR="00F62FE5" w:rsidRPr="004462E8" w:rsidRDefault="00F62FE5">
            <w:pPr>
              <w:pStyle w:val="Textoindependiente"/>
              <w:snapToGrid w:val="0"/>
              <w:spacing w:before="20" w:after="20"/>
              <w:rPr>
                <w:b/>
                <w:bCs/>
                <w:color w:val="0000FF"/>
                <w:sz w:val="20"/>
                <w:lang w:val="es-PE"/>
              </w:rPr>
            </w:pPr>
          </w:p>
        </w:tc>
      </w:tr>
    </w:tbl>
    <w:p w14:paraId="577FA6CB" w14:textId="77777777" w:rsidR="00F62FE5" w:rsidRPr="004462E8" w:rsidRDefault="00F62FE5">
      <w:pPr>
        <w:pStyle w:val="Encabezado"/>
        <w:rPr>
          <w:b/>
          <w:lang w:val="es-PE"/>
        </w:rPr>
      </w:pPr>
    </w:p>
    <w:p w14:paraId="572E9801" w14:textId="77777777" w:rsidR="00F62FE5" w:rsidRPr="004462E8" w:rsidRDefault="00A66A4B">
      <w:pPr>
        <w:pStyle w:val="Encabezado"/>
        <w:rPr>
          <w:b/>
          <w:lang w:val="es-PE"/>
        </w:rPr>
      </w:pPr>
      <w:r w:rsidRPr="004462E8">
        <w:rPr>
          <w:b/>
          <w:lang w:val="es-PE"/>
        </w:rPr>
        <w:t>Terminación del acuerdo</w:t>
      </w:r>
    </w:p>
    <w:p w14:paraId="318A4B89" w14:textId="77777777" w:rsidR="00F62FE5" w:rsidRPr="004462E8" w:rsidRDefault="00F62FE5">
      <w:pPr>
        <w:pStyle w:val="Encabezado"/>
        <w:rPr>
          <w:b/>
          <w:lang w:val="es-PE"/>
        </w:rPr>
      </w:pPr>
    </w:p>
    <w:tbl>
      <w:tblPr>
        <w:tblW w:w="9360" w:type="dxa"/>
        <w:tblInd w:w="-185" w:type="dxa"/>
        <w:tblLayout w:type="fixed"/>
        <w:tblLook w:val="0000" w:firstRow="0" w:lastRow="0" w:firstColumn="0" w:lastColumn="0" w:noHBand="0" w:noVBand="0"/>
      </w:tblPr>
      <w:tblGrid>
        <w:gridCol w:w="2520"/>
        <w:gridCol w:w="3780"/>
        <w:gridCol w:w="3060"/>
      </w:tblGrid>
      <w:tr w:rsidR="00F62FE5" w:rsidRPr="004462E8" w14:paraId="5D622A5A" w14:textId="77777777">
        <w:tc>
          <w:tcPr>
            <w:tcW w:w="2520" w:type="dxa"/>
            <w:tcBorders>
              <w:top w:val="single" w:sz="4" w:space="0" w:color="000000"/>
              <w:left w:val="single" w:sz="4" w:space="0" w:color="000000"/>
              <w:bottom w:val="single" w:sz="4" w:space="0" w:color="000000"/>
              <w:right w:val="single" w:sz="4" w:space="0" w:color="000000"/>
            </w:tcBorders>
          </w:tcPr>
          <w:p w14:paraId="21809333" w14:textId="77777777" w:rsidR="00F62FE5" w:rsidRPr="004462E8" w:rsidRDefault="00A66A4B">
            <w:pPr>
              <w:pStyle w:val="TableHeading"/>
              <w:rPr>
                <w:lang w:val="es-PE"/>
              </w:rPr>
            </w:pPr>
            <w:r w:rsidRPr="004462E8">
              <w:rPr>
                <w:lang w:val="es-PE"/>
              </w:rPr>
              <w:t>Aprobador</w:t>
            </w:r>
          </w:p>
        </w:tc>
        <w:tc>
          <w:tcPr>
            <w:tcW w:w="3780" w:type="dxa"/>
            <w:tcBorders>
              <w:top w:val="single" w:sz="4" w:space="0" w:color="000000"/>
              <w:left w:val="single" w:sz="4" w:space="0" w:color="000000"/>
              <w:bottom w:val="single" w:sz="4" w:space="0" w:color="000000"/>
              <w:right w:val="single" w:sz="4" w:space="0" w:color="000000"/>
            </w:tcBorders>
          </w:tcPr>
          <w:p w14:paraId="5C9BC97E" w14:textId="77777777" w:rsidR="00F62FE5" w:rsidRPr="004462E8" w:rsidRDefault="00A66A4B">
            <w:pPr>
              <w:pStyle w:val="TableHeading"/>
              <w:rPr>
                <w:lang w:val="es-PE"/>
              </w:rPr>
            </w:pPr>
            <w:r w:rsidRPr="004462E8">
              <w:rPr>
                <w:lang w:val="es-PE"/>
              </w:rPr>
              <w:t>Título</w:t>
            </w:r>
          </w:p>
        </w:tc>
        <w:tc>
          <w:tcPr>
            <w:tcW w:w="3060" w:type="dxa"/>
            <w:tcBorders>
              <w:top w:val="single" w:sz="4" w:space="0" w:color="000000"/>
              <w:left w:val="single" w:sz="4" w:space="0" w:color="000000"/>
              <w:bottom w:val="single" w:sz="4" w:space="0" w:color="000000"/>
              <w:right w:val="single" w:sz="4" w:space="0" w:color="000000"/>
            </w:tcBorders>
          </w:tcPr>
          <w:p w14:paraId="5F8DC8EE" w14:textId="77777777" w:rsidR="00F62FE5" w:rsidRPr="004462E8" w:rsidRDefault="00A66A4B">
            <w:pPr>
              <w:pStyle w:val="TableHeading"/>
              <w:rPr>
                <w:lang w:val="es-PE"/>
              </w:rPr>
            </w:pPr>
            <w:r w:rsidRPr="004462E8">
              <w:rPr>
                <w:lang w:val="es-PE"/>
              </w:rPr>
              <w:t>Fecha de conclusión</w:t>
            </w:r>
          </w:p>
        </w:tc>
      </w:tr>
      <w:tr w:rsidR="00F62FE5" w:rsidRPr="004462E8" w14:paraId="1917951F" w14:textId="77777777">
        <w:tc>
          <w:tcPr>
            <w:tcW w:w="2520" w:type="dxa"/>
            <w:tcBorders>
              <w:top w:val="single" w:sz="4" w:space="0" w:color="000000"/>
              <w:left w:val="single" w:sz="4" w:space="0" w:color="000000"/>
              <w:bottom w:val="single" w:sz="4" w:space="0" w:color="000000"/>
              <w:right w:val="single" w:sz="4" w:space="0" w:color="000000"/>
            </w:tcBorders>
          </w:tcPr>
          <w:p w14:paraId="19FF9B02" w14:textId="77777777" w:rsidR="00F62FE5" w:rsidRPr="004462E8" w:rsidRDefault="00A66A4B">
            <w:pPr>
              <w:pStyle w:val="Textoindependiente"/>
              <w:spacing w:before="20" w:after="20"/>
              <w:rPr>
                <w:sz w:val="20"/>
                <w:lang w:val="es-PE"/>
              </w:rPr>
            </w:pPr>
            <w:r w:rsidRPr="004462E8">
              <w:rPr>
                <w:sz w:val="20"/>
                <w:lang w:val="es-PE"/>
              </w:rPr>
              <w:t>DL</w:t>
            </w:r>
          </w:p>
        </w:tc>
        <w:tc>
          <w:tcPr>
            <w:tcW w:w="3780" w:type="dxa"/>
            <w:tcBorders>
              <w:top w:val="single" w:sz="4" w:space="0" w:color="000000"/>
              <w:left w:val="single" w:sz="4" w:space="0" w:color="000000"/>
              <w:bottom w:val="single" w:sz="4" w:space="0" w:color="000000"/>
              <w:right w:val="single" w:sz="4" w:space="0" w:color="000000"/>
            </w:tcBorders>
          </w:tcPr>
          <w:p w14:paraId="7DEA6D2C" w14:textId="77777777" w:rsidR="00F62FE5" w:rsidRPr="004462E8" w:rsidRDefault="00F62FE5">
            <w:pPr>
              <w:pStyle w:val="Textoindependiente"/>
              <w:snapToGrid w:val="0"/>
              <w:spacing w:before="20" w:after="20"/>
              <w:rPr>
                <w:color w:val="0000FF"/>
                <w:sz w:val="20"/>
                <w:lang w:val="es-PE"/>
              </w:rPr>
            </w:pPr>
          </w:p>
        </w:tc>
        <w:tc>
          <w:tcPr>
            <w:tcW w:w="3060" w:type="dxa"/>
            <w:tcBorders>
              <w:top w:val="single" w:sz="4" w:space="0" w:color="000000"/>
              <w:left w:val="single" w:sz="4" w:space="0" w:color="000000"/>
              <w:bottom w:val="single" w:sz="4" w:space="0" w:color="000000"/>
              <w:right w:val="single" w:sz="4" w:space="0" w:color="000000"/>
            </w:tcBorders>
          </w:tcPr>
          <w:p w14:paraId="256B1BD6" w14:textId="77777777" w:rsidR="00F62FE5" w:rsidRPr="004462E8" w:rsidRDefault="00F62FE5">
            <w:pPr>
              <w:pStyle w:val="Textoindependiente"/>
              <w:snapToGrid w:val="0"/>
              <w:spacing w:before="20" w:after="20"/>
              <w:rPr>
                <w:color w:val="0000FF"/>
                <w:sz w:val="20"/>
                <w:lang w:val="es-PE"/>
              </w:rPr>
            </w:pPr>
          </w:p>
        </w:tc>
      </w:tr>
      <w:tr w:rsidR="00F62FE5" w:rsidRPr="004462E8" w14:paraId="4BC0F0D8" w14:textId="77777777">
        <w:tc>
          <w:tcPr>
            <w:tcW w:w="2520" w:type="dxa"/>
            <w:tcBorders>
              <w:top w:val="single" w:sz="4" w:space="0" w:color="000000"/>
              <w:left w:val="single" w:sz="4" w:space="0" w:color="000000"/>
              <w:bottom w:val="single" w:sz="4" w:space="0" w:color="000000"/>
              <w:right w:val="single" w:sz="4" w:space="0" w:color="000000"/>
            </w:tcBorders>
          </w:tcPr>
          <w:p w14:paraId="38C07877" w14:textId="77777777" w:rsidR="00F62FE5" w:rsidRPr="004462E8" w:rsidRDefault="00A66A4B">
            <w:pPr>
              <w:pStyle w:val="Textoindependiente"/>
              <w:spacing w:before="20" w:after="20"/>
              <w:rPr>
                <w:bCs/>
                <w:sz w:val="20"/>
                <w:lang w:val="es-PE"/>
              </w:rPr>
            </w:pPr>
            <w:r w:rsidRPr="004462E8">
              <w:rPr>
                <w:bCs/>
                <w:sz w:val="20"/>
                <w:lang w:val="es-PE"/>
              </w:rPr>
              <w:t>SMT</w:t>
            </w:r>
          </w:p>
        </w:tc>
        <w:tc>
          <w:tcPr>
            <w:tcW w:w="3780" w:type="dxa"/>
            <w:tcBorders>
              <w:top w:val="single" w:sz="4" w:space="0" w:color="000000"/>
              <w:left w:val="single" w:sz="4" w:space="0" w:color="000000"/>
              <w:bottom w:val="single" w:sz="4" w:space="0" w:color="000000"/>
              <w:right w:val="single" w:sz="4" w:space="0" w:color="000000"/>
            </w:tcBorders>
          </w:tcPr>
          <w:p w14:paraId="4ADA3B88" w14:textId="77777777" w:rsidR="00F62FE5" w:rsidRPr="004462E8" w:rsidRDefault="00F62FE5">
            <w:pPr>
              <w:pStyle w:val="Textoindependiente"/>
              <w:snapToGrid w:val="0"/>
              <w:spacing w:before="20" w:after="20"/>
              <w:rPr>
                <w:bCs/>
                <w:color w:val="0000FF"/>
                <w:sz w:val="20"/>
                <w:lang w:val="es-PE"/>
              </w:rPr>
            </w:pPr>
          </w:p>
        </w:tc>
        <w:tc>
          <w:tcPr>
            <w:tcW w:w="3060" w:type="dxa"/>
            <w:tcBorders>
              <w:top w:val="single" w:sz="4" w:space="0" w:color="000000"/>
              <w:left w:val="single" w:sz="4" w:space="0" w:color="000000"/>
              <w:bottom w:val="single" w:sz="4" w:space="0" w:color="000000"/>
              <w:right w:val="single" w:sz="4" w:space="0" w:color="000000"/>
            </w:tcBorders>
          </w:tcPr>
          <w:p w14:paraId="312AA321" w14:textId="77777777" w:rsidR="00F62FE5" w:rsidRPr="004462E8" w:rsidRDefault="00F62FE5">
            <w:pPr>
              <w:pStyle w:val="Textoindependiente"/>
              <w:snapToGrid w:val="0"/>
              <w:spacing w:before="20" w:after="20"/>
              <w:rPr>
                <w:color w:val="0000FF"/>
                <w:sz w:val="20"/>
                <w:lang w:val="es-PE"/>
              </w:rPr>
            </w:pPr>
          </w:p>
        </w:tc>
      </w:tr>
      <w:tr w:rsidR="00F62FE5" w:rsidRPr="004462E8" w14:paraId="0EC10138" w14:textId="77777777">
        <w:tc>
          <w:tcPr>
            <w:tcW w:w="2520" w:type="dxa"/>
            <w:tcBorders>
              <w:top w:val="single" w:sz="4" w:space="0" w:color="000000"/>
              <w:left w:val="single" w:sz="4" w:space="0" w:color="000000"/>
              <w:bottom w:val="single" w:sz="4" w:space="0" w:color="000000"/>
              <w:right w:val="single" w:sz="4" w:space="0" w:color="000000"/>
            </w:tcBorders>
          </w:tcPr>
          <w:p w14:paraId="43E46FBA" w14:textId="77777777" w:rsidR="00F62FE5" w:rsidRPr="004462E8" w:rsidRDefault="00F62FE5">
            <w:pPr>
              <w:pStyle w:val="Textoindependiente"/>
              <w:snapToGrid w:val="0"/>
              <w:spacing w:before="20" w:after="20"/>
              <w:rPr>
                <w:b/>
                <w:bCs/>
                <w:color w:val="0000FF"/>
                <w:sz w:val="20"/>
                <w:lang w:val="es-PE"/>
              </w:rPr>
            </w:pPr>
          </w:p>
        </w:tc>
        <w:tc>
          <w:tcPr>
            <w:tcW w:w="3780" w:type="dxa"/>
            <w:tcBorders>
              <w:top w:val="single" w:sz="4" w:space="0" w:color="000000"/>
              <w:left w:val="single" w:sz="4" w:space="0" w:color="000000"/>
              <w:bottom w:val="single" w:sz="4" w:space="0" w:color="000000"/>
              <w:right w:val="single" w:sz="4" w:space="0" w:color="000000"/>
            </w:tcBorders>
          </w:tcPr>
          <w:p w14:paraId="2D9F0392" w14:textId="77777777" w:rsidR="00F62FE5" w:rsidRPr="004462E8" w:rsidRDefault="00F62FE5">
            <w:pPr>
              <w:pStyle w:val="Textoindependiente"/>
              <w:snapToGrid w:val="0"/>
              <w:spacing w:before="20" w:after="20"/>
              <w:rPr>
                <w:b/>
                <w:bCs/>
                <w:color w:val="0000FF"/>
                <w:sz w:val="20"/>
                <w:lang w:val="es-PE"/>
              </w:rPr>
            </w:pPr>
          </w:p>
        </w:tc>
        <w:tc>
          <w:tcPr>
            <w:tcW w:w="3060" w:type="dxa"/>
            <w:tcBorders>
              <w:top w:val="single" w:sz="4" w:space="0" w:color="000000"/>
              <w:left w:val="single" w:sz="4" w:space="0" w:color="000000"/>
              <w:bottom w:val="single" w:sz="4" w:space="0" w:color="000000"/>
              <w:right w:val="single" w:sz="4" w:space="0" w:color="000000"/>
            </w:tcBorders>
          </w:tcPr>
          <w:p w14:paraId="4858B914" w14:textId="77777777" w:rsidR="00F62FE5" w:rsidRPr="004462E8" w:rsidRDefault="00F62FE5">
            <w:pPr>
              <w:pStyle w:val="Textoindependiente"/>
              <w:snapToGrid w:val="0"/>
              <w:spacing w:before="20" w:after="20"/>
              <w:rPr>
                <w:b/>
                <w:bCs/>
                <w:color w:val="0000FF"/>
                <w:sz w:val="20"/>
                <w:lang w:val="es-PE"/>
              </w:rPr>
            </w:pPr>
          </w:p>
        </w:tc>
      </w:tr>
    </w:tbl>
    <w:p w14:paraId="1D5889BA" w14:textId="77777777" w:rsidR="00F62FE5" w:rsidRPr="004462E8" w:rsidRDefault="00F62FE5">
      <w:pPr>
        <w:pStyle w:val="Encabezado"/>
        <w:rPr>
          <w:b/>
          <w:lang w:val="es-PE"/>
        </w:rPr>
      </w:pPr>
    </w:p>
    <w:tbl>
      <w:tblPr>
        <w:tblW w:w="9360" w:type="dxa"/>
        <w:tblInd w:w="-185" w:type="dxa"/>
        <w:tblLayout w:type="fixed"/>
        <w:tblLook w:val="0000" w:firstRow="0" w:lastRow="0" w:firstColumn="0" w:lastColumn="0" w:noHBand="0" w:noVBand="0"/>
      </w:tblPr>
      <w:tblGrid>
        <w:gridCol w:w="4140"/>
        <w:gridCol w:w="5220"/>
      </w:tblGrid>
      <w:tr w:rsidR="00F62FE5" w:rsidRPr="004462E8" w14:paraId="3D6CFC46" w14:textId="77777777">
        <w:tc>
          <w:tcPr>
            <w:tcW w:w="4140" w:type="dxa"/>
            <w:tcBorders>
              <w:top w:val="single" w:sz="4" w:space="0" w:color="000000"/>
              <w:left w:val="single" w:sz="4" w:space="0" w:color="000000"/>
              <w:bottom w:val="single" w:sz="4" w:space="0" w:color="000000"/>
              <w:right w:val="single" w:sz="4" w:space="0" w:color="000000"/>
            </w:tcBorders>
          </w:tcPr>
          <w:p w14:paraId="68A869E0" w14:textId="77777777" w:rsidR="00F62FE5" w:rsidRPr="004462E8" w:rsidRDefault="00A66A4B">
            <w:pPr>
              <w:pStyle w:val="Textoindependiente"/>
              <w:spacing w:before="20" w:after="20"/>
              <w:rPr>
                <w:b/>
                <w:bCs/>
                <w:szCs w:val="24"/>
                <w:lang w:val="es-PE"/>
              </w:rPr>
            </w:pPr>
            <w:r w:rsidRPr="004462E8">
              <w:rPr>
                <w:b/>
                <w:bCs/>
                <w:szCs w:val="24"/>
                <w:lang w:val="es-PE"/>
              </w:rPr>
              <w:t xml:space="preserve">Otro acuerdo </w:t>
            </w:r>
            <w:proofErr w:type="spellStart"/>
            <w:r w:rsidRPr="004462E8">
              <w:rPr>
                <w:b/>
                <w:bCs/>
                <w:szCs w:val="24"/>
                <w:lang w:val="es-PE"/>
              </w:rPr>
              <w:t>Ref</w:t>
            </w:r>
            <w:proofErr w:type="spellEnd"/>
            <w:r w:rsidRPr="004462E8">
              <w:rPr>
                <w:b/>
                <w:bCs/>
                <w:szCs w:val="24"/>
                <w:lang w:val="es-PE"/>
              </w:rP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1FF2B741" w14:textId="69268246" w:rsidR="00F62FE5" w:rsidRPr="004462E8" w:rsidRDefault="00F62FE5">
            <w:pPr>
              <w:pStyle w:val="Textoindependiente"/>
              <w:spacing w:before="20" w:after="20"/>
              <w:rPr>
                <w:color w:val="0000FF"/>
                <w:sz w:val="20"/>
                <w:lang w:val="es-PE"/>
              </w:rPr>
            </w:pPr>
          </w:p>
        </w:tc>
      </w:tr>
    </w:tbl>
    <w:p w14:paraId="1916E418" w14:textId="77777777" w:rsidR="00F62FE5" w:rsidRPr="004462E8" w:rsidRDefault="00A66A4B">
      <w:pPr>
        <w:pStyle w:val="Encabezado"/>
        <w:rPr>
          <w:b/>
          <w:lang w:val="es-PE"/>
        </w:rPr>
      </w:pPr>
      <w:r w:rsidRPr="004462E8">
        <w:rPr>
          <w:lang w:val="es-PE"/>
        </w:rPr>
        <w:br w:type="page"/>
      </w:r>
      <w:r w:rsidRPr="004462E8">
        <w:rPr>
          <w:b/>
          <w:lang w:val="es-PE"/>
        </w:rPr>
        <w:lastRenderedPageBreak/>
        <w:t>Tabla de contenido</w:t>
      </w:r>
    </w:p>
    <w:p w14:paraId="1E393E51" w14:textId="77777777" w:rsidR="00F62FE5" w:rsidRPr="004462E8" w:rsidRDefault="00F62FE5">
      <w:pPr>
        <w:pStyle w:val="Encabezado"/>
        <w:rPr>
          <w:b/>
          <w:lang w:val="es-PE"/>
        </w:rPr>
      </w:pPr>
    </w:p>
    <w:sdt>
      <w:sdtPr>
        <w:rPr>
          <w:lang w:val="es-PE"/>
        </w:rPr>
        <w:id w:val="1178389674"/>
        <w:docPartObj>
          <w:docPartGallery w:val="Table of Contents"/>
          <w:docPartUnique/>
        </w:docPartObj>
      </w:sdtPr>
      <w:sdtEndPr/>
      <w:sdtContent>
        <w:p w14:paraId="15187BDA" w14:textId="77777777" w:rsidR="00F62FE5" w:rsidRPr="004462E8" w:rsidRDefault="00A66A4B">
          <w:pPr>
            <w:pStyle w:val="TDC1"/>
            <w:tabs>
              <w:tab w:val="clear" w:pos="9926"/>
            </w:tabs>
            <w:rPr>
              <w:lang w:val="es-PE"/>
            </w:rPr>
          </w:pPr>
          <w:r w:rsidRPr="004462E8">
            <w:rPr>
              <w:lang w:val="es-PE"/>
            </w:rPr>
            <w:fldChar w:fldCharType="begin"/>
          </w:r>
          <w:r w:rsidRPr="004462E8">
            <w:rPr>
              <w:rStyle w:val="IndexLink"/>
              <w:lang w:val="es-PE"/>
            </w:rPr>
            <w:instrText>TOC \o "1-3" \h \z \u</w:instrText>
          </w:r>
          <w:r w:rsidRPr="004462E8">
            <w:rPr>
              <w:rStyle w:val="IndexLink"/>
              <w:lang w:val="es-PE"/>
            </w:rPr>
            <w:fldChar w:fldCharType="separate"/>
          </w:r>
          <w:hyperlink w:anchor="__RefHeading___Toc34_2105653500">
            <w:r w:rsidRPr="004462E8">
              <w:rPr>
                <w:rStyle w:val="IndexLink"/>
                <w:lang w:val="es-PE"/>
              </w:rPr>
              <w:t xml:space="preserve"> Plantilla de acuerdo de nivel operativo (OLA)</w:t>
            </w:r>
            <w:r w:rsidRPr="004462E8">
              <w:rPr>
                <w:rStyle w:val="IndexLink"/>
                <w:lang w:val="es-PE"/>
              </w:rPr>
              <w:tab/>
              <w:t>1</w:t>
            </w:r>
          </w:hyperlink>
        </w:p>
        <w:p w14:paraId="6754062D" w14:textId="77777777" w:rsidR="00F62FE5" w:rsidRPr="004462E8" w:rsidRDefault="00A66A4B">
          <w:pPr>
            <w:pStyle w:val="TDC2"/>
            <w:tabs>
              <w:tab w:val="right" w:leader="dot" w:pos="9360"/>
            </w:tabs>
            <w:rPr>
              <w:lang w:val="es-PE"/>
            </w:rPr>
          </w:pPr>
          <w:hyperlink w:anchor="__RefHeading___Toc30_2105653500">
            <w:r w:rsidRPr="004462E8">
              <w:rPr>
                <w:rStyle w:val="IndexLink"/>
                <w:lang w:val="es-PE"/>
              </w:rPr>
              <w:t xml:space="preserve"> Acuerdo de nivel operativo (OLA): nombre del servicio</w:t>
            </w:r>
            <w:r w:rsidRPr="004462E8">
              <w:rPr>
                <w:rStyle w:val="IndexLink"/>
                <w:lang w:val="es-PE"/>
              </w:rPr>
              <w:tab/>
              <w:t>1</w:t>
            </w:r>
          </w:hyperlink>
        </w:p>
        <w:p w14:paraId="1D7DDE17" w14:textId="77777777" w:rsidR="00F62FE5" w:rsidRPr="004462E8" w:rsidRDefault="00A66A4B">
          <w:pPr>
            <w:pStyle w:val="TDC2"/>
            <w:tabs>
              <w:tab w:val="right" w:leader="dot" w:pos="9360"/>
            </w:tabs>
            <w:rPr>
              <w:lang w:val="es-PE"/>
            </w:rPr>
          </w:pPr>
          <w:hyperlink w:anchor="__RefHeading___Toc32_2105653500">
            <w:r w:rsidRPr="004462E8">
              <w:rPr>
                <w:rStyle w:val="IndexLink"/>
                <w:lang w:val="es-PE"/>
              </w:rPr>
              <w:t xml:space="preserve"> Acuerdo de nivel operativo (OLA): nombre del servicio</w:t>
            </w:r>
            <w:r w:rsidRPr="004462E8">
              <w:rPr>
                <w:rStyle w:val="IndexLink"/>
                <w:lang w:val="es-PE"/>
              </w:rPr>
              <w:tab/>
              <w:t>4</w:t>
            </w:r>
          </w:hyperlink>
        </w:p>
        <w:p w14:paraId="00BDE7DC" w14:textId="77777777" w:rsidR="00F62FE5" w:rsidRPr="004462E8" w:rsidRDefault="00A66A4B">
          <w:pPr>
            <w:pStyle w:val="TDC1"/>
            <w:tabs>
              <w:tab w:val="clear" w:pos="9926"/>
            </w:tabs>
            <w:rPr>
              <w:lang w:val="es-PE"/>
            </w:rPr>
          </w:pPr>
          <w:hyperlink w:anchor="__RefHeading___Toc171659822">
            <w:r w:rsidRPr="004462E8">
              <w:rPr>
                <w:rStyle w:val="IndexLink"/>
                <w:lang w:val="es-PE"/>
              </w:rPr>
              <w:t>1 Descripción general</w:t>
            </w:r>
            <w:r w:rsidRPr="004462E8">
              <w:rPr>
                <w:rStyle w:val="IndexLink"/>
                <w:lang w:val="es-PE"/>
              </w:rPr>
              <w:tab/>
              <w:t>4</w:t>
            </w:r>
          </w:hyperlink>
        </w:p>
        <w:p w14:paraId="10748BB0" w14:textId="77777777" w:rsidR="00F62FE5" w:rsidRPr="004462E8" w:rsidRDefault="00A66A4B">
          <w:pPr>
            <w:pStyle w:val="TDC1"/>
            <w:tabs>
              <w:tab w:val="clear" w:pos="9926"/>
            </w:tabs>
            <w:rPr>
              <w:lang w:val="es-PE"/>
            </w:rPr>
          </w:pPr>
          <w:hyperlink w:anchor="__RefHeading___Toc171659823">
            <w:r w:rsidRPr="004462E8">
              <w:rPr>
                <w:rStyle w:val="IndexLink"/>
                <w:lang w:val="es-PE"/>
              </w:rPr>
              <w:t>2 Servicio y Cargos</w:t>
            </w:r>
            <w:r w:rsidRPr="004462E8">
              <w:rPr>
                <w:rStyle w:val="IndexLink"/>
                <w:lang w:val="es-PE"/>
              </w:rPr>
              <w:tab/>
              <w:t>4</w:t>
            </w:r>
          </w:hyperlink>
        </w:p>
        <w:p w14:paraId="621F8B38" w14:textId="77777777" w:rsidR="00F62FE5" w:rsidRPr="004462E8" w:rsidRDefault="00A66A4B">
          <w:pPr>
            <w:pStyle w:val="TDC2"/>
            <w:tabs>
              <w:tab w:val="right" w:leader="dot" w:pos="9360"/>
            </w:tabs>
            <w:rPr>
              <w:lang w:val="es-PE"/>
            </w:rPr>
          </w:pPr>
          <w:hyperlink w:anchor="__RefHeading___Toc171659824">
            <w:r w:rsidRPr="004462E8">
              <w:rPr>
                <w:rStyle w:val="IndexLink"/>
                <w:lang w:val="es-PE"/>
              </w:rPr>
              <w:t>2.1 Alcance</w:t>
            </w:r>
            <w:r w:rsidRPr="004462E8">
              <w:rPr>
                <w:rStyle w:val="IndexLink"/>
                <w:lang w:val="es-PE"/>
              </w:rPr>
              <w:tab/>
              <w:t>4</w:t>
            </w:r>
          </w:hyperlink>
        </w:p>
        <w:p w14:paraId="6F2CD618" w14:textId="77777777" w:rsidR="00F62FE5" w:rsidRPr="004462E8" w:rsidRDefault="00A66A4B">
          <w:pPr>
            <w:pStyle w:val="TDC2"/>
            <w:tabs>
              <w:tab w:val="right" w:leader="dot" w:pos="9360"/>
            </w:tabs>
            <w:rPr>
              <w:lang w:val="es-PE"/>
            </w:rPr>
          </w:pPr>
          <w:hyperlink w:anchor="__RefHeading___Toc171659825">
            <w:r w:rsidRPr="004462E8">
              <w:rPr>
                <w:rStyle w:val="IndexLink"/>
                <w:lang w:val="es-PE"/>
              </w:rPr>
              <w:t>2.2 Cargos (si corresponde)</w:t>
            </w:r>
            <w:r w:rsidRPr="004462E8">
              <w:rPr>
                <w:rStyle w:val="IndexLink"/>
                <w:lang w:val="es-PE"/>
              </w:rPr>
              <w:tab/>
              <w:t>4</w:t>
            </w:r>
          </w:hyperlink>
        </w:p>
        <w:p w14:paraId="261E4AB6" w14:textId="77777777" w:rsidR="00F62FE5" w:rsidRPr="004462E8" w:rsidRDefault="00A66A4B">
          <w:pPr>
            <w:pStyle w:val="TDC2"/>
            <w:tabs>
              <w:tab w:val="right" w:leader="dot" w:pos="9360"/>
            </w:tabs>
            <w:rPr>
              <w:lang w:val="es-PE"/>
            </w:rPr>
          </w:pPr>
          <w:hyperlink w:anchor="__RefHeading___Toc171659826">
            <w:r w:rsidRPr="004462E8">
              <w:rPr>
                <w:rStyle w:val="IndexLink"/>
                <w:lang w:val="es-PE"/>
              </w:rPr>
              <w:t>2.3 Dependencias del servicio y contratos subyacentes</w:t>
            </w:r>
            <w:r w:rsidRPr="004462E8">
              <w:rPr>
                <w:rStyle w:val="IndexLink"/>
                <w:lang w:val="es-PE"/>
              </w:rPr>
              <w:tab/>
              <w:t>4</w:t>
            </w:r>
          </w:hyperlink>
        </w:p>
        <w:p w14:paraId="7324E27C" w14:textId="77777777" w:rsidR="00F62FE5" w:rsidRPr="004462E8" w:rsidRDefault="00A66A4B">
          <w:pPr>
            <w:pStyle w:val="TDC2"/>
            <w:tabs>
              <w:tab w:val="right" w:leader="dot" w:pos="9360"/>
            </w:tabs>
            <w:rPr>
              <w:lang w:val="es-PE"/>
            </w:rPr>
          </w:pPr>
          <w:hyperlink w:anchor="__RefHeading___Toc171659827">
            <w:r w:rsidRPr="004462E8">
              <w:rPr>
                <w:rStyle w:val="IndexLink"/>
                <w:lang w:val="es-PE"/>
              </w:rPr>
              <w:t>2.4 Supuestos</w:t>
            </w:r>
            <w:r w:rsidRPr="004462E8">
              <w:rPr>
                <w:rStyle w:val="IndexLink"/>
                <w:lang w:val="es-PE"/>
              </w:rPr>
              <w:tab/>
              <w:t>4</w:t>
            </w:r>
          </w:hyperlink>
        </w:p>
        <w:p w14:paraId="69119BFE" w14:textId="77777777" w:rsidR="00F62FE5" w:rsidRPr="004462E8" w:rsidRDefault="00A66A4B">
          <w:pPr>
            <w:pStyle w:val="TDC1"/>
            <w:tabs>
              <w:tab w:val="clear" w:pos="9926"/>
            </w:tabs>
            <w:rPr>
              <w:lang w:val="es-PE"/>
            </w:rPr>
          </w:pPr>
          <w:hyperlink w:anchor="__RefHeading___Toc171659828">
            <w:r w:rsidRPr="004462E8">
              <w:rPr>
                <w:rStyle w:val="IndexLink"/>
                <w:lang w:val="es-PE"/>
              </w:rPr>
              <w:t>3 partes responsables</w:t>
            </w:r>
            <w:r w:rsidRPr="004462E8">
              <w:rPr>
                <w:rStyle w:val="IndexLink"/>
                <w:lang w:val="es-PE"/>
              </w:rPr>
              <w:tab/>
              <w:t>4</w:t>
            </w:r>
          </w:hyperlink>
        </w:p>
        <w:p w14:paraId="639A3D4E" w14:textId="77777777" w:rsidR="00F62FE5" w:rsidRPr="004462E8" w:rsidRDefault="00A66A4B">
          <w:pPr>
            <w:pStyle w:val="TDC1"/>
            <w:tabs>
              <w:tab w:val="clear" w:pos="9926"/>
            </w:tabs>
            <w:rPr>
              <w:lang w:val="es-PE"/>
            </w:rPr>
          </w:pPr>
          <w:hyperlink w:anchor="__RefHeading___Toc171659829">
            <w:r w:rsidRPr="004462E8">
              <w:rPr>
                <w:rStyle w:val="IndexLink"/>
                <w:lang w:val="es-PE"/>
              </w:rPr>
              <w:t>4 Requisitos del proveedor de servicios (roles y responsabilidades)</w:t>
            </w:r>
            <w:r w:rsidRPr="004462E8">
              <w:rPr>
                <w:rStyle w:val="IndexLink"/>
                <w:lang w:val="es-PE"/>
              </w:rPr>
              <w:tab/>
              <w:t>5</w:t>
            </w:r>
          </w:hyperlink>
        </w:p>
        <w:p w14:paraId="2F2ED7F7" w14:textId="77777777" w:rsidR="00F62FE5" w:rsidRPr="004462E8" w:rsidRDefault="00A66A4B">
          <w:pPr>
            <w:pStyle w:val="TDC1"/>
            <w:tabs>
              <w:tab w:val="clear" w:pos="9926"/>
            </w:tabs>
            <w:rPr>
              <w:lang w:val="es-PE"/>
            </w:rPr>
          </w:pPr>
          <w:hyperlink w:anchor="__RefHeading___Toc171659830">
            <w:r w:rsidRPr="004462E8">
              <w:rPr>
                <w:rStyle w:val="IndexLink"/>
                <w:lang w:val="es-PE"/>
              </w:rPr>
              <w:t>5 Procesamiento de solicitudes de servicio e incidentes</w:t>
            </w:r>
            <w:r w:rsidRPr="004462E8">
              <w:rPr>
                <w:rStyle w:val="IndexLink"/>
                <w:lang w:val="es-PE"/>
              </w:rPr>
              <w:tab/>
              <w:t>6</w:t>
            </w:r>
          </w:hyperlink>
        </w:p>
        <w:p w14:paraId="331FF786" w14:textId="77777777" w:rsidR="00F62FE5" w:rsidRPr="004462E8" w:rsidRDefault="00A66A4B">
          <w:pPr>
            <w:pStyle w:val="TDC2"/>
            <w:tabs>
              <w:tab w:val="right" w:leader="dot" w:pos="9360"/>
            </w:tabs>
            <w:rPr>
              <w:lang w:val="es-PE"/>
            </w:rPr>
          </w:pPr>
          <w:hyperlink w:anchor="__RefHeading___Toc171659831">
            <w:r w:rsidRPr="004462E8">
              <w:rPr>
                <w:rStyle w:val="IndexLink"/>
                <w:lang w:val="es-PE"/>
              </w:rPr>
              <w:t>5.1 Solicitudes de servicio</w:t>
            </w:r>
            <w:r w:rsidRPr="004462E8">
              <w:rPr>
                <w:rStyle w:val="IndexLink"/>
                <w:lang w:val="es-PE"/>
              </w:rPr>
              <w:tab/>
              <w:t>6</w:t>
            </w:r>
          </w:hyperlink>
        </w:p>
        <w:p w14:paraId="6C678C85" w14:textId="77777777" w:rsidR="00F62FE5" w:rsidRPr="004462E8" w:rsidRDefault="00A66A4B">
          <w:pPr>
            <w:pStyle w:val="TDC3"/>
            <w:tabs>
              <w:tab w:val="clear" w:pos="9350"/>
            </w:tabs>
            <w:rPr>
              <w:lang w:val="es-PE"/>
            </w:rPr>
          </w:pPr>
          <w:hyperlink w:anchor="__RefHeading___Toc171659832">
            <w:r w:rsidRPr="004462E8">
              <w:rPr>
                <w:rStyle w:val="IndexLink"/>
                <w:lang w:val="es-PE"/>
              </w:rPr>
              <w:t xml:space="preserve">Solicitudes de trabajo (si corresponde) / </w:t>
            </w:r>
            <w:r w:rsidRPr="004462E8">
              <w:rPr>
                <w:rStyle w:val="IndexLink"/>
                <w:lang w:val="es-PE"/>
              </w:rPr>
              <w:t>Solicitudes de servicio estándar</w:t>
            </w:r>
            <w:r w:rsidRPr="004462E8">
              <w:rPr>
                <w:rStyle w:val="IndexLink"/>
                <w:lang w:val="es-PE"/>
              </w:rPr>
              <w:tab/>
              <w:t>6</w:t>
            </w:r>
          </w:hyperlink>
        </w:p>
        <w:p w14:paraId="5B86B709" w14:textId="77777777" w:rsidR="00F62FE5" w:rsidRPr="004462E8" w:rsidRDefault="00A66A4B">
          <w:pPr>
            <w:pStyle w:val="TDC3"/>
            <w:tabs>
              <w:tab w:val="clear" w:pos="9350"/>
            </w:tabs>
            <w:rPr>
              <w:lang w:val="es-PE"/>
            </w:rPr>
          </w:pPr>
          <w:hyperlink w:anchor="__RefHeading___Toc171659833">
            <w:r w:rsidRPr="004462E8">
              <w:rPr>
                <w:rStyle w:val="IndexLink"/>
                <w:lang w:val="es-PE"/>
              </w:rPr>
              <w:t>Solicitudes de servicio no estándar / Solicitudes de trabajo ad-hoc</w:t>
            </w:r>
            <w:r w:rsidRPr="004462E8">
              <w:rPr>
                <w:rStyle w:val="IndexLink"/>
                <w:lang w:val="es-PE"/>
              </w:rPr>
              <w:tab/>
              <w:t>6</w:t>
            </w:r>
          </w:hyperlink>
        </w:p>
        <w:p w14:paraId="5A28C3B0" w14:textId="77777777" w:rsidR="00F62FE5" w:rsidRPr="004462E8" w:rsidRDefault="00A66A4B">
          <w:pPr>
            <w:pStyle w:val="TDC2"/>
            <w:tabs>
              <w:tab w:val="right" w:leader="dot" w:pos="9360"/>
            </w:tabs>
            <w:rPr>
              <w:lang w:val="es-PE"/>
            </w:rPr>
          </w:pPr>
          <w:hyperlink w:anchor="__RefHeading___Toc171659834">
            <w:r w:rsidRPr="004462E8">
              <w:rPr>
                <w:rStyle w:val="IndexLink"/>
                <w:lang w:val="es-PE"/>
              </w:rPr>
              <w:t>5.2 Solicitud de cambio de servicio</w:t>
            </w:r>
            <w:r w:rsidRPr="004462E8">
              <w:rPr>
                <w:rStyle w:val="IndexLink"/>
                <w:lang w:val="es-PE"/>
              </w:rPr>
              <w:tab/>
              <w:t>6</w:t>
            </w:r>
          </w:hyperlink>
        </w:p>
        <w:p w14:paraId="68E81498" w14:textId="77777777" w:rsidR="00F62FE5" w:rsidRPr="004462E8" w:rsidRDefault="00A66A4B">
          <w:pPr>
            <w:pStyle w:val="TDC2"/>
            <w:tabs>
              <w:tab w:val="right" w:leader="dot" w:pos="9360"/>
            </w:tabs>
            <w:rPr>
              <w:lang w:val="es-PE"/>
            </w:rPr>
          </w:pPr>
          <w:hyperlink w:anchor="__RefHeading___Toc171659835">
            <w:r w:rsidRPr="004462E8">
              <w:rPr>
                <w:rStyle w:val="IndexLink"/>
                <w:lang w:val="es-PE"/>
              </w:rPr>
              <w:t>5.3 Gestión de incidentes</w:t>
            </w:r>
            <w:r w:rsidRPr="004462E8">
              <w:rPr>
                <w:rStyle w:val="IndexLink"/>
                <w:lang w:val="es-PE"/>
              </w:rPr>
              <w:tab/>
              <w:t>6</w:t>
            </w:r>
          </w:hyperlink>
        </w:p>
        <w:p w14:paraId="2A6B0D5F" w14:textId="77777777" w:rsidR="00F62FE5" w:rsidRPr="004462E8" w:rsidRDefault="00A66A4B">
          <w:pPr>
            <w:pStyle w:val="TDC3"/>
            <w:tabs>
              <w:tab w:val="clear" w:pos="9350"/>
            </w:tabs>
            <w:rPr>
              <w:lang w:val="es-PE"/>
            </w:rPr>
          </w:pPr>
          <w:hyperlink w:anchor="__RefHeading___Toc171659836">
            <w:r w:rsidRPr="004462E8">
              <w:rPr>
                <w:rStyle w:val="IndexLink"/>
                <w:lang w:val="es-PE"/>
              </w:rPr>
              <w:t>Procesamiento normal de incidentes</w:t>
            </w:r>
            <w:r w:rsidRPr="004462E8">
              <w:rPr>
                <w:rStyle w:val="IndexLink"/>
                <w:lang w:val="es-PE"/>
              </w:rPr>
              <w:tab/>
              <w:t>6</w:t>
            </w:r>
          </w:hyperlink>
        </w:p>
        <w:p w14:paraId="67ECBC8B" w14:textId="77777777" w:rsidR="00F62FE5" w:rsidRPr="004462E8" w:rsidRDefault="00A66A4B">
          <w:pPr>
            <w:pStyle w:val="TDC3"/>
            <w:tabs>
              <w:tab w:val="clear" w:pos="9350"/>
            </w:tabs>
            <w:rPr>
              <w:lang w:val="es-PE"/>
            </w:rPr>
          </w:pPr>
          <w:hyperlink w:anchor="__RefHeading___Toc171659837">
            <w:r w:rsidRPr="004462E8">
              <w:rPr>
                <w:rStyle w:val="IndexLink"/>
                <w:lang w:val="es-PE"/>
              </w:rPr>
              <w:t>Manejo de incidentes mayores</w:t>
            </w:r>
            <w:r w:rsidRPr="004462E8">
              <w:rPr>
                <w:rStyle w:val="IndexLink"/>
                <w:lang w:val="es-PE"/>
              </w:rPr>
              <w:tab/>
              <w:t>7</w:t>
            </w:r>
          </w:hyperlink>
        </w:p>
        <w:p w14:paraId="000A01D5" w14:textId="77777777" w:rsidR="00F62FE5" w:rsidRPr="004462E8" w:rsidRDefault="00A66A4B">
          <w:pPr>
            <w:pStyle w:val="TDC2"/>
            <w:tabs>
              <w:tab w:val="right" w:leader="dot" w:pos="9360"/>
            </w:tabs>
            <w:rPr>
              <w:lang w:val="es-PE"/>
            </w:rPr>
          </w:pPr>
          <w:hyperlink w:anchor="__RefHeading___Toc171659838">
            <w:r w:rsidRPr="004462E8">
              <w:rPr>
                <w:rStyle w:val="IndexLink"/>
                <w:lang w:val="es-PE"/>
              </w:rPr>
              <w:t>5.4 Gestión de problemas</w:t>
            </w:r>
            <w:r w:rsidRPr="004462E8">
              <w:rPr>
                <w:rStyle w:val="IndexLink"/>
                <w:lang w:val="es-PE"/>
              </w:rPr>
              <w:tab/>
              <w:t>7</w:t>
            </w:r>
          </w:hyperlink>
        </w:p>
        <w:p w14:paraId="1AF4F9FC" w14:textId="77777777" w:rsidR="00F62FE5" w:rsidRPr="004462E8" w:rsidRDefault="00A66A4B">
          <w:pPr>
            <w:pStyle w:val="TDC2"/>
            <w:tabs>
              <w:tab w:val="right" w:leader="dot" w:pos="9360"/>
            </w:tabs>
            <w:rPr>
              <w:lang w:val="es-PE"/>
            </w:rPr>
          </w:pPr>
          <w:hyperlink w:anchor="__RefHeading___Toc171659839">
            <w:r w:rsidRPr="004462E8">
              <w:rPr>
                <w:rStyle w:val="IndexLink"/>
                <w:lang w:val="es-PE"/>
              </w:rPr>
              <w:t>5.5 Mantenimiento del servicio / Gestión de cambios</w:t>
            </w:r>
            <w:r w:rsidRPr="004462E8">
              <w:rPr>
                <w:rStyle w:val="IndexLink"/>
                <w:lang w:val="es-PE"/>
              </w:rPr>
              <w:tab/>
              <w:t>7</w:t>
            </w:r>
          </w:hyperlink>
        </w:p>
        <w:p w14:paraId="4326F577" w14:textId="77777777" w:rsidR="00F62FE5" w:rsidRPr="004462E8" w:rsidRDefault="00A66A4B">
          <w:pPr>
            <w:pStyle w:val="TDC2"/>
            <w:tabs>
              <w:tab w:val="right" w:leader="dot" w:pos="9360"/>
            </w:tabs>
            <w:rPr>
              <w:lang w:val="es-PE"/>
            </w:rPr>
          </w:pPr>
          <w:hyperlink w:anchor="__RefHeading___Toc171659840">
            <w:r w:rsidRPr="004462E8">
              <w:rPr>
                <w:rStyle w:val="IndexLink"/>
                <w:lang w:val="es-PE"/>
              </w:rPr>
              <w:t>5.6 Excepciones al servicio</w:t>
            </w:r>
            <w:r w:rsidRPr="004462E8">
              <w:rPr>
                <w:rStyle w:val="IndexLink"/>
                <w:lang w:val="es-PE"/>
              </w:rPr>
              <w:tab/>
              <w:t>8</w:t>
            </w:r>
          </w:hyperlink>
        </w:p>
        <w:p w14:paraId="48A3B131" w14:textId="77777777" w:rsidR="00F62FE5" w:rsidRPr="004462E8" w:rsidRDefault="00A66A4B">
          <w:pPr>
            <w:pStyle w:val="TDC1"/>
            <w:tabs>
              <w:tab w:val="clear" w:pos="9926"/>
            </w:tabs>
            <w:rPr>
              <w:lang w:val="es-PE"/>
            </w:rPr>
          </w:pPr>
          <w:hyperlink w:anchor="__RefHeading___Toc171659841">
            <w:r w:rsidRPr="004462E8">
              <w:rPr>
                <w:rStyle w:val="IndexLink"/>
                <w:lang w:val="es-PE"/>
              </w:rPr>
              <w:t>6 Informes</w:t>
            </w:r>
            <w:r w:rsidRPr="004462E8">
              <w:rPr>
                <w:rStyle w:val="IndexLink"/>
                <w:lang w:val="es-PE"/>
              </w:rPr>
              <w:tab/>
              <w:t>8</w:t>
            </w:r>
          </w:hyperlink>
          <w:r w:rsidRPr="004462E8">
            <w:rPr>
              <w:rStyle w:val="IndexLink"/>
              <w:lang w:val="es-PE"/>
            </w:rPr>
            <w:fldChar w:fldCharType="end"/>
          </w:r>
        </w:p>
      </w:sdtContent>
    </w:sdt>
    <w:p w14:paraId="4AD19245" w14:textId="77777777" w:rsidR="00F62FE5" w:rsidRPr="004462E8" w:rsidRDefault="00A66A4B">
      <w:pPr>
        <w:pStyle w:val="Ttulo1"/>
        <w:numPr>
          <w:ilvl w:val="0"/>
          <w:numId w:val="0"/>
        </w:numPr>
        <w:rPr>
          <w:rFonts w:ascii="Cambria" w:eastAsia="MS Mincho" w:hAnsi="Cambria" w:cs="Cambria"/>
          <w:b w:val="0"/>
          <w:szCs w:val="24"/>
          <w:lang w:val="es-PE" w:eastAsia="en-US"/>
        </w:rPr>
      </w:pPr>
      <w:r w:rsidRPr="004462E8">
        <w:rPr>
          <w:lang w:val="es-PE"/>
        </w:rPr>
        <w:br w:type="page"/>
      </w:r>
    </w:p>
    <w:p w14:paraId="64E5495D" w14:textId="77777777" w:rsidR="00F62FE5" w:rsidRPr="004462E8" w:rsidRDefault="00F62FE5">
      <w:pPr>
        <w:pStyle w:val="Ttulo1"/>
        <w:rPr>
          <w:sz w:val="8"/>
          <w:lang w:val="es-PE"/>
        </w:rPr>
      </w:pPr>
    </w:p>
    <w:p w14:paraId="4B3C6EFE" w14:textId="77777777" w:rsidR="00F62FE5" w:rsidRPr="004462E8" w:rsidRDefault="00A66A4B">
      <w:pPr>
        <w:pStyle w:val="Ttulo1"/>
        <w:numPr>
          <w:ilvl w:val="0"/>
          <w:numId w:val="23"/>
        </w:numPr>
        <w:rPr>
          <w:lang w:val="es-PE"/>
        </w:rPr>
      </w:pPr>
      <w:bookmarkStart w:id="0" w:name="__RefHeading___Toc171659822"/>
      <w:bookmarkStart w:id="1" w:name="_Ref520537481"/>
      <w:bookmarkEnd w:id="0"/>
      <w:r w:rsidRPr="004462E8">
        <w:rPr>
          <w:lang w:val="es-PE"/>
        </w:rPr>
        <w:t>Visión general</w:t>
      </w:r>
      <w:bookmarkEnd w:id="1"/>
    </w:p>
    <w:p w14:paraId="687AE9ED" w14:textId="77777777" w:rsidR="00F62FE5" w:rsidRPr="004462E8" w:rsidRDefault="00A66A4B">
      <w:pPr>
        <w:ind w:left="432"/>
        <w:rPr>
          <w:lang w:val="es-PE"/>
        </w:rPr>
      </w:pPr>
      <w:r w:rsidRPr="004462E8">
        <w:rPr>
          <w:lang w:val="es-PE"/>
        </w:rPr>
        <w:t xml:space="preserve">Este documento representa un acuerdo de nivel operativo ("OLA") entre los proveedores de servicios para documentar las relaciones laborales y los tiempos de respuesta </w:t>
      </w:r>
      <w:r w:rsidRPr="004462E8">
        <w:rPr>
          <w:lang w:val="es-PE"/>
        </w:rPr>
        <w:t>para apoyar [</w:t>
      </w:r>
      <w:r w:rsidRPr="004462E8">
        <w:rPr>
          <w:i/>
          <w:color w:val="FF00FF"/>
          <w:lang w:val="es-PE"/>
        </w:rPr>
        <w:t>nombre del servicio del catálogo de servicios o de otro lugar</w:t>
      </w:r>
      <w:r w:rsidRPr="004462E8">
        <w:rPr>
          <w:lang w:val="es-PE"/>
        </w:rPr>
        <w:t>]. Este OLA seguirá siendo válido hasta que sea revisado o terminado.</w:t>
      </w:r>
    </w:p>
    <w:p w14:paraId="4E6D1944" w14:textId="77777777" w:rsidR="00F62FE5" w:rsidRPr="004462E8" w:rsidRDefault="00F62FE5">
      <w:pPr>
        <w:ind w:left="864"/>
        <w:rPr>
          <w:lang w:val="es-PE"/>
        </w:rPr>
      </w:pPr>
    </w:p>
    <w:p w14:paraId="4A6F1C52" w14:textId="77777777" w:rsidR="00F62FE5" w:rsidRPr="004462E8" w:rsidRDefault="00A66A4B">
      <w:pPr>
        <w:ind w:left="432"/>
        <w:rPr>
          <w:lang w:val="es-PE"/>
        </w:rPr>
      </w:pPr>
      <w:r w:rsidRPr="004462E8">
        <w:rPr>
          <w:lang w:val="es-PE"/>
        </w:rPr>
        <w:t>El propósito de este Acuerdo de Nivel Operativo ("OLA" o "Acuerdo") es asegurar que los elementos y compromisos</w:t>
      </w:r>
      <w:r w:rsidRPr="004462E8">
        <w:rPr>
          <w:lang w:val="es-PE"/>
        </w:rPr>
        <w:t xml:space="preserve"> adecuados estén en su lugar para brindar soporte y entrega de servicios consistentes por parte de los Proveedores de Servicios.</w:t>
      </w:r>
    </w:p>
    <w:p w14:paraId="239E4EBB" w14:textId="77777777" w:rsidR="00F62FE5" w:rsidRPr="004462E8" w:rsidRDefault="00F62FE5">
      <w:pPr>
        <w:ind w:left="432"/>
        <w:rPr>
          <w:color w:val="000000"/>
          <w:lang w:val="es-PE"/>
        </w:rPr>
      </w:pPr>
    </w:p>
    <w:p w14:paraId="0B3F26B7" w14:textId="77777777" w:rsidR="00F62FE5" w:rsidRPr="004462E8" w:rsidRDefault="00A66A4B">
      <w:pPr>
        <w:pStyle w:val="Encabezado"/>
        <w:ind w:left="432"/>
        <w:rPr>
          <w:lang w:val="es-PE"/>
        </w:rPr>
      </w:pPr>
      <w:r w:rsidRPr="004462E8">
        <w:rPr>
          <w:color w:val="000000"/>
          <w:lang w:val="es-PE"/>
        </w:rPr>
        <w:t xml:space="preserve">El objetivo de este Acuerdo es </w:t>
      </w:r>
      <w:r w:rsidRPr="004462E8">
        <w:rPr>
          <w:lang w:val="es-PE"/>
        </w:rPr>
        <w:t>obtener un acuerdo mutuo para la prestación de servicios entre las unidades ITS.</w:t>
      </w:r>
    </w:p>
    <w:p w14:paraId="10BCF899" w14:textId="77777777" w:rsidR="00F62FE5" w:rsidRPr="004462E8" w:rsidRDefault="00F62FE5">
      <w:pPr>
        <w:ind w:left="432"/>
        <w:rPr>
          <w:color w:val="000000"/>
          <w:lang w:val="es-PE"/>
        </w:rPr>
      </w:pPr>
    </w:p>
    <w:p w14:paraId="3C99CF50" w14:textId="77777777" w:rsidR="00F62FE5" w:rsidRPr="004462E8" w:rsidRDefault="00A66A4B">
      <w:pPr>
        <w:ind w:left="432"/>
        <w:rPr>
          <w:lang w:val="es-PE"/>
        </w:rPr>
      </w:pPr>
      <w:r w:rsidRPr="004462E8">
        <w:rPr>
          <w:color w:val="000000"/>
          <w:lang w:val="es-PE"/>
        </w:rPr>
        <w:t>Los objetivos</w:t>
      </w:r>
      <w:r w:rsidRPr="004462E8">
        <w:rPr>
          <w:color w:val="000000"/>
          <w:lang w:val="es-PE"/>
        </w:rPr>
        <w:t xml:space="preserve"> de este Acuerdo son:</w:t>
      </w:r>
    </w:p>
    <w:p w14:paraId="73B2FFB5" w14:textId="77777777" w:rsidR="00F62FE5" w:rsidRPr="004462E8" w:rsidRDefault="00F62FE5">
      <w:pPr>
        <w:rPr>
          <w:color w:val="000000"/>
          <w:lang w:val="es-PE"/>
        </w:rPr>
      </w:pPr>
    </w:p>
    <w:p w14:paraId="3508C62E" w14:textId="77777777" w:rsidR="00F62FE5" w:rsidRPr="004462E8" w:rsidRDefault="00A66A4B">
      <w:pPr>
        <w:pStyle w:val="Encabezado"/>
        <w:numPr>
          <w:ilvl w:val="1"/>
          <w:numId w:val="9"/>
        </w:numPr>
        <w:rPr>
          <w:lang w:val="es-PE"/>
        </w:rPr>
      </w:pPr>
      <w:r w:rsidRPr="004462E8">
        <w:rPr>
          <w:lang w:val="es-PE"/>
        </w:rPr>
        <w:t>Proporcione una referencia clara a la propiedad del servicio, la responsabilidad, los roles y / o responsabilidades.</w:t>
      </w:r>
    </w:p>
    <w:p w14:paraId="2CA79D44" w14:textId="77777777" w:rsidR="00F62FE5" w:rsidRPr="004462E8" w:rsidRDefault="00A66A4B">
      <w:pPr>
        <w:pStyle w:val="Encabezado"/>
        <w:numPr>
          <w:ilvl w:val="1"/>
          <w:numId w:val="9"/>
        </w:numPr>
        <w:rPr>
          <w:lang w:val="es-PE"/>
        </w:rPr>
      </w:pPr>
      <w:r w:rsidRPr="004462E8">
        <w:rPr>
          <w:lang w:val="es-PE"/>
        </w:rPr>
        <w:t xml:space="preserve">Haga coincidir las percepciones de la prestación de servicios esperada con el soporte y la prestación de </w:t>
      </w:r>
      <w:r w:rsidRPr="004462E8">
        <w:rPr>
          <w:lang w:val="es-PE"/>
        </w:rPr>
        <w:t>servicios reales.</w:t>
      </w:r>
    </w:p>
    <w:p w14:paraId="35490947" w14:textId="77777777" w:rsidR="00F62FE5" w:rsidRPr="004462E8" w:rsidRDefault="00A66A4B">
      <w:pPr>
        <w:pStyle w:val="Ttulo1"/>
        <w:rPr>
          <w:lang w:val="es-PE"/>
        </w:rPr>
      </w:pPr>
      <w:bookmarkStart w:id="2" w:name="_Ref531487303"/>
      <w:bookmarkStart w:id="3" w:name="__RefHeading___Toc171659823"/>
      <w:bookmarkEnd w:id="2"/>
      <w:bookmarkEnd w:id="3"/>
      <w:r w:rsidRPr="004462E8">
        <w:rPr>
          <w:lang w:val="es-PE"/>
        </w:rPr>
        <w:t>Servicio y Cargos</w:t>
      </w:r>
    </w:p>
    <w:p w14:paraId="4DF5BEE3" w14:textId="77777777" w:rsidR="00F62FE5" w:rsidRPr="004462E8" w:rsidRDefault="00A66A4B">
      <w:pPr>
        <w:pStyle w:val="Ttulo2"/>
        <w:rPr>
          <w:rFonts w:ascii="Times New Roman" w:hAnsi="Times New Roman" w:cs="Times New Roman"/>
          <w:b w:val="0"/>
          <w:bCs/>
          <w:i/>
          <w:iCs/>
          <w:lang w:val="es-PE"/>
        </w:rPr>
      </w:pPr>
      <w:bookmarkStart w:id="4" w:name="__RefHeading___Toc171659824"/>
      <w:bookmarkEnd w:id="4"/>
      <w:r w:rsidRPr="004462E8">
        <w:rPr>
          <w:lang w:val="es-PE"/>
        </w:rPr>
        <w:t>Alcance</w:t>
      </w:r>
    </w:p>
    <w:p w14:paraId="67A8D8FD" w14:textId="77777777" w:rsidR="00F62FE5" w:rsidRPr="004462E8" w:rsidRDefault="00A66A4B">
      <w:pPr>
        <w:ind w:left="846"/>
        <w:rPr>
          <w:i/>
          <w:color w:val="0000FF"/>
          <w:lang w:val="es-PE"/>
        </w:rPr>
      </w:pPr>
      <w:r w:rsidRPr="004462E8">
        <w:rPr>
          <w:i/>
          <w:color w:val="0000FF"/>
          <w:lang w:val="es-PE"/>
        </w:rPr>
        <w:t>Coloque aquí la descripción técnica del servicio.</w:t>
      </w:r>
    </w:p>
    <w:p w14:paraId="53994989" w14:textId="77777777" w:rsidR="00F62FE5" w:rsidRPr="004462E8" w:rsidRDefault="00F62FE5">
      <w:pPr>
        <w:rPr>
          <w:i/>
          <w:color w:val="0000FF"/>
          <w:lang w:val="es-PE"/>
        </w:rPr>
      </w:pPr>
    </w:p>
    <w:p w14:paraId="3AA6EEA0" w14:textId="77777777" w:rsidR="00F62FE5" w:rsidRPr="004462E8" w:rsidRDefault="00A66A4B">
      <w:pPr>
        <w:pStyle w:val="Ttulo2"/>
        <w:rPr>
          <w:lang w:val="es-PE"/>
        </w:rPr>
      </w:pPr>
      <w:bookmarkStart w:id="5" w:name="__RefHeading___Toc171659825"/>
      <w:bookmarkEnd w:id="5"/>
      <w:r w:rsidRPr="004462E8">
        <w:rPr>
          <w:lang w:val="es-PE"/>
        </w:rPr>
        <w:t>Cargos (si aplica)</w:t>
      </w:r>
    </w:p>
    <w:p w14:paraId="311D5282" w14:textId="77777777" w:rsidR="00F62FE5" w:rsidRPr="004462E8" w:rsidRDefault="00F62FE5">
      <w:pPr>
        <w:rPr>
          <w:lang w:val="es-PE"/>
        </w:rPr>
      </w:pPr>
    </w:p>
    <w:p w14:paraId="4CF30BA9" w14:textId="77777777" w:rsidR="00F62FE5" w:rsidRPr="004462E8" w:rsidRDefault="00A66A4B">
      <w:pPr>
        <w:pStyle w:val="Ttulo2"/>
        <w:rPr>
          <w:lang w:val="es-PE"/>
        </w:rPr>
      </w:pPr>
      <w:bookmarkStart w:id="6" w:name="__RefHeading___Toc171659826"/>
      <w:bookmarkEnd w:id="6"/>
      <w:r w:rsidRPr="004462E8">
        <w:rPr>
          <w:lang w:val="es-PE"/>
        </w:rPr>
        <w:t>Dependencias del servicio y contratos subyacentes</w:t>
      </w:r>
    </w:p>
    <w:p w14:paraId="23132258" w14:textId="77777777" w:rsidR="00F62FE5" w:rsidRPr="004462E8" w:rsidRDefault="00A66A4B">
      <w:pPr>
        <w:ind w:left="846"/>
        <w:rPr>
          <w:lang w:val="es-PE"/>
        </w:rPr>
      </w:pPr>
      <w:r w:rsidRPr="004462E8">
        <w:rPr>
          <w:lang w:val="es-PE"/>
        </w:rPr>
        <w:t xml:space="preserve">Estos servicios son elementos necesarios del </w:t>
      </w:r>
      <w:r w:rsidRPr="004462E8">
        <w:rPr>
          <w:i/>
          <w:color w:val="FF00FF"/>
          <w:lang w:val="es-PE"/>
        </w:rPr>
        <w:t xml:space="preserve">Nombre del </w:t>
      </w:r>
      <w:proofErr w:type="spellStart"/>
      <w:r w:rsidRPr="004462E8">
        <w:rPr>
          <w:i/>
          <w:color w:val="FF00FF"/>
          <w:lang w:val="es-PE"/>
        </w:rPr>
        <w:t>Servicio</w:t>
      </w:r>
      <w:r w:rsidRPr="004462E8">
        <w:rPr>
          <w:lang w:val="es-PE"/>
        </w:rPr>
        <w:t>servicio</w:t>
      </w:r>
      <w:proofErr w:type="spellEnd"/>
      <w:r w:rsidRPr="004462E8">
        <w:rPr>
          <w:lang w:val="es-PE"/>
        </w:rPr>
        <w:t xml:space="preserve"> para funcionar según lo documentado. Cada uno de estos servicios tiene un OLA. (Si existe un OLA, se proporcionará un enlace. Si no existe un OLA, las unidades enumeradas son sus unidades principales para contactar</w:t>
      </w:r>
      <w:proofErr w:type="gramStart"/>
      <w:r w:rsidRPr="004462E8">
        <w:rPr>
          <w:lang w:val="es-PE"/>
        </w:rPr>
        <w:t>).</w:t>
      </w:r>
      <w:r w:rsidRPr="004462E8">
        <w:rPr>
          <w:i/>
          <w:color w:val="0000FF"/>
          <w:lang w:val="es-PE"/>
        </w:rPr>
        <w:t>Además</w:t>
      </w:r>
      <w:proofErr w:type="gramEnd"/>
      <w:r w:rsidRPr="004462E8">
        <w:rPr>
          <w:i/>
          <w:color w:val="0000FF"/>
          <w:lang w:val="es-PE"/>
        </w:rPr>
        <w:t>, describa la dependencia</w:t>
      </w:r>
      <w:r w:rsidRPr="004462E8">
        <w:rPr>
          <w:i/>
          <w:color w:val="0000FF"/>
          <w:lang w:val="es-PE"/>
        </w:rPr>
        <w:t xml:space="preserve"> lo mejor posible.</w:t>
      </w:r>
    </w:p>
    <w:p w14:paraId="30195C8B" w14:textId="77777777" w:rsidR="00F62FE5" w:rsidRPr="004462E8" w:rsidRDefault="00A66A4B">
      <w:pPr>
        <w:numPr>
          <w:ilvl w:val="0"/>
          <w:numId w:val="6"/>
        </w:numPr>
        <w:rPr>
          <w:lang w:val="es-PE"/>
        </w:rPr>
      </w:pPr>
      <w:r w:rsidRPr="004462E8">
        <w:rPr>
          <w:lang w:val="es-PE"/>
        </w:rPr>
        <w:t xml:space="preserve">Red (NTS) - </w:t>
      </w:r>
      <w:r w:rsidRPr="004462E8">
        <w:rPr>
          <w:i/>
          <w:color w:val="0000FF"/>
          <w:lang w:val="es-PE"/>
        </w:rPr>
        <w:t xml:space="preserve">Red disponible para </w:t>
      </w:r>
      <w:proofErr w:type="spellStart"/>
      <w:r w:rsidRPr="004462E8">
        <w:rPr>
          <w:i/>
          <w:color w:val="0000FF"/>
          <w:lang w:val="es-PE"/>
        </w:rPr>
        <w:t>service_name</w:t>
      </w:r>
      <w:proofErr w:type="spellEnd"/>
      <w:r w:rsidRPr="004462E8">
        <w:rPr>
          <w:i/>
          <w:color w:val="0000FF"/>
          <w:lang w:val="es-PE"/>
        </w:rPr>
        <w:t xml:space="preserve"> durante horas de operación específicas</w:t>
      </w:r>
    </w:p>
    <w:p w14:paraId="57FFFA6A" w14:textId="77777777" w:rsidR="00F62FE5" w:rsidRPr="004462E8" w:rsidRDefault="00A66A4B">
      <w:pPr>
        <w:numPr>
          <w:ilvl w:val="0"/>
          <w:numId w:val="6"/>
        </w:numPr>
        <w:rPr>
          <w:lang w:val="es-PE"/>
        </w:rPr>
      </w:pPr>
      <w:r w:rsidRPr="004462E8">
        <w:rPr>
          <w:lang w:val="es-PE"/>
        </w:rPr>
        <w:t xml:space="preserve">Copias de seguridad (Core </w:t>
      </w:r>
      <w:proofErr w:type="spellStart"/>
      <w:r w:rsidRPr="004462E8">
        <w:rPr>
          <w:lang w:val="es-PE"/>
        </w:rPr>
        <w:t>Tech</w:t>
      </w:r>
      <w:proofErr w:type="spellEnd"/>
      <w:r w:rsidRPr="004462E8">
        <w:rPr>
          <w:lang w:val="es-PE"/>
        </w:rPr>
        <w:t>)</w:t>
      </w:r>
    </w:p>
    <w:p w14:paraId="12369E03" w14:textId="77777777" w:rsidR="00F62FE5" w:rsidRPr="004462E8" w:rsidRDefault="00A66A4B">
      <w:pPr>
        <w:numPr>
          <w:ilvl w:val="0"/>
          <w:numId w:val="6"/>
        </w:numPr>
        <w:rPr>
          <w:lang w:val="es-PE"/>
        </w:rPr>
      </w:pPr>
      <w:r w:rsidRPr="004462E8">
        <w:rPr>
          <w:lang w:val="es-PE"/>
        </w:rPr>
        <w:t>Alojamiento de centro de datos (tecnología principal)</w:t>
      </w:r>
    </w:p>
    <w:p w14:paraId="545882F9" w14:textId="77777777" w:rsidR="00F62FE5" w:rsidRPr="004462E8" w:rsidRDefault="00A66A4B">
      <w:pPr>
        <w:numPr>
          <w:ilvl w:val="0"/>
          <w:numId w:val="6"/>
        </w:numPr>
        <w:rPr>
          <w:lang w:val="es-PE"/>
        </w:rPr>
      </w:pPr>
      <w:r w:rsidRPr="004462E8">
        <w:rPr>
          <w:lang w:val="es-PE"/>
        </w:rPr>
        <w:t>Soporte del proveedor (</w:t>
      </w:r>
      <w:r w:rsidRPr="004462E8">
        <w:rPr>
          <w:i/>
          <w:color w:val="0000FF"/>
          <w:lang w:val="es-PE"/>
        </w:rPr>
        <w:t>Nombre, si lo hay</w:t>
      </w:r>
      <w:r w:rsidRPr="004462E8">
        <w:rPr>
          <w:lang w:val="es-PE"/>
        </w:rPr>
        <w:t>)</w:t>
      </w:r>
    </w:p>
    <w:p w14:paraId="62A578E6" w14:textId="77777777" w:rsidR="00F62FE5" w:rsidRPr="004462E8" w:rsidRDefault="00A66A4B">
      <w:pPr>
        <w:numPr>
          <w:ilvl w:val="0"/>
          <w:numId w:val="6"/>
        </w:numPr>
        <w:rPr>
          <w:i/>
          <w:color w:val="0000FF"/>
          <w:lang w:val="es-PE"/>
        </w:rPr>
      </w:pPr>
      <w:r w:rsidRPr="004462E8">
        <w:rPr>
          <w:i/>
          <w:color w:val="0000FF"/>
          <w:lang w:val="es-PE"/>
        </w:rPr>
        <w:t>Agregar otros servicios d</w:t>
      </w:r>
      <w:r w:rsidRPr="004462E8">
        <w:rPr>
          <w:i/>
          <w:color w:val="0000FF"/>
          <w:lang w:val="es-PE"/>
        </w:rPr>
        <w:t>ependientes o contratos de respaldo</w:t>
      </w:r>
    </w:p>
    <w:p w14:paraId="011C05B9" w14:textId="77777777" w:rsidR="00F62FE5" w:rsidRPr="004462E8" w:rsidRDefault="00F62FE5">
      <w:pPr>
        <w:rPr>
          <w:i/>
          <w:color w:val="0000FF"/>
          <w:lang w:val="es-PE"/>
        </w:rPr>
      </w:pPr>
    </w:p>
    <w:p w14:paraId="2B14287B" w14:textId="77777777" w:rsidR="00F62FE5" w:rsidRPr="004462E8" w:rsidRDefault="00A66A4B">
      <w:pPr>
        <w:pStyle w:val="Ttulo2"/>
        <w:rPr>
          <w:lang w:val="es-PE"/>
        </w:rPr>
      </w:pPr>
      <w:bookmarkStart w:id="7" w:name="__RefHeading___Toc171659827"/>
      <w:bookmarkEnd w:id="7"/>
      <w:r w:rsidRPr="004462E8">
        <w:rPr>
          <w:lang w:val="es-PE"/>
        </w:rPr>
        <w:t>Supuestos</w:t>
      </w:r>
    </w:p>
    <w:p w14:paraId="3F61B8D9" w14:textId="77777777" w:rsidR="00F62FE5" w:rsidRPr="004462E8" w:rsidRDefault="00A66A4B">
      <w:pPr>
        <w:ind w:left="846"/>
        <w:rPr>
          <w:i/>
          <w:color w:val="0000FF"/>
          <w:lang w:val="es-PE"/>
        </w:rPr>
      </w:pPr>
      <w:r w:rsidRPr="004462E8">
        <w:rPr>
          <w:i/>
          <w:color w:val="0000FF"/>
          <w:lang w:val="es-PE"/>
        </w:rPr>
        <w:t>Las viñetas siguientes son genéricas. Agregue suposiciones específicas al servicio.</w:t>
      </w:r>
    </w:p>
    <w:p w14:paraId="22FD2AB9" w14:textId="77777777" w:rsidR="00F62FE5" w:rsidRPr="004462E8" w:rsidRDefault="00A66A4B">
      <w:pPr>
        <w:pStyle w:val="Textoindependiente"/>
        <w:numPr>
          <w:ilvl w:val="0"/>
          <w:numId w:val="7"/>
        </w:numPr>
        <w:tabs>
          <w:tab w:val="clear" w:pos="360"/>
          <w:tab w:val="left" w:pos="846"/>
        </w:tabs>
        <w:ind w:left="1206"/>
        <w:rPr>
          <w:lang w:val="es-PE"/>
        </w:rPr>
      </w:pPr>
      <w:r w:rsidRPr="004462E8">
        <w:rPr>
          <w:i/>
          <w:color w:val="FF00FF"/>
          <w:sz w:val="20"/>
          <w:lang w:val="es-PE"/>
        </w:rPr>
        <w:t>Nombre del Servicio</w:t>
      </w:r>
      <w:r w:rsidRPr="004462E8">
        <w:rPr>
          <w:sz w:val="20"/>
          <w:lang w:val="es-PE"/>
        </w:rPr>
        <w:t xml:space="preserve"> está claramente documentado en el catálogo de servicios.</w:t>
      </w:r>
    </w:p>
    <w:p w14:paraId="655CBABF" w14:textId="77777777" w:rsidR="00F62FE5" w:rsidRPr="004462E8" w:rsidRDefault="00A66A4B">
      <w:pPr>
        <w:pStyle w:val="Textoindependiente"/>
        <w:numPr>
          <w:ilvl w:val="0"/>
          <w:numId w:val="7"/>
        </w:numPr>
        <w:tabs>
          <w:tab w:val="clear" w:pos="360"/>
          <w:tab w:val="left" w:pos="810"/>
        </w:tabs>
        <w:ind w:left="1170"/>
        <w:rPr>
          <w:lang w:val="es-PE"/>
        </w:rPr>
      </w:pPr>
      <w:r w:rsidRPr="004462E8">
        <w:rPr>
          <w:sz w:val="20"/>
          <w:lang w:val="es-PE"/>
        </w:rPr>
        <w:t>Este documento representa la configuración actua</w:t>
      </w:r>
      <w:r w:rsidRPr="004462E8">
        <w:rPr>
          <w:sz w:val="20"/>
          <w:lang w:val="es-PE"/>
        </w:rPr>
        <w:t xml:space="preserve">l para admitir el </w:t>
      </w:r>
      <w:r w:rsidRPr="004462E8">
        <w:rPr>
          <w:i/>
          <w:color w:val="0000FF"/>
          <w:sz w:val="20"/>
          <w:lang w:val="es-PE"/>
        </w:rPr>
        <w:t xml:space="preserve">Nombre del </w:t>
      </w:r>
      <w:proofErr w:type="spellStart"/>
      <w:r w:rsidRPr="004462E8">
        <w:rPr>
          <w:i/>
          <w:color w:val="0000FF"/>
          <w:sz w:val="20"/>
          <w:lang w:val="es-PE"/>
        </w:rPr>
        <w:t>Servicio</w:t>
      </w:r>
      <w:r w:rsidRPr="004462E8">
        <w:rPr>
          <w:sz w:val="20"/>
          <w:lang w:val="es-PE"/>
        </w:rPr>
        <w:t>Servicio</w:t>
      </w:r>
      <w:proofErr w:type="spellEnd"/>
      <w:r w:rsidRPr="004462E8">
        <w:rPr>
          <w:sz w:val="20"/>
          <w:lang w:val="es-PE"/>
        </w:rPr>
        <w:t xml:space="preserve">. Cambios en </w:t>
      </w:r>
      <w:proofErr w:type="spellStart"/>
      <w:r w:rsidRPr="004462E8">
        <w:rPr>
          <w:sz w:val="20"/>
          <w:lang w:val="es-PE"/>
        </w:rPr>
        <w:t>el</w:t>
      </w:r>
      <w:r w:rsidRPr="004462E8">
        <w:rPr>
          <w:i/>
          <w:color w:val="0000FF"/>
          <w:sz w:val="20"/>
          <w:lang w:val="es-PE"/>
        </w:rPr>
        <w:t>Nombre</w:t>
      </w:r>
      <w:proofErr w:type="spellEnd"/>
      <w:r w:rsidRPr="004462E8">
        <w:rPr>
          <w:i/>
          <w:color w:val="0000FF"/>
          <w:sz w:val="20"/>
          <w:lang w:val="es-PE"/>
        </w:rPr>
        <w:t xml:space="preserve"> del Servicio</w:t>
      </w:r>
      <w:r w:rsidRPr="004462E8">
        <w:rPr>
          <w:sz w:val="20"/>
          <w:lang w:val="es-PE"/>
        </w:rPr>
        <w:t xml:space="preserve"> El servicio se maneja como proyectos, lo cual está fuera del alcance de este documento.</w:t>
      </w:r>
    </w:p>
    <w:p w14:paraId="31750C6D" w14:textId="77777777" w:rsidR="00F62FE5" w:rsidRPr="004462E8" w:rsidRDefault="00A66A4B">
      <w:pPr>
        <w:pStyle w:val="Textoindependiente"/>
        <w:numPr>
          <w:ilvl w:val="0"/>
          <w:numId w:val="7"/>
        </w:numPr>
        <w:tabs>
          <w:tab w:val="clear" w:pos="360"/>
          <w:tab w:val="left" w:pos="846"/>
        </w:tabs>
        <w:ind w:left="1206"/>
        <w:rPr>
          <w:sz w:val="20"/>
          <w:lang w:val="es-PE"/>
        </w:rPr>
      </w:pPr>
      <w:r w:rsidRPr="004462E8">
        <w:rPr>
          <w:sz w:val="20"/>
          <w:lang w:val="es-PE"/>
        </w:rPr>
        <w:t>La financiación para las mejoras / actualizaciones importantes se negociará servicio por</w:t>
      </w:r>
      <w:r w:rsidRPr="004462E8">
        <w:rPr>
          <w:sz w:val="20"/>
          <w:lang w:val="es-PE"/>
        </w:rPr>
        <w:t xml:space="preserve"> servicio.</w:t>
      </w:r>
    </w:p>
    <w:p w14:paraId="726A7FAC" w14:textId="77777777" w:rsidR="00F62FE5" w:rsidRPr="004462E8" w:rsidRDefault="00A66A4B">
      <w:pPr>
        <w:pStyle w:val="Ttulo1"/>
        <w:rPr>
          <w:lang w:val="es-PE"/>
        </w:rPr>
      </w:pPr>
      <w:bookmarkStart w:id="8" w:name="__RefHeading___Toc171659828"/>
      <w:bookmarkStart w:id="9" w:name="_Ref58533"/>
      <w:bookmarkEnd w:id="8"/>
      <w:r w:rsidRPr="004462E8">
        <w:rPr>
          <w:lang w:val="es-PE"/>
        </w:rPr>
        <w:t>Partes responsables</w:t>
      </w:r>
      <w:bookmarkEnd w:id="9"/>
    </w:p>
    <w:p w14:paraId="7AB0CDA9" w14:textId="77777777" w:rsidR="00F62FE5" w:rsidRPr="004462E8" w:rsidRDefault="00A66A4B">
      <w:pPr>
        <w:ind w:left="432"/>
        <w:rPr>
          <w:i/>
          <w:iCs/>
          <w:color w:val="0000FF"/>
          <w:lang w:val="es-PE"/>
        </w:rPr>
      </w:pPr>
      <w:r w:rsidRPr="004462E8">
        <w:rPr>
          <w:i/>
          <w:iCs/>
          <w:color w:val="0000FF"/>
          <w:lang w:val="es-PE"/>
        </w:rPr>
        <w:t>Enumere todas las personas de contacto relevantes.</w:t>
      </w:r>
    </w:p>
    <w:p w14:paraId="6BCEC70D" w14:textId="77777777" w:rsidR="00F62FE5" w:rsidRPr="004462E8" w:rsidRDefault="00A66A4B">
      <w:pPr>
        <w:ind w:left="432"/>
        <w:jc w:val="both"/>
        <w:rPr>
          <w:lang w:val="es-PE"/>
        </w:rPr>
      </w:pPr>
      <w:r w:rsidRPr="004462E8">
        <w:rPr>
          <w:lang w:val="es-PE"/>
        </w:rPr>
        <w:t>Los siguientes proveedores de servicios están asociados con este OLA:</w:t>
      </w:r>
    </w:p>
    <w:p w14:paraId="76B724E5" w14:textId="77777777" w:rsidR="00F62FE5" w:rsidRPr="004462E8" w:rsidRDefault="00F62FE5">
      <w:pPr>
        <w:rPr>
          <w:lang w:val="es-PE"/>
        </w:rPr>
      </w:pPr>
    </w:p>
    <w:tbl>
      <w:tblPr>
        <w:tblW w:w="8640" w:type="dxa"/>
        <w:tblInd w:w="445" w:type="dxa"/>
        <w:tblLayout w:type="fixed"/>
        <w:tblLook w:val="0000" w:firstRow="0" w:lastRow="0" w:firstColumn="0" w:lastColumn="0" w:noHBand="0" w:noVBand="0"/>
      </w:tblPr>
      <w:tblGrid>
        <w:gridCol w:w="2610"/>
        <w:gridCol w:w="3060"/>
        <w:gridCol w:w="2970"/>
      </w:tblGrid>
      <w:tr w:rsidR="00F62FE5" w:rsidRPr="004462E8" w14:paraId="7DB4D4E7" w14:textId="77777777">
        <w:tc>
          <w:tcPr>
            <w:tcW w:w="2610" w:type="dxa"/>
            <w:tcBorders>
              <w:top w:val="single" w:sz="4" w:space="0" w:color="000000"/>
              <w:left w:val="single" w:sz="4" w:space="0" w:color="000000"/>
              <w:bottom w:val="single" w:sz="4" w:space="0" w:color="000000"/>
              <w:right w:val="single" w:sz="4" w:space="0" w:color="000000"/>
            </w:tcBorders>
            <w:shd w:val="clear" w:color="auto" w:fill="D9D9D9"/>
          </w:tcPr>
          <w:p w14:paraId="6B0F6A09" w14:textId="77777777" w:rsidR="00F62FE5" w:rsidRPr="004462E8" w:rsidRDefault="00A66A4B">
            <w:pPr>
              <w:rPr>
                <w:b/>
                <w:bCs/>
                <w:lang w:val="es-PE"/>
              </w:rPr>
            </w:pPr>
            <w:r w:rsidRPr="004462E8">
              <w:rPr>
                <w:b/>
                <w:bCs/>
                <w:lang w:val="es-PE"/>
              </w:rPr>
              <w:t>Proveedor de servicio</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Pr>
          <w:p w14:paraId="4963DD6B" w14:textId="77777777" w:rsidR="00F62FE5" w:rsidRPr="004462E8" w:rsidRDefault="00A66A4B">
            <w:pPr>
              <w:rPr>
                <w:b/>
                <w:bCs/>
                <w:lang w:val="es-PE"/>
              </w:rPr>
            </w:pPr>
            <w:r w:rsidRPr="004462E8">
              <w:rPr>
                <w:b/>
                <w:bCs/>
                <w:lang w:val="es-PE"/>
              </w:rPr>
              <w:t>Título del rol</w:t>
            </w:r>
          </w:p>
        </w:tc>
        <w:tc>
          <w:tcPr>
            <w:tcW w:w="2970" w:type="dxa"/>
            <w:tcBorders>
              <w:top w:val="single" w:sz="4" w:space="0" w:color="000000"/>
              <w:left w:val="single" w:sz="4" w:space="0" w:color="000000"/>
              <w:bottom w:val="single" w:sz="4" w:space="0" w:color="000000"/>
              <w:right w:val="single" w:sz="4" w:space="0" w:color="000000"/>
            </w:tcBorders>
            <w:shd w:val="clear" w:color="auto" w:fill="D9D9D9"/>
          </w:tcPr>
          <w:p w14:paraId="17323F58" w14:textId="77777777" w:rsidR="00F62FE5" w:rsidRPr="004462E8" w:rsidRDefault="00A66A4B">
            <w:pPr>
              <w:rPr>
                <w:b/>
                <w:bCs/>
                <w:lang w:val="es-PE"/>
              </w:rPr>
            </w:pPr>
            <w:r w:rsidRPr="004462E8">
              <w:rPr>
                <w:b/>
                <w:bCs/>
                <w:lang w:val="es-PE"/>
              </w:rPr>
              <w:t>Información del contacto*</w:t>
            </w:r>
          </w:p>
        </w:tc>
      </w:tr>
      <w:tr w:rsidR="00F62FE5" w:rsidRPr="004462E8" w14:paraId="218AF807" w14:textId="77777777">
        <w:tc>
          <w:tcPr>
            <w:tcW w:w="2610" w:type="dxa"/>
            <w:tcBorders>
              <w:top w:val="single" w:sz="4" w:space="0" w:color="000000"/>
              <w:left w:val="single" w:sz="4" w:space="0" w:color="000000"/>
              <w:bottom w:val="single" w:sz="4" w:space="0" w:color="000000"/>
              <w:right w:val="single" w:sz="4" w:space="0" w:color="000000"/>
            </w:tcBorders>
          </w:tcPr>
          <w:p w14:paraId="1D589C21" w14:textId="77777777" w:rsidR="00F62FE5" w:rsidRPr="004462E8" w:rsidRDefault="00A66A4B">
            <w:pPr>
              <w:rPr>
                <w:i/>
                <w:color w:val="FF00FF"/>
                <w:lang w:val="es-PE"/>
              </w:rPr>
            </w:pPr>
            <w:r w:rsidRPr="004462E8">
              <w:rPr>
                <w:i/>
                <w:color w:val="FF00FF"/>
                <w:lang w:val="es-PE"/>
              </w:rPr>
              <w:t>[Proveedor de servicios 1]</w:t>
            </w:r>
          </w:p>
        </w:tc>
        <w:tc>
          <w:tcPr>
            <w:tcW w:w="3060" w:type="dxa"/>
            <w:tcBorders>
              <w:top w:val="single" w:sz="4" w:space="0" w:color="000000"/>
              <w:left w:val="single" w:sz="4" w:space="0" w:color="000000"/>
              <w:bottom w:val="single" w:sz="4" w:space="0" w:color="000000"/>
              <w:right w:val="single" w:sz="4" w:space="0" w:color="000000"/>
            </w:tcBorders>
          </w:tcPr>
          <w:p w14:paraId="6B6A5B5A" w14:textId="77777777" w:rsidR="00F62FE5" w:rsidRPr="004462E8" w:rsidRDefault="00A66A4B">
            <w:pPr>
              <w:rPr>
                <w:i/>
                <w:color w:val="FF00FF"/>
                <w:lang w:val="es-PE"/>
              </w:rPr>
            </w:pPr>
            <w:r w:rsidRPr="004462E8">
              <w:rPr>
                <w:i/>
                <w:color w:val="FF00FF"/>
                <w:lang w:val="es-PE"/>
              </w:rPr>
              <w:t>[Título del rol]</w:t>
            </w:r>
          </w:p>
        </w:tc>
        <w:tc>
          <w:tcPr>
            <w:tcW w:w="2970" w:type="dxa"/>
            <w:tcBorders>
              <w:top w:val="single" w:sz="4" w:space="0" w:color="000000"/>
              <w:left w:val="single" w:sz="4" w:space="0" w:color="000000"/>
              <w:bottom w:val="single" w:sz="4" w:space="0" w:color="000000"/>
              <w:right w:val="single" w:sz="4" w:space="0" w:color="000000"/>
            </w:tcBorders>
          </w:tcPr>
          <w:p w14:paraId="6A3F82D4" w14:textId="77777777" w:rsidR="00F62FE5" w:rsidRPr="004462E8" w:rsidRDefault="00A66A4B">
            <w:pPr>
              <w:rPr>
                <w:i/>
                <w:color w:val="FF00FF"/>
                <w:lang w:val="es-PE"/>
              </w:rPr>
            </w:pPr>
            <w:r w:rsidRPr="004462E8">
              <w:rPr>
                <w:i/>
                <w:color w:val="FF00FF"/>
                <w:lang w:val="es-PE"/>
              </w:rPr>
              <w:t>[Información del contacto]</w:t>
            </w:r>
          </w:p>
        </w:tc>
      </w:tr>
      <w:tr w:rsidR="00F62FE5" w:rsidRPr="004462E8" w14:paraId="36304FF1" w14:textId="77777777">
        <w:tc>
          <w:tcPr>
            <w:tcW w:w="2610" w:type="dxa"/>
            <w:tcBorders>
              <w:top w:val="single" w:sz="4" w:space="0" w:color="000000"/>
              <w:left w:val="single" w:sz="4" w:space="0" w:color="000000"/>
              <w:bottom w:val="single" w:sz="4" w:space="0" w:color="000000"/>
              <w:right w:val="single" w:sz="4" w:space="0" w:color="000000"/>
            </w:tcBorders>
          </w:tcPr>
          <w:p w14:paraId="6B59E56E" w14:textId="77777777" w:rsidR="00F62FE5" w:rsidRPr="004462E8" w:rsidRDefault="00A66A4B">
            <w:pPr>
              <w:rPr>
                <w:i/>
                <w:color w:val="FF00FF"/>
                <w:lang w:val="es-PE"/>
              </w:rPr>
            </w:pPr>
            <w:r w:rsidRPr="004462E8">
              <w:rPr>
                <w:i/>
                <w:color w:val="FF00FF"/>
                <w:lang w:val="es-PE"/>
              </w:rPr>
              <w:t>[Proveedor de servicios 2]</w:t>
            </w:r>
          </w:p>
        </w:tc>
        <w:tc>
          <w:tcPr>
            <w:tcW w:w="3060" w:type="dxa"/>
            <w:tcBorders>
              <w:top w:val="single" w:sz="4" w:space="0" w:color="000000"/>
              <w:left w:val="single" w:sz="4" w:space="0" w:color="000000"/>
              <w:bottom w:val="single" w:sz="4" w:space="0" w:color="000000"/>
              <w:right w:val="single" w:sz="4" w:space="0" w:color="000000"/>
            </w:tcBorders>
          </w:tcPr>
          <w:p w14:paraId="72C39256" w14:textId="77777777" w:rsidR="00F62FE5" w:rsidRPr="004462E8" w:rsidRDefault="00A66A4B">
            <w:pPr>
              <w:rPr>
                <w:i/>
                <w:color w:val="FF00FF"/>
                <w:lang w:val="es-PE"/>
              </w:rPr>
            </w:pPr>
            <w:r w:rsidRPr="004462E8">
              <w:rPr>
                <w:i/>
                <w:color w:val="FF00FF"/>
                <w:lang w:val="es-PE"/>
              </w:rPr>
              <w:t>[Título del rol]</w:t>
            </w:r>
          </w:p>
        </w:tc>
        <w:tc>
          <w:tcPr>
            <w:tcW w:w="2970" w:type="dxa"/>
            <w:tcBorders>
              <w:top w:val="single" w:sz="4" w:space="0" w:color="000000"/>
              <w:left w:val="single" w:sz="4" w:space="0" w:color="000000"/>
              <w:bottom w:val="single" w:sz="4" w:space="0" w:color="000000"/>
              <w:right w:val="single" w:sz="4" w:space="0" w:color="000000"/>
            </w:tcBorders>
          </w:tcPr>
          <w:p w14:paraId="53D1E44D" w14:textId="77777777" w:rsidR="00F62FE5" w:rsidRPr="004462E8" w:rsidRDefault="00A66A4B">
            <w:pPr>
              <w:rPr>
                <w:i/>
                <w:color w:val="FF00FF"/>
                <w:lang w:val="es-PE"/>
              </w:rPr>
            </w:pPr>
            <w:r w:rsidRPr="004462E8">
              <w:rPr>
                <w:i/>
                <w:color w:val="FF00FF"/>
                <w:lang w:val="es-PE"/>
              </w:rPr>
              <w:t>[Información del contacto]</w:t>
            </w:r>
          </w:p>
        </w:tc>
      </w:tr>
    </w:tbl>
    <w:p w14:paraId="76778E97" w14:textId="77777777" w:rsidR="00F62FE5" w:rsidRPr="004462E8" w:rsidRDefault="00F62FE5">
      <w:pPr>
        <w:rPr>
          <w:rFonts w:ascii="Arial" w:hAnsi="Arial" w:cs="Arial"/>
          <w:b/>
          <w:lang w:val="es-PE"/>
        </w:rPr>
      </w:pPr>
    </w:p>
    <w:p w14:paraId="63A61FFA" w14:textId="77777777" w:rsidR="00F62FE5" w:rsidRPr="004462E8" w:rsidRDefault="00A66A4B">
      <w:pPr>
        <w:pStyle w:val="Bodylevel2CharChar"/>
        <w:rPr>
          <w:lang w:val="es-PE"/>
        </w:rPr>
      </w:pPr>
      <w:r w:rsidRPr="004462E8">
        <w:rPr>
          <w:lang w:val="es-PE"/>
        </w:rPr>
        <w:lastRenderedPageBreak/>
        <w:t>* NOTA: La disponibilidad se define en la Sección 4, Horas de cobertura, tiempo de respuesta y escaladas. Los números de teléfono no deben</w:t>
      </w:r>
      <w:r w:rsidRPr="004462E8">
        <w:rPr>
          <w:lang w:val="es-PE"/>
        </w:rPr>
        <w:t xml:space="preserve"> usarse fuera del horario laboral a menos que se especifique en esta sección.</w:t>
      </w:r>
    </w:p>
    <w:p w14:paraId="7725B406" w14:textId="77777777" w:rsidR="00F62FE5" w:rsidRPr="004462E8" w:rsidRDefault="00A66A4B">
      <w:pPr>
        <w:pStyle w:val="Ttulo1"/>
        <w:rPr>
          <w:rFonts w:ascii="Times New Roman" w:hAnsi="Times New Roman" w:cs="Times New Roman"/>
          <w:b w:val="0"/>
          <w:bCs/>
          <w:i/>
          <w:iCs/>
          <w:lang w:val="es-PE"/>
        </w:rPr>
      </w:pPr>
      <w:bookmarkStart w:id="10" w:name="__RefHeading___Toc171659829"/>
      <w:bookmarkEnd w:id="10"/>
      <w:r w:rsidRPr="004462E8">
        <w:rPr>
          <w:lang w:val="es-PE"/>
        </w:rPr>
        <w:t>Requisitos del proveedor de servicios (roles y responsabilidades)</w:t>
      </w:r>
    </w:p>
    <w:p w14:paraId="7C785432" w14:textId="77777777" w:rsidR="00F62FE5" w:rsidRPr="004462E8" w:rsidRDefault="00A66A4B">
      <w:pPr>
        <w:ind w:left="432"/>
        <w:rPr>
          <w:lang w:val="es-PE"/>
        </w:rPr>
      </w:pPr>
      <w:r w:rsidRPr="004462E8">
        <w:rPr>
          <w:lang w:val="es-PE"/>
        </w:rPr>
        <w:t xml:space="preserve">Las responsabilidades y / o requisitos de todos los proveedores de servicios en apoyo de este Acuerdo incluyen: </w:t>
      </w:r>
    </w:p>
    <w:p w14:paraId="2F42F27C" w14:textId="77777777" w:rsidR="00F62FE5" w:rsidRPr="004462E8" w:rsidRDefault="00A66A4B">
      <w:pPr>
        <w:numPr>
          <w:ilvl w:val="0"/>
          <w:numId w:val="4"/>
        </w:numPr>
        <w:tabs>
          <w:tab w:val="clear" w:pos="720"/>
          <w:tab w:val="left" w:pos="1080"/>
        </w:tabs>
        <w:ind w:left="1080"/>
        <w:rPr>
          <w:lang w:val="es-PE"/>
        </w:rPr>
      </w:pPr>
      <w:r w:rsidRPr="004462E8">
        <w:rPr>
          <w:lang w:val="es-PE"/>
        </w:rPr>
        <w:t>Cumplir con los tiempos de respuesta asociados a la prioridad asignada a las incidencias y solicitudes de servicio.</w:t>
      </w:r>
    </w:p>
    <w:p w14:paraId="365D3D50" w14:textId="77777777" w:rsidR="00F62FE5" w:rsidRPr="004462E8" w:rsidRDefault="00A66A4B">
      <w:pPr>
        <w:numPr>
          <w:ilvl w:val="0"/>
          <w:numId w:val="4"/>
        </w:numPr>
        <w:tabs>
          <w:tab w:val="clear" w:pos="720"/>
          <w:tab w:val="left" w:pos="360"/>
          <w:tab w:val="left" w:pos="810"/>
        </w:tabs>
        <w:ind w:left="1080"/>
        <w:rPr>
          <w:lang w:val="es-PE"/>
        </w:rPr>
      </w:pPr>
      <w:r w:rsidRPr="004462E8">
        <w:rPr>
          <w:lang w:val="es-PE"/>
        </w:rPr>
        <w:t>Capacitar al personal reque</w:t>
      </w:r>
      <w:r w:rsidRPr="004462E8">
        <w:rPr>
          <w:lang w:val="es-PE"/>
        </w:rPr>
        <w:t>rido sobre las herramientas de soporte de servicio adecuadas (</w:t>
      </w:r>
      <w:r w:rsidRPr="004462E8">
        <w:rPr>
          <w:i/>
          <w:color w:val="0000FF"/>
          <w:lang w:val="es-PE"/>
        </w:rPr>
        <w:t>cite ejemplos para este servicio</w:t>
      </w:r>
      <w:r w:rsidRPr="004462E8">
        <w:rPr>
          <w:i/>
          <w:lang w:val="es-PE"/>
        </w:rPr>
        <w:t>)</w:t>
      </w:r>
    </w:p>
    <w:p w14:paraId="3205FDBB" w14:textId="77777777" w:rsidR="00F62FE5" w:rsidRPr="004462E8" w:rsidRDefault="00A66A4B">
      <w:pPr>
        <w:pStyle w:val="Textoindependiente"/>
        <w:numPr>
          <w:ilvl w:val="0"/>
          <w:numId w:val="7"/>
        </w:numPr>
        <w:tabs>
          <w:tab w:val="clear" w:pos="360"/>
          <w:tab w:val="left" w:pos="1098"/>
        </w:tabs>
        <w:ind w:left="1098" w:hanging="378"/>
        <w:rPr>
          <w:lang w:val="es-PE"/>
        </w:rPr>
      </w:pPr>
      <w:r w:rsidRPr="004462E8">
        <w:rPr>
          <w:sz w:val="20"/>
          <w:lang w:val="es-PE"/>
        </w:rPr>
        <w:t>Utilice el proceso de notificación de interrupciones para notificar a los clientes sobre todo el mantenimiento programado a través del calendario de mantenimien</w:t>
      </w:r>
      <w:r w:rsidRPr="004462E8">
        <w:rPr>
          <w:sz w:val="20"/>
          <w:lang w:val="es-PE"/>
        </w:rPr>
        <w:t>to, la página web del catálogo de servicios y / o una comunicación al campus a través del especialista en comunicación.</w:t>
      </w:r>
    </w:p>
    <w:p w14:paraId="2AE3B658" w14:textId="77777777" w:rsidR="00F62FE5" w:rsidRPr="004462E8" w:rsidRDefault="00A66A4B">
      <w:pPr>
        <w:numPr>
          <w:ilvl w:val="0"/>
          <w:numId w:val="7"/>
        </w:numPr>
        <w:tabs>
          <w:tab w:val="clear" w:pos="720"/>
          <w:tab w:val="left" w:pos="1098"/>
        </w:tabs>
        <w:ind w:left="1080"/>
        <w:rPr>
          <w:lang w:val="es-PE"/>
        </w:rPr>
      </w:pPr>
      <w:r w:rsidRPr="004462E8">
        <w:rPr>
          <w:lang w:val="es-PE"/>
        </w:rPr>
        <w:t>Participe en todas las actividades de soporte del servicio, incluida la gestión de incidentes, problemas, cambios, versiones y configura</w:t>
      </w:r>
      <w:r w:rsidRPr="004462E8">
        <w:rPr>
          <w:lang w:val="es-PE"/>
        </w:rPr>
        <w:t>ciones.</w:t>
      </w:r>
    </w:p>
    <w:p w14:paraId="7CD7056A" w14:textId="77777777" w:rsidR="00F62FE5" w:rsidRPr="004462E8" w:rsidRDefault="00A66A4B">
      <w:pPr>
        <w:numPr>
          <w:ilvl w:val="0"/>
          <w:numId w:val="7"/>
        </w:numPr>
        <w:tabs>
          <w:tab w:val="clear" w:pos="720"/>
          <w:tab w:val="left" w:pos="1098"/>
        </w:tabs>
        <w:ind w:left="1080"/>
        <w:rPr>
          <w:lang w:val="es-PE"/>
        </w:rPr>
      </w:pPr>
      <w:r w:rsidRPr="004462E8">
        <w:rPr>
          <w:lang w:val="es-PE"/>
        </w:rPr>
        <w:t xml:space="preserve">Cumplir con las métricas de SLA como se indica en el </w:t>
      </w:r>
      <w:r w:rsidRPr="004462E8">
        <w:rPr>
          <w:i/>
          <w:color w:val="FF00FF"/>
          <w:lang w:val="es-PE"/>
        </w:rPr>
        <w:t>Nombre del Servicio</w:t>
      </w:r>
      <w:r w:rsidRPr="004462E8">
        <w:rPr>
          <w:lang w:val="es-PE"/>
        </w:rPr>
        <w:t xml:space="preserve"> SLA ubicado </w:t>
      </w:r>
      <w:r w:rsidRPr="004462E8">
        <w:rPr>
          <w:i/>
          <w:color w:val="0000FF"/>
          <w:lang w:val="es-PE"/>
        </w:rPr>
        <w:t xml:space="preserve">Servicio </w:t>
      </w:r>
      <w:proofErr w:type="spellStart"/>
      <w:r w:rsidRPr="004462E8">
        <w:rPr>
          <w:i/>
          <w:color w:val="0000FF"/>
          <w:lang w:val="es-PE"/>
        </w:rPr>
        <w:t>SLA_link</w:t>
      </w:r>
      <w:proofErr w:type="spellEnd"/>
    </w:p>
    <w:p w14:paraId="5FF79D3B" w14:textId="77777777" w:rsidR="00F62FE5" w:rsidRPr="004462E8" w:rsidRDefault="00A66A4B">
      <w:pPr>
        <w:numPr>
          <w:ilvl w:val="0"/>
          <w:numId w:val="7"/>
        </w:numPr>
        <w:tabs>
          <w:tab w:val="clear" w:pos="720"/>
          <w:tab w:val="left" w:pos="1098"/>
        </w:tabs>
        <w:ind w:left="1080"/>
        <w:rPr>
          <w:color w:val="FF00FF"/>
          <w:lang w:val="es-PE"/>
        </w:rPr>
      </w:pPr>
      <w:r w:rsidRPr="004462E8">
        <w:rPr>
          <w:i/>
          <w:color w:val="FF00FF"/>
          <w:lang w:val="es-PE"/>
        </w:rPr>
        <w:t>Requisitos adicionales identificados durante la recopilación de requisitos técnicos o funcionales, por ejemplo, como parte del proceso de la Junt</w:t>
      </w:r>
      <w:r w:rsidRPr="004462E8">
        <w:rPr>
          <w:i/>
          <w:color w:val="FF00FF"/>
          <w:lang w:val="es-PE"/>
        </w:rPr>
        <w:t xml:space="preserve">a de Revisión de Diseño (DRB) de ITS (http://its.ucsc.edu/ea/drb/ y https://collab.ucsc.edu/ </w:t>
      </w:r>
      <w:proofErr w:type="spellStart"/>
      <w:r w:rsidRPr="004462E8">
        <w:rPr>
          <w:i/>
          <w:color w:val="FF00FF"/>
          <w:lang w:val="es-PE"/>
        </w:rPr>
        <w:t>its-group-spaces</w:t>
      </w:r>
      <w:proofErr w:type="spellEnd"/>
      <w:r w:rsidRPr="004462E8">
        <w:rPr>
          <w:i/>
          <w:color w:val="FF00FF"/>
          <w:lang w:val="es-PE"/>
        </w:rPr>
        <w:t xml:space="preserve"> / </w:t>
      </w:r>
      <w:proofErr w:type="spellStart"/>
      <w:r w:rsidRPr="004462E8">
        <w:rPr>
          <w:i/>
          <w:color w:val="FF00FF"/>
          <w:lang w:val="es-PE"/>
        </w:rPr>
        <w:t>design-review-board</w:t>
      </w:r>
      <w:proofErr w:type="spellEnd"/>
      <w:r w:rsidRPr="004462E8">
        <w:rPr>
          <w:i/>
          <w:color w:val="FF00FF"/>
          <w:lang w:val="es-PE"/>
        </w:rPr>
        <w:t xml:space="preserve"> / </w:t>
      </w:r>
      <w:proofErr w:type="spellStart"/>
      <w:r w:rsidRPr="004462E8">
        <w:rPr>
          <w:i/>
          <w:color w:val="FF00FF"/>
          <w:lang w:val="es-PE"/>
        </w:rPr>
        <w:t>templates-design-materials</w:t>
      </w:r>
      <w:proofErr w:type="spellEnd"/>
      <w:r w:rsidRPr="004462E8">
        <w:rPr>
          <w:i/>
          <w:color w:val="FF00FF"/>
          <w:lang w:val="es-PE"/>
        </w:rPr>
        <w:t>).</w:t>
      </w:r>
    </w:p>
    <w:p w14:paraId="3957C5AA" w14:textId="77777777" w:rsidR="00F62FE5" w:rsidRPr="004462E8" w:rsidRDefault="00F62FE5">
      <w:pPr>
        <w:ind w:left="288"/>
        <w:rPr>
          <w:color w:val="0000FF"/>
          <w:lang w:val="es-PE"/>
        </w:rPr>
      </w:pPr>
    </w:p>
    <w:p w14:paraId="7746CD71" w14:textId="77777777" w:rsidR="00F62FE5" w:rsidRPr="004462E8" w:rsidRDefault="00A66A4B">
      <w:pPr>
        <w:ind w:left="432"/>
        <w:rPr>
          <w:lang w:val="es-PE"/>
        </w:rPr>
      </w:pPr>
      <w:r w:rsidRPr="004462E8">
        <w:rPr>
          <w:b/>
          <w:bCs/>
          <w:i/>
          <w:color w:val="FF00FF"/>
          <w:lang w:val="es-PE"/>
        </w:rPr>
        <w:t>Proveedor de servicio</w:t>
      </w:r>
      <w:r w:rsidRPr="004462E8">
        <w:rPr>
          <w:i/>
          <w:color w:val="FF00FF"/>
          <w:lang w:val="es-PE"/>
        </w:rPr>
        <w:t xml:space="preserve"> 1</w:t>
      </w:r>
      <w:r w:rsidRPr="004462E8">
        <w:rPr>
          <w:lang w:val="es-PE"/>
        </w:rPr>
        <w:t xml:space="preserve"> se compromete a proporcionar:</w:t>
      </w:r>
    </w:p>
    <w:p w14:paraId="72445B36" w14:textId="77777777" w:rsidR="00F62FE5" w:rsidRPr="004462E8" w:rsidRDefault="00F62FE5">
      <w:pPr>
        <w:ind w:left="792"/>
        <w:jc w:val="both"/>
        <w:rPr>
          <w:lang w:val="es-PE"/>
        </w:rPr>
      </w:pPr>
    </w:p>
    <w:p w14:paraId="436C2DDD" w14:textId="77777777" w:rsidR="00F62FE5" w:rsidRPr="004462E8" w:rsidRDefault="00A66A4B">
      <w:pPr>
        <w:ind w:left="432"/>
        <w:rPr>
          <w:lang w:val="es-PE"/>
        </w:rPr>
      </w:pPr>
      <w:r w:rsidRPr="004462E8">
        <w:rPr>
          <w:b/>
          <w:bCs/>
          <w:i/>
          <w:color w:val="FF00FF"/>
          <w:lang w:val="es-PE"/>
        </w:rPr>
        <w:t>Proveedor de servicio</w:t>
      </w:r>
      <w:r w:rsidRPr="004462E8">
        <w:rPr>
          <w:i/>
          <w:color w:val="FF00FF"/>
          <w:lang w:val="es-PE"/>
        </w:rPr>
        <w:t xml:space="preserve"> 2</w:t>
      </w:r>
      <w:r w:rsidRPr="004462E8">
        <w:rPr>
          <w:lang w:val="es-PE"/>
        </w:rPr>
        <w:t xml:space="preserve"> se compromete</w:t>
      </w:r>
      <w:r w:rsidRPr="004462E8">
        <w:rPr>
          <w:lang w:val="es-PE"/>
        </w:rPr>
        <w:t xml:space="preserve"> a proporcionar:</w:t>
      </w:r>
    </w:p>
    <w:p w14:paraId="28284BE2" w14:textId="77777777" w:rsidR="00F62FE5" w:rsidRPr="004462E8" w:rsidRDefault="00F62FE5">
      <w:pPr>
        <w:ind w:left="432"/>
        <w:rPr>
          <w:lang w:val="es-PE"/>
        </w:rPr>
      </w:pPr>
    </w:p>
    <w:p w14:paraId="2CF3D35A" w14:textId="77777777" w:rsidR="00F62FE5" w:rsidRPr="004462E8" w:rsidRDefault="00A66A4B">
      <w:pPr>
        <w:ind w:left="432"/>
        <w:rPr>
          <w:lang w:val="es-PE"/>
        </w:rPr>
      </w:pPr>
      <w:r w:rsidRPr="004462E8">
        <w:rPr>
          <w:b/>
          <w:bCs/>
          <w:i/>
          <w:color w:val="0000FF"/>
          <w:lang w:val="es-PE"/>
        </w:rPr>
        <w:t>Gestión de aplicaciones y proyectos (APM)</w:t>
      </w:r>
      <w:r w:rsidRPr="004462E8">
        <w:rPr>
          <w:bCs/>
          <w:i/>
          <w:color w:val="0000FF"/>
          <w:lang w:val="es-PE"/>
        </w:rPr>
        <w:t xml:space="preserve"> se compromete a proporcionar </w:t>
      </w:r>
    </w:p>
    <w:p w14:paraId="20FFEAA8" w14:textId="77777777" w:rsidR="00F62FE5" w:rsidRPr="004462E8" w:rsidRDefault="00A66A4B">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i/>
          <w:color w:val="0000FF"/>
          <w:szCs w:val="24"/>
          <w:lang w:val="es-PE"/>
        </w:rPr>
      </w:pPr>
      <w:r w:rsidRPr="004462E8">
        <w:rPr>
          <w:i/>
          <w:color w:val="0000FF"/>
          <w:szCs w:val="24"/>
          <w:lang w:val="es-PE"/>
        </w:rPr>
        <w:t xml:space="preserve">Soporte y configuración de hardware de servidor que no es de red, y actúa como enlace con los proveedores de hardware de servidor para informes de problemas y </w:t>
      </w:r>
      <w:r w:rsidRPr="004462E8">
        <w:rPr>
          <w:i/>
          <w:color w:val="0000FF"/>
          <w:szCs w:val="24"/>
          <w:lang w:val="es-PE"/>
        </w:rPr>
        <w:t>manejo de incidentes, EXCEPTO para los servidores que están alojados en la infraestructura de VM.</w:t>
      </w:r>
    </w:p>
    <w:p w14:paraId="14D9E309" w14:textId="77777777" w:rsidR="00F62FE5" w:rsidRPr="004462E8" w:rsidRDefault="00A66A4B">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i/>
          <w:color w:val="0000FF"/>
          <w:szCs w:val="24"/>
          <w:lang w:val="es-PE"/>
        </w:rPr>
      </w:pPr>
      <w:r w:rsidRPr="004462E8">
        <w:rPr>
          <w:i/>
          <w:color w:val="0000FF"/>
          <w:szCs w:val="24"/>
          <w:lang w:val="es-PE"/>
        </w:rPr>
        <w:t>Soporte y configuración del sistema operativo del servidor que no es de red, y actúa como enlace con los proveedores del sistema operativo del servidor para i</w:t>
      </w:r>
      <w:r w:rsidRPr="004462E8">
        <w:rPr>
          <w:i/>
          <w:color w:val="0000FF"/>
          <w:szCs w:val="24"/>
          <w:lang w:val="es-PE"/>
        </w:rPr>
        <w:t>nformes de problemas y manejo de incidentes.</w:t>
      </w:r>
    </w:p>
    <w:p w14:paraId="05E785FF" w14:textId="77777777" w:rsidR="00F62FE5" w:rsidRPr="004462E8" w:rsidRDefault="00A66A4B">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i/>
          <w:color w:val="0000FF"/>
          <w:szCs w:val="24"/>
          <w:lang w:val="es-PE"/>
        </w:rPr>
      </w:pPr>
      <w:r w:rsidRPr="004462E8">
        <w:rPr>
          <w:i/>
          <w:color w:val="0000FF"/>
          <w:szCs w:val="24"/>
          <w:lang w:val="es-PE"/>
        </w:rPr>
        <w:t>Soporte y configuración de software de aplicación de servidor que no es de red, y actúa como enlace con los proveedores de software de aplicación de servidor para informes de problemas y manejo de incidentes.</w:t>
      </w:r>
    </w:p>
    <w:p w14:paraId="1E0C442E" w14:textId="77777777" w:rsidR="00F62FE5" w:rsidRPr="004462E8" w:rsidRDefault="00A66A4B">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i/>
          <w:color w:val="0000FF"/>
          <w:szCs w:val="24"/>
          <w:lang w:val="es-PE"/>
        </w:rPr>
      </w:pPr>
      <w:r w:rsidRPr="004462E8">
        <w:rPr>
          <w:i/>
          <w:color w:val="0000FF"/>
          <w:szCs w:val="24"/>
          <w:lang w:val="es-PE"/>
        </w:rPr>
        <w:t>Brinde experiencia para manejar los casos de soporte al usuario que el Centro de soporte necesita para escalar a Herramientas de productividad.</w:t>
      </w:r>
    </w:p>
    <w:p w14:paraId="57A0698F" w14:textId="77777777" w:rsidR="00F62FE5" w:rsidRPr="004462E8" w:rsidRDefault="00A66A4B">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i/>
          <w:color w:val="0000FF"/>
          <w:szCs w:val="24"/>
          <w:lang w:val="es-PE"/>
        </w:rPr>
      </w:pPr>
      <w:r w:rsidRPr="004462E8">
        <w:rPr>
          <w:i/>
          <w:color w:val="0000FF"/>
          <w:szCs w:val="24"/>
          <w:lang w:val="es-PE"/>
        </w:rPr>
        <w:t>Actuar como enlace con Compras para establecer contactos de soporte para hardware y software.</w:t>
      </w:r>
    </w:p>
    <w:p w14:paraId="3FFE6C6A" w14:textId="77777777" w:rsidR="00F62FE5" w:rsidRPr="004462E8" w:rsidRDefault="00F62FE5">
      <w:pPr>
        <w:rPr>
          <w:i/>
          <w:color w:val="0000FF"/>
          <w:szCs w:val="24"/>
          <w:lang w:val="es-PE"/>
        </w:rPr>
      </w:pPr>
    </w:p>
    <w:p w14:paraId="1E91F3B4" w14:textId="77777777" w:rsidR="00F62FE5" w:rsidRPr="004462E8" w:rsidRDefault="00A66A4B">
      <w:pPr>
        <w:ind w:left="360"/>
        <w:rPr>
          <w:lang w:val="es-PE"/>
        </w:rPr>
      </w:pPr>
      <w:r w:rsidRPr="004462E8">
        <w:rPr>
          <w:b/>
          <w:bCs/>
          <w:i/>
          <w:color w:val="0000FF"/>
          <w:lang w:val="es-PE"/>
        </w:rPr>
        <w:t>Centro de Apoyo</w:t>
      </w:r>
      <w:r w:rsidRPr="004462E8">
        <w:rPr>
          <w:bCs/>
          <w:i/>
          <w:color w:val="0000FF"/>
          <w:lang w:val="es-PE"/>
        </w:rPr>
        <w:t xml:space="preserve"> s</w:t>
      </w:r>
      <w:r w:rsidRPr="004462E8">
        <w:rPr>
          <w:bCs/>
          <w:i/>
          <w:color w:val="0000FF"/>
          <w:lang w:val="es-PE"/>
        </w:rPr>
        <w:t xml:space="preserve">e compromete a proporcionar </w:t>
      </w:r>
    </w:p>
    <w:p w14:paraId="603F0805" w14:textId="77777777" w:rsidR="00F62FE5" w:rsidRPr="004462E8" w:rsidRDefault="00A66A4B">
      <w:pPr>
        <w:numPr>
          <w:ilvl w:val="0"/>
          <w:numId w:val="8"/>
        </w:numPr>
        <w:rPr>
          <w:i/>
          <w:color w:val="0000FF"/>
          <w:lang w:val="es-PE"/>
        </w:rPr>
      </w:pPr>
      <w:r w:rsidRPr="004462E8">
        <w:rPr>
          <w:i/>
          <w:color w:val="0000FF"/>
          <w:szCs w:val="24"/>
          <w:lang w:val="es-PE"/>
        </w:rPr>
        <w:t>Verificación de la elegibilidad del cliente</w:t>
      </w:r>
    </w:p>
    <w:p w14:paraId="6D239A87" w14:textId="77777777" w:rsidR="00F62FE5" w:rsidRPr="004462E8" w:rsidRDefault="00A66A4B">
      <w:pPr>
        <w:numPr>
          <w:ilvl w:val="0"/>
          <w:numId w:val="8"/>
        </w:numPr>
        <w:rPr>
          <w:i/>
          <w:color w:val="0000FF"/>
          <w:lang w:val="es-PE"/>
        </w:rPr>
      </w:pPr>
      <w:r w:rsidRPr="004462E8">
        <w:rPr>
          <w:i/>
          <w:color w:val="0000FF"/>
          <w:szCs w:val="24"/>
          <w:lang w:val="es-PE"/>
        </w:rPr>
        <w:t xml:space="preserve">El diagnóstico e investigación de problemas, incidentes y solicitudes de información sobre </w:t>
      </w:r>
      <w:proofErr w:type="spellStart"/>
      <w:r w:rsidRPr="004462E8">
        <w:rPr>
          <w:i/>
          <w:color w:val="0000FF"/>
          <w:szCs w:val="24"/>
          <w:lang w:val="es-PE"/>
        </w:rPr>
        <w:t>CruzMail</w:t>
      </w:r>
      <w:proofErr w:type="spellEnd"/>
      <w:r w:rsidRPr="004462E8">
        <w:rPr>
          <w:i/>
          <w:color w:val="0000FF"/>
          <w:szCs w:val="24"/>
          <w:lang w:val="es-PE"/>
        </w:rPr>
        <w:t xml:space="preserve"> incluyó el uso y configuración de filtros (reglas), escaneo de spam, software de cl</w:t>
      </w:r>
      <w:r w:rsidRPr="004462E8">
        <w:rPr>
          <w:i/>
          <w:color w:val="0000FF"/>
          <w:szCs w:val="24"/>
          <w:lang w:val="es-PE"/>
        </w:rPr>
        <w:t>iente y el cliente de correo web.</w:t>
      </w:r>
    </w:p>
    <w:p w14:paraId="09EC30C5" w14:textId="77777777" w:rsidR="00F62FE5" w:rsidRPr="004462E8" w:rsidRDefault="00A66A4B">
      <w:pPr>
        <w:numPr>
          <w:ilvl w:val="0"/>
          <w:numId w:val="8"/>
        </w:numPr>
        <w:rPr>
          <w:i/>
          <w:color w:val="0000FF"/>
          <w:lang w:val="es-PE"/>
        </w:rPr>
      </w:pPr>
      <w:r w:rsidRPr="004462E8">
        <w:rPr>
          <w:i/>
          <w:color w:val="0000FF"/>
          <w:szCs w:val="24"/>
          <w:lang w:val="es-PE"/>
        </w:rPr>
        <w:t xml:space="preserve">Redacción de documentación para el usuario final, descripciones técnicas, soluciones alternativas y documentación de soporte para sus técnicos. </w:t>
      </w:r>
    </w:p>
    <w:p w14:paraId="4517B5A1" w14:textId="77777777" w:rsidR="00F62FE5" w:rsidRPr="004462E8" w:rsidRDefault="00A66A4B">
      <w:pPr>
        <w:numPr>
          <w:ilvl w:val="0"/>
          <w:numId w:val="8"/>
        </w:numPr>
        <w:rPr>
          <w:i/>
          <w:color w:val="0000FF"/>
          <w:lang w:val="es-PE"/>
        </w:rPr>
      </w:pPr>
      <w:r w:rsidRPr="004462E8">
        <w:rPr>
          <w:i/>
          <w:color w:val="0000FF"/>
          <w:szCs w:val="24"/>
          <w:lang w:val="es-PE"/>
        </w:rPr>
        <w:t>Pruebas y recomendaciones de software de cliente</w:t>
      </w:r>
    </w:p>
    <w:p w14:paraId="399FC6F1" w14:textId="77777777" w:rsidR="00F62FE5" w:rsidRPr="004462E8" w:rsidRDefault="00A66A4B">
      <w:pPr>
        <w:numPr>
          <w:ilvl w:val="0"/>
          <w:numId w:val="8"/>
        </w:numPr>
        <w:rPr>
          <w:i/>
          <w:color w:val="0000FF"/>
          <w:lang w:val="es-PE"/>
        </w:rPr>
      </w:pPr>
      <w:r w:rsidRPr="004462E8">
        <w:rPr>
          <w:i/>
          <w:color w:val="0000FF"/>
          <w:szCs w:val="24"/>
          <w:lang w:val="es-PE"/>
        </w:rPr>
        <w:t>Aprovisionamiento y prueba d</w:t>
      </w:r>
      <w:r w:rsidRPr="004462E8">
        <w:rPr>
          <w:i/>
          <w:color w:val="0000FF"/>
          <w:szCs w:val="24"/>
          <w:lang w:val="es-PE"/>
        </w:rPr>
        <w:t>e cuentas</w:t>
      </w:r>
    </w:p>
    <w:p w14:paraId="419FE324" w14:textId="77777777" w:rsidR="00F62FE5" w:rsidRPr="004462E8" w:rsidRDefault="00A66A4B">
      <w:pPr>
        <w:numPr>
          <w:ilvl w:val="0"/>
          <w:numId w:val="8"/>
        </w:numPr>
        <w:rPr>
          <w:i/>
          <w:color w:val="0000FF"/>
          <w:lang w:val="es-PE"/>
        </w:rPr>
      </w:pPr>
      <w:r w:rsidRPr="004462E8">
        <w:rPr>
          <w:i/>
          <w:color w:val="0000FF"/>
          <w:szCs w:val="24"/>
          <w:lang w:val="es-PE"/>
        </w:rPr>
        <w:t>Coordina el manejo de incidentes importantes.</w:t>
      </w:r>
    </w:p>
    <w:p w14:paraId="2DD9C2E2" w14:textId="77777777" w:rsidR="00F62FE5" w:rsidRPr="004462E8" w:rsidRDefault="00F62FE5">
      <w:pPr>
        <w:rPr>
          <w:i/>
          <w:color w:val="0000FF"/>
          <w:lang w:val="es-PE"/>
        </w:rPr>
      </w:pPr>
    </w:p>
    <w:p w14:paraId="161613AC" w14:textId="77777777" w:rsidR="00F62FE5" w:rsidRPr="004462E8" w:rsidRDefault="00A66A4B">
      <w:pPr>
        <w:ind w:left="360"/>
        <w:rPr>
          <w:lang w:val="es-PE"/>
        </w:rPr>
      </w:pPr>
      <w:r w:rsidRPr="004462E8">
        <w:rPr>
          <w:b/>
          <w:i/>
          <w:color w:val="0000FF"/>
          <w:lang w:val="es-PE"/>
        </w:rPr>
        <w:t xml:space="preserve">Operaciones del centro de datos </w:t>
      </w:r>
      <w:r w:rsidRPr="004462E8">
        <w:rPr>
          <w:i/>
          <w:color w:val="0000FF"/>
          <w:lang w:val="es-PE"/>
        </w:rPr>
        <w:t>acepta proporcionar soporte fuera del horario de atención que incluye</w:t>
      </w:r>
    </w:p>
    <w:p w14:paraId="67FD7078" w14:textId="77777777" w:rsidR="00F62FE5" w:rsidRPr="004462E8" w:rsidRDefault="00A66A4B">
      <w:pPr>
        <w:numPr>
          <w:ilvl w:val="0"/>
          <w:numId w:val="18"/>
        </w:numPr>
        <w:rPr>
          <w:i/>
          <w:color w:val="0000FF"/>
          <w:lang w:val="es-PE"/>
        </w:rPr>
      </w:pPr>
      <w:r w:rsidRPr="004462E8">
        <w:rPr>
          <w:i/>
          <w:color w:val="0000FF"/>
          <w:lang w:val="es-PE"/>
        </w:rPr>
        <w:t>Mantener y hacer cumplir el acceso físico seguro a las instalaciones del centro de datos.</w:t>
      </w:r>
    </w:p>
    <w:p w14:paraId="00D09446" w14:textId="77777777" w:rsidR="00F62FE5" w:rsidRPr="004462E8" w:rsidRDefault="00A66A4B">
      <w:pPr>
        <w:numPr>
          <w:ilvl w:val="0"/>
          <w:numId w:val="18"/>
        </w:numPr>
        <w:rPr>
          <w:i/>
          <w:color w:val="0000FF"/>
          <w:lang w:val="es-PE"/>
        </w:rPr>
      </w:pPr>
      <w:r w:rsidRPr="004462E8">
        <w:rPr>
          <w:i/>
          <w:color w:val="0000FF"/>
          <w:lang w:val="es-PE"/>
        </w:rPr>
        <w:lastRenderedPageBreak/>
        <w:t>Monitor</w:t>
      </w:r>
      <w:r w:rsidRPr="004462E8">
        <w:rPr>
          <w:i/>
          <w:color w:val="0000FF"/>
          <w:lang w:val="es-PE"/>
        </w:rPr>
        <w:t>eo de hardware, software, servicios y entornos.</w:t>
      </w:r>
    </w:p>
    <w:p w14:paraId="5CD4EB63" w14:textId="77777777" w:rsidR="00F62FE5" w:rsidRPr="004462E8" w:rsidRDefault="00A66A4B">
      <w:pPr>
        <w:numPr>
          <w:ilvl w:val="0"/>
          <w:numId w:val="18"/>
        </w:numPr>
        <w:rPr>
          <w:i/>
          <w:color w:val="0000FF"/>
          <w:lang w:val="es-PE"/>
        </w:rPr>
      </w:pPr>
      <w:r w:rsidRPr="004462E8">
        <w:rPr>
          <w:i/>
          <w:color w:val="0000FF"/>
          <w:lang w:val="es-PE"/>
        </w:rPr>
        <w:t>Escalar los problemas / eventos detectados (mediante monitoreo o inspección física) a las partes apropiadas según los procedimientos establecidos dentro de ITS y / o procedimientos establecidos con las partes</w:t>
      </w:r>
      <w:r w:rsidRPr="004462E8">
        <w:rPr>
          <w:i/>
          <w:color w:val="0000FF"/>
          <w:lang w:val="es-PE"/>
        </w:rPr>
        <w:t xml:space="preserve"> interesadas</w:t>
      </w:r>
    </w:p>
    <w:p w14:paraId="6F572A60" w14:textId="77777777" w:rsidR="00F62FE5" w:rsidRPr="004462E8" w:rsidRDefault="00A66A4B">
      <w:pPr>
        <w:numPr>
          <w:ilvl w:val="0"/>
          <w:numId w:val="18"/>
        </w:numPr>
        <w:rPr>
          <w:i/>
          <w:color w:val="0000FF"/>
          <w:lang w:val="es-PE"/>
        </w:rPr>
      </w:pPr>
      <w:r w:rsidRPr="004462E8">
        <w:rPr>
          <w:i/>
          <w:color w:val="0000FF"/>
          <w:lang w:val="es-PE"/>
        </w:rPr>
        <w:t>Servir como punto de inicio / coordinación para incidentes importantes.</w:t>
      </w:r>
    </w:p>
    <w:p w14:paraId="7E01A260" w14:textId="77777777" w:rsidR="00F62FE5" w:rsidRPr="004462E8" w:rsidRDefault="00A66A4B">
      <w:pPr>
        <w:numPr>
          <w:ilvl w:val="0"/>
          <w:numId w:val="18"/>
        </w:numPr>
        <w:rPr>
          <w:i/>
          <w:color w:val="0000FF"/>
          <w:lang w:val="es-PE"/>
        </w:rPr>
      </w:pPr>
      <w:r w:rsidRPr="004462E8">
        <w:rPr>
          <w:i/>
          <w:color w:val="0000FF"/>
          <w:lang w:val="es-PE"/>
        </w:rPr>
        <w:t>Realizar y administrar copias de seguridad del sistema</w:t>
      </w:r>
    </w:p>
    <w:p w14:paraId="1FBF46AC" w14:textId="77777777" w:rsidR="00F62FE5" w:rsidRPr="004462E8" w:rsidRDefault="00A66A4B">
      <w:pPr>
        <w:numPr>
          <w:ilvl w:val="0"/>
          <w:numId w:val="18"/>
        </w:numPr>
        <w:rPr>
          <w:i/>
          <w:color w:val="0000FF"/>
          <w:lang w:val="es-PE"/>
        </w:rPr>
      </w:pPr>
      <w:r w:rsidRPr="004462E8">
        <w:rPr>
          <w:i/>
          <w:color w:val="0000FF"/>
          <w:lang w:val="es-PE"/>
        </w:rPr>
        <w:t>Realizar y gestionar el procesamiento manual o las tareas operativas para las partes interesadas.</w:t>
      </w:r>
    </w:p>
    <w:p w14:paraId="0806E976" w14:textId="77777777" w:rsidR="00F62FE5" w:rsidRPr="004462E8" w:rsidRDefault="00F62FE5">
      <w:pPr>
        <w:ind w:left="720"/>
        <w:rPr>
          <w:i/>
          <w:color w:val="0000FF"/>
          <w:lang w:val="es-PE"/>
        </w:rPr>
      </w:pPr>
    </w:p>
    <w:p w14:paraId="0C371775" w14:textId="77777777" w:rsidR="00F62FE5" w:rsidRPr="004462E8" w:rsidRDefault="00A66A4B">
      <w:pPr>
        <w:ind w:left="432"/>
        <w:rPr>
          <w:lang w:val="es-PE"/>
        </w:rPr>
      </w:pPr>
      <w:r w:rsidRPr="004462E8">
        <w:rPr>
          <w:b/>
          <w:i/>
          <w:color w:val="0000FF"/>
          <w:lang w:val="es-PE"/>
        </w:rPr>
        <w:t>Gerente de servic</w:t>
      </w:r>
      <w:r w:rsidRPr="004462E8">
        <w:rPr>
          <w:b/>
          <w:i/>
          <w:color w:val="0000FF"/>
          <w:lang w:val="es-PE"/>
        </w:rPr>
        <w:t xml:space="preserve">ios de TI </w:t>
      </w:r>
      <w:r w:rsidRPr="004462E8">
        <w:rPr>
          <w:bCs/>
          <w:i/>
          <w:color w:val="0000FF"/>
          <w:lang w:val="es-PE"/>
        </w:rPr>
        <w:t xml:space="preserve">es </w:t>
      </w:r>
      <w:proofErr w:type="spellStart"/>
      <w:r w:rsidRPr="004462E8">
        <w:rPr>
          <w:bCs/>
          <w:i/>
          <w:color w:val="0000FF"/>
          <w:lang w:val="es-PE"/>
        </w:rPr>
        <w:t>re</w:t>
      </w:r>
      <w:r w:rsidRPr="004462E8">
        <w:rPr>
          <w:i/>
          <w:color w:val="0000FF"/>
          <w:szCs w:val="24"/>
          <w:lang w:val="es-PE"/>
        </w:rPr>
        <w:t>responsable</w:t>
      </w:r>
      <w:proofErr w:type="spellEnd"/>
      <w:r w:rsidRPr="004462E8">
        <w:rPr>
          <w:i/>
          <w:color w:val="0000FF"/>
          <w:szCs w:val="24"/>
          <w:lang w:val="es-PE"/>
        </w:rPr>
        <w:t xml:space="preserve"> y responsable del ciclo de vida completo y el rendimiento de </w:t>
      </w:r>
      <w:proofErr w:type="spellStart"/>
      <w:r w:rsidRPr="004462E8">
        <w:rPr>
          <w:i/>
          <w:color w:val="0000FF"/>
          <w:szCs w:val="24"/>
          <w:lang w:val="es-PE"/>
        </w:rPr>
        <w:t>CruzMail</w:t>
      </w:r>
      <w:proofErr w:type="spellEnd"/>
      <w:r w:rsidRPr="004462E8">
        <w:rPr>
          <w:i/>
          <w:color w:val="0000FF"/>
          <w:szCs w:val="24"/>
          <w:lang w:val="es-PE"/>
        </w:rPr>
        <w:t>, incluido</w:t>
      </w:r>
    </w:p>
    <w:p w14:paraId="388B90D6" w14:textId="77777777" w:rsidR="00F62FE5" w:rsidRPr="004462E8" w:rsidRDefault="00A66A4B">
      <w:pPr>
        <w:numPr>
          <w:ilvl w:val="0"/>
          <w:numId w:val="3"/>
        </w:numPr>
        <w:rPr>
          <w:i/>
          <w:color w:val="0000FF"/>
          <w:szCs w:val="24"/>
          <w:lang w:val="es-PE"/>
        </w:rPr>
      </w:pPr>
      <w:r w:rsidRPr="004462E8">
        <w:rPr>
          <w:i/>
          <w:color w:val="0000FF"/>
          <w:szCs w:val="24"/>
          <w:lang w:val="es-PE"/>
        </w:rPr>
        <w:t>Diseñar y desarrollar servicios de TI robustos para cumplir con los requisitos del cliente.</w:t>
      </w:r>
    </w:p>
    <w:p w14:paraId="5D403775" w14:textId="77777777" w:rsidR="00F62FE5" w:rsidRPr="004462E8" w:rsidRDefault="00A66A4B">
      <w:pPr>
        <w:numPr>
          <w:ilvl w:val="0"/>
          <w:numId w:val="3"/>
        </w:numPr>
        <w:rPr>
          <w:i/>
          <w:color w:val="0000FF"/>
          <w:szCs w:val="24"/>
          <w:lang w:val="es-PE"/>
        </w:rPr>
      </w:pPr>
      <w:r w:rsidRPr="004462E8">
        <w:rPr>
          <w:i/>
          <w:color w:val="0000FF"/>
          <w:szCs w:val="24"/>
          <w:lang w:val="es-PE"/>
        </w:rPr>
        <w:t>Revisar, analizar y hacer recomendaciones sobre oportunid</w:t>
      </w:r>
      <w:r w:rsidRPr="004462E8">
        <w:rPr>
          <w:i/>
          <w:color w:val="0000FF"/>
          <w:szCs w:val="24"/>
          <w:lang w:val="es-PE"/>
        </w:rPr>
        <w:t>ades de mejora en cada fase del ciclo de vida.</w:t>
      </w:r>
    </w:p>
    <w:p w14:paraId="039C7BEB" w14:textId="77777777" w:rsidR="00F62FE5" w:rsidRPr="004462E8" w:rsidRDefault="00A66A4B">
      <w:pPr>
        <w:numPr>
          <w:ilvl w:val="0"/>
          <w:numId w:val="3"/>
        </w:numPr>
        <w:rPr>
          <w:i/>
          <w:color w:val="0000FF"/>
          <w:szCs w:val="24"/>
          <w:lang w:val="es-PE"/>
        </w:rPr>
      </w:pPr>
      <w:r w:rsidRPr="004462E8">
        <w:rPr>
          <w:i/>
          <w:color w:val="0000FF"/>
          <w:szCs w:val="24"/>
          <w:lang w:val="es-PE"/>
        </w:rPr>
        <w:t>Desarrollar y mantener el catálogo de servicios.</w:t>
      </w:r>
    </w:p>
    <w:p w14:paraId="254A95E1" w14:textId="77777777" w:rsidR="00F62FE5" w:rsidRPr="004462E8" w:rsidRDefault="00A66A4B">
      <w:pPr>
        <w:numPr>
          <w:ilvl w:val="0"/>
          <w:numId w:val="3"/>
        </w:numPr>
        <w:rPr>
          <w:i/>
          <w:color w:val="0000FF"/>
          <w:szCs w:val="24"/>
          <w:lang w:val="es-PE"/>
        </w:rPr>
      </w:pPr>
      <w:r w:rsidRPr="004462E8">
        <w:rPr>
          <w:i/>
          <w:color w:val="0000FF"/>
          <w:szCs w:val="24"/>
          <w:lang w:val="es-PE"/>
        </w:rPr>
        <w:t>Supervisar el rendimiento del servicio y proporcionar informes periódicos.</w:t>
      </w:r>
    </w:p>
    <w:p w14:paraId="3964925C" w14:textId="77777777" w:rsidR="00F62FE5" w:rsidRPr="004462E8" w:rsidRDefault="00A66A4B">
      <w:pPr>
        <w:numPr>
          <w:ilvl w:val="0"/>
          <w:numId w:val="3"/>
        </w:numPr>
        <w:rPr>
          <w:i/>
          <w:color w:val="0000FF"/>
          <w:szCs w:val="24"/>
          <w:lang w:val="es-PE"/>
        </w:rPr>
      </w:pPr>
      <w:r w:rsidRPr="004462E8">
        <w:rPr>
          <w:i/>
          <w:color w:val="0000FF"/>
          <w:szCs w:val="24"/>
          <w:lang w:val="es-PE"/>
        </w:rPr>
        <w:t>Servicios de jubilación</w:t>
      </w:r>
    </w:p>
    <w:p w14:paraId="624FA10C" w14:textId="77777777" w:rsidR="00F62FE5" w:rsidRPr="004462E8" w:rsidRDefault="00A66A4B">
      <w:pPr>
        <w:pStyle w:val="Ttulo1"/>
        <w:rPr>
          <w:lang w:val="es-PE"/>
        </w:rPr>
      </w:pPr>
      <w:bookmarkStart w:id="11" w:name="__RefHeading___Toc171659830"/>
      <w:bookmarkEnd w:id="11"/>
      <w:r w:rsidRPr="004462E8">
        <w:rPr>
          <w:lang w:val="es-PE"/>
        </w:rPr>
        <w:t xml:space="preserve">Procesamiento de solicitudes de servicio e </w:t>
      </w:r>
      <w:r w:rsidRPr="004462E8">
        <w:rPr>
          <w:lang w:val="es-PE"/>
        </w:rPr>
        <w:t>incidentes</w:t>
      </w:r>
    </w:p>
    <w:p w14:paraId="23E22A18" w14:textId="77777777" w:rsidR="00F62FE5" w:rsidRPr="004462E8" w:rsidRDefault="00A66A4B">
      <w:pPr>
        <w:ind w:left="432"/>
        <w:rPr>
          <w:i/>
          <w:color w:val="0000FF"/>
          <w:lang w:val="es-PE"/>
        </w:rPr>
      </w:pPr>
      <w:r w:rsidRPr="004462E8">
        <w:rPr>
          <w:i/>
          <w:color w:val="0000FF"/>
          <w:lang w:val="es-PE"/>
        </w:rPr>
        <w:t>Esta sección valida los procesos admitidos para administrar la prestación de servicios. También se documentan las excepciones.</w:t>
      </w:r>
    </w:p>
    <w:p w14:paraId="3675A14D" w14:textId="77777777" w:rsidR="00F62FE5" w:rsidRPr="004462E8" w:rsidRDefault="00F62FE5">
      <w:pPr>
        <w:pStyle w:val="StyleJustifiedLeft025"/>
        <w:rPr>
          <w:rFonts w:ascii="Garamond" w:hAnsi="Garamond" w:cs="Garamond"/>
          <w:i/>
          <w:color w:val="0000FF"/>
          <w:sz w:val="20"/>
          <w:lang w:val="es-PE"/>
        </w:rPr>
      </w:pPr>
    </w:p>
    <w:p w14:paraId="59B9E4DB" w14:textId="77777777" w:rsidR="00F62FE5" w:rsidRPr="004462E8" w:rsidRDefault="00A66A4B">
      <w:pPr>
        <w:pStyle w:val="Ttulo2"/>
        <w:rPr>
          <w:lang w:val="es-PE"/>
        </w:rPr>
      </w:pPr>
      <w:bookmarkStart w:id="12" w:name="__RefHeading___Toc171659831"/>
      <w:bookmarkEnd w:id="12"/>
      <w:r w:rsidRPr="004462E8">
        <w:rPr>
          <w:lang w:val="es-PE"/>
        </w:rPr>
        <w:t>Solicitudes de servicio</w:t>
      </w:r>
    </w:p>
    <w:p w14:paraId="4B8D9640" w14:textId="77777777" w:rsidR="00F62FE5" w:rsidRPr="004462E8" w:rsidRDefault="00A66A4B">
      <w:pPr>
        <w:pStyle w:val="Ttulo3"/>
        <w:rPr>
          <w:lang w:val="es-PE"/>
        </w:rPr>
      </w:pPr>
      <w:bookmarkStart w:id="13" w:name="__RefHeading___Toc171659832"/>
      <w:bookmarkEnd w:id="13"/>
      <w:r w:rsidRPr="004462E8">
        <w:rPr>
          <w:lang w:val="es-PE"/>
        </w:rPr>
        <w:t>Solicitudes de trabajo (si corresponde) / Solicitudes de servicio estándar</w:t>
      </w:r>
    </w:p>
    <w:p w14:paraId="11C9F649" w14:textId="77777777" w:rsidR="00F62FE5" w:rsidRPr="004462E8" w:rsidRDefault="00A66A4B">
      <w:pPr>
        <w:ind w:left="576"/>
        <w:rPr>
          <w:i/>
          <w:color w:val="FF00FF"/>
          <w:lang w:val="es-PE"/>
        </w:rPr>
      </w:pPr>
      <w:r w:rsidRPr="004462E8">
        <w:rPr>
          <w:i/>
          <w:color w:val="FF00FF"/>
          <w:lang w:val="es-PE"/>
        </w:rPr>
        <w:t xml:space="preserve">Solicitudes de trabajo según lo definido por Media </w:t>
      </w:r>
      <w:proofErr w:type="spellStart"/>
      <w:r w:rsidRPr="004462E8">
        <w:rPr>
          <w:i/>
          <w:color w:val="FF00FF"/>
          <w:lang w:val="es-PE"/>
        </w:rPr>
        <w:t>Services</w:t>
      </w:r>
      <w:proofErr w:type="spellEnd"/>
      <w:r w:rsidRPr="004462E8">
        <w:rPr>
          <w:i/>
          <w:color w:val="FF00FF"/>
          <w:lang w:val="es-PE"/>
        </w:rPr>
        <w:t xml:space="preserve"> o </w:t>
      </w:r>
      <w:proofErr w:type="spellStart"/>
      <w:r w:rsidRPr="004462E8">
        <w:rPr>
          <w:i/>
          <w:color w:val="FF00FF"/>
          <w:lang w:val="es-PE"/>
        </w:rPr>
        <w:t>Telco</w:t>
      </w:r>
      <w:proofErr w:type="spellEnd"/>
      <w:r w:rsidRPr="004462E8">
        <w:rPr>
          <w:i/>
          <w:color w:val="FF00FF"/>
          <w:lang w:val="es-PE"/>
        </w:rPr>
        <w:t xml:space="preserve">. </w:t>
      </w:r>
    </w:p>
    <w:p w14:paraId="0BFA0A9E" w14:textId="77777777" w:rsidR="00F62FE5" w:rsidRPr="004462E8" w:rsidRDefault="00F62FE5">
      <w:pPr>
        <w:ind w:left="576"/>
        <w:rPr>
          <w:i/>
          <w:color w:val="FF00FF"/>
          <w:lang w:val="es-PE"/>
        </w:rPr>
      </w:pPr>
    </w:p>
    <w:p w14:paraId="1275F670" w14:textId="77777777" w:rsidR="00F62FE5" w:rsidRPr="004462E8" w:rsidRDefault="00A66A4B">
      <w:pPr>
        <w:ind w:left="576"/>
        <w:rPr>
          <w:i/>
          <w:color w:val="FF00FF"/>
          <w:lang w:val="es-PE"/>
        </w:rPr>
      </w:pPr>
      <w:r w:rsidRPr="004462E8">
        <w:rPr>
          <w:i/>
          <w:color w:val="FF00FF"/>
          <w:lang w:val="es-PE"/>
        </w:rPr>
        <w:t>Describa las solicitudes de servicio relacionadas con este servicio. Ejemplos de esto podrían ser actualizaciones de aplicaciones, parches del sistema operativo, cambios de arquitectura</w:t>
      </w:r>
      <w:r w:rsidRPr="004462E8">
        <w:rPr>
          <w:i/>
          <w:color w:val="FF00FF"/>
          <w:lang w:val="es-PE"/>
        </w:rPr>
        <w:t>, consultas sobre el uso del servicio, configuración de listas de correo, etc.</w:t>
      </w:r>
    </w:p>
    <w:p w14:paraId="527BF284" w14:textId="77777777" w:rsidR="00F62FE5" w:rsidRPr="004462E8" w:rsidRDefault="00F62FE5">
      <w:pPr>
        <w:ind w:left="1026"/>
        <w:rPr>
          <w:i/>
          <w:color w:val="FF00FF"/>
          <w:lang w:val="es-PE"/>
        </w:rPr>
      </w:pPr>
    </w:p>
    <w:p w14:paraId="781384E5" w14:textId="77777777" w:rsidR="00F62FE5" w:rsidRPr="004462E8" w:rsidRDefault="00A66A4B">
      <w:pPr>
        <w:pStyle w:val="Ttulo3"/>
        <w:rPr>
          <w:lang w:val="es-PE"/>
        </w:rPr>
      </w:pPr>
      <w:bookmarkStart w:id="14" w:name="__RefHeading___Toc171659833"/>
      <w:bookmarkEnd w:id="14"/>
      <w:r w:rsidRPr="004462E8">
        <w:rPr>
          <w:lang w:val="es-PE"/>
        </w:rPr>
        <w:t>Solicitudes de servicio no estándar / Solicitudes de trabajo ad-hoc</w:t>
      </w:r>
    </w:p>
    <w:p w14:paraId="1FDE4851" w14:textId="77777777" w:rsidR="00F62FE5" w:rsidRPr="004462E8" w:rsidRDefault="00A66A4B">
      <w:pPr>
        <w:ind w:left="576"/>
        <w:rPr>
          <w:i/>
          <w:color w:val="FF00FF"/>
          <w:lang w:val="es-PE"/>
        </w:rPr>
      </w:pPr>
      <w:r w:rsidRPr="004462E8">
        <w:rPr>
          <w:i/>
          <w:color w:val="FF00FF"/>
          <w:lang w:val="es-PE"/>
        </w:rPr>
        <w:t>Describa el trabajo único o de tiempo limitado que no esté documentado en el catálogo de servicios. Ejemplos</w:t>
      </w:r>
      <w:r w:rsidRPr="004462E8">
        <w:rPr>
          <w:i/>
          <w:color w:val="FF00FF"/>
          <w:lang w:val="es-PE"/>
        </w:rPr>
        <w:t xml:space="preserve"> de esto incluyen la instalación de un WAP en un salón de clases durante un trimestre y luego desinstalarlo allí. O restablezca el correo electrónico del </w:t>
      </w:r>
      <w:proofErr w:type="gramStart"/>
      <w:r w:rsidRPr="004462E8">
        <w:rPr>
          <w:i/>
          <w:color w:val="FF00FF"/>
          <w:lang w:val="es-PE"/>
        </w:rPr>
        <w:t>rector</w:t>
      </w:r>
      <w:proofErr w:type="gramEnd"/>
      <w:r w:rsidRPr="004462E8">
        <w:rPr>
          <w:i/>
          <w:color w:val="FF00FF"/>
          <w:lang w:val="es-PE"/>
        </w:rPr>
        <w:t xml:space="preserve"> pero no del estudiante. El objetivo de esto es informar al personal de ITS qué tipos de proveed</w:t>
      </w:r>
      <w:r w:rsidRPr="004462E8">
        <w:rPr>
          <w:i/>
          <w:color w:val="FF00FF"/>
          <w:lang w:val="es-PE"/>
        </w:rPr>
        <w:t>ores de servicios únicos pueden proporcionar para ayudar a establecer las expectativas de los clientes.</w:t>
      </w:r>
    </w:p>
    <w:p w14:paraId="2D892079" w14:textId="77777777" w:rsidR="00F62FE5" w:rsidRPr="004462E8" w:rsidRDefault="00F62FE5">
      <w:pPr>
        <w:ind w:left="576"/>
        <w:rPr>
          <w:i/>
          <w:color w:val="FF00FF"/>
          <w:lang w:val="es-PE"/>
        </w:rPr>
      </w:pPr>
    </w:p>
    <w:p w14:paraId="00AF7BA8" w14:textId="77777777" w:rsidR="00F62FE5" w:rsidRPr="004462E8" w:rsidRDefault="00A66A4B">
      <w:pPr>
        <w:ind w:left="576"/>
        <w:rPr>
          <w:i/>
          <w:color w:val="FF00FF"/>
          <w:lang w:val="es-PE"/>
        </w:rPr>
      </w:pPr>
      <w:r w:rsidRPr="004462E8">
        <w:rPr>
          <w:i/>
          <w:color w:val="FF00FF"/>
          <w:lang w:val="es-PE"/>
        </w:rPr>
        <w:t xml:space="preserve">Describa cómo se procesará cada solicitud de servicio no estándar o solicitud de trabajo ad-hoc para que sea evaluada por el miembro del personal o el </w:t>
      </w:r>
      <w:r w:rsidRPr="004462E8">
        <w:rPr>
          <w:i/>
          <w:color w:val="FF00FF"/>
          <w:lang w:val="es-PE"/>
        </w:rPr>
        <w:t>equipo de servicio más adecuado.</w:t>
      </w:r>
    </w:p>
    <w:p w14:paraId="67278A43" w14:textId="77777777" w:rsidR="00F62FE5" w:rsidRPr="004462E8" w:rsidRDefault="00F62FE5">
      <w:pPr>
        <w:ind w:left="576"/>
        <w:rPr>
          <w:i/>
          <w:color w:val="FF00FF"/>
          <w:lang w:val="es-PE"/>
        </w:rPr>
      </w:pPr>
    </w:p>
    <w:p w14:paraId="72F008F3" w14:textId="77777777" w:rsidR="00F62FE5" w:rsidRPr="004462E8" w:rsidRDefault="00A66A4B">
      <w:pPr>
        <w:pStyle w:val="Ttulo2"/>
        <w:rPr>
          <w:lang w:val="es-PE"/>
        </w:rPr>
      </w:pPr>
      <w:bookmarkStart w:id="15" w:name="__RefHeading___Toc171659834"/>
      <w:bookmarkEnd w:id="15"/>
      <w:r w:rsidRPr="004462E8">
        <w:rPr>
          <w:lang w:val="es-PE"/>
        </w:rPr>
        <w:t>Solicitud de cambio de servicio</w:t>
      </w:r>
    </w:p>
    <w:p w14:paraId="7D944B0F" w14:textId="77777777" w:rsidR="00F62FE5" w:rsidRPr="004462E8" w:rsidRDefault="00A66A4B">
      <w:pPr>
        <w:ind w:left="846"/>
        <w:jc w:val="both"/>
        <w:rPr>
          <w:lang w:val="es-PE"/>
        </w:rPr>
      </w:pPr>
      <w:r w:rsidRPr="004462E8">
        <w:rPr>
          <w:color w:val="000000"/>
          <w:lang w:val="es-PE"/>
        </w:rPr>
        <w:t xml:space="preserve">Las solicitudes de cambio de servicio se pueden enviar al </w:t>
      </w:r>
      <w:proofErr w:type="spellStart"/>
      <w:r w:rsidRPr="004462E8">
        <w:rPr>
          <w:i/>
          <w:color w:val="0000FF"/>
          <w:lang w:val="es-PE"/>
        </w:rPr>
        <w:t>Servicio</w:t>
      </w:r>
      <w:r w:rsidRPr="004462E8">
        <w:rPr>
          <w:color w:val="000000"/>
          <w:lang w:val="es-PE"/>
        </w:rPr>
        <w:t>Supervisor</w:t>
      </w:r>
      <w:proofErr w:type="spellEnd"/>
      <w:r w:rsidRPr="004462E8">
        <w:rPr>
          <w:color w:val="000000"/>
          <w:lang w:val="es-PE"/>
        </w:rPr>
        <w:t>. El equipo de servicio revisará la solicitud para comprender la necesidad y la guiará a través del canal apropiad</w:t>
      </w:r>
      <w:r w:rsidRPr="004462E8">
        <w:rPr>
          <w:color w:val="000000"/>
          <w:lang w:val="es-PE"/>
        </w:rPr>
        <w:t>o.</w:t>
      </w:r>
    </w:p>
    <w:p w14:paraId="3D107729" w14:textId="77777777" w:rsidR="00F62FE5" w:rsidRPr="004462E8" w:rsidRDefault="00F62FE5">
      <w:pPr>
        <w:ind w:left="846"/>
        <w:jc w:val="both"/>
        <w:rPr>
          <w:color w:val="FF00FF"/>
          <w:lang w:val="es-PE"/>
        </w:rPr>
      </w:pPr>
    </w:p>
    <w:p w14:paraId="3BB82B59" w14:textId="77777777" w:rsidR="00F62FE5" w:rsidRPr="004462E8" w:rsidRDefault="00A66A4B">
      <w:pPr>
        <w:pStyle w:val="Ttulo2"/>
        <w:rPr>
          <w:lang w:val="es-PE"/>
        </w:rPr>
      </w:pPr>
      <w:bookmarkStart w:id="16" w:name="__RefHeading___Toc171659835"/>
      <w:bookmarkEnd w:id="16"/>
      <w:proofErr w:type="spellStart"/>
      <w:r w:rsidRPr="004462E8">
        <w:rPr>
          <w:lang w:val="es-PE"/>
        </w:rPr>
        <w:t>Administracion</w:t>
      </w:r>
      <w:proofErr w:type="spellEnd"/>
      <w:r w:rsidRPr="004462E8">
        <w:rPr>
          <w:lang w:val="es-PE"/>
        </w:rPr>
        <w:t xml:space="preserve"> de incidentes</w:t>
      </w:r>
    </w:p>
    <w:p w14:paraId="2363CBCD" w14:textId="77777777" w:rsidR="00F62FE5" w:rsidRPr="004462E8" w:rsidRDefault="00F62FE5">
      <w:pPr>
        <w:rPr>
          <w:lang w:val="es-PE"/>
        </w:rPr>
      </w:pPr>
    </w:p>
    <w:p w14:paraId="468E427A" w14:textId="77777777" w:rsidR="00F62FE5" w:rsidRPr="004462E8" w:rsidRDefault="00A66A4B">
      <w:pPr>
        <w:pStyle w:val="Ttulo3"/>
        <w:rPr>
          <w:rFonts w:ascii="Times New Roman" w:hAnsi="Times New Roman" w:cs="Times New Roman"/>
          <w:i w:val="0"/>
          <w:color w:val="0000FF"/>
          <w:lang w:val="es-PE"/>
        </w:rPr>
      </w:pPr>
      <w:bookmarkStart w:id="17" w:name="__RefHeading___Toc171659836"/>
      <w:bookmarkEnd w:id="17"/>
      <w:r w:rsidRPr="004462E8">
        <w:rPr>
          <w:lang w:val="es-PE"/>
        </w:rPr>
        <w:t>Procesamiento normal de incidentes</w:t>
      </w:r>
    </w:p>
    <w:p w14:paraId="5A991557" w14:textId="77777777" w:rsidR="00F62FE5" w:rsidRPr="004462E8" w:rsidRDefault="00A66A4B">
      <w:pPr>
        <w:pStyle w:val="BodyText"/>
        <w:ind w:left="576"/>
        <w:rPr>
          <w:rFonts w:ascii="Times New Roman" w:hAnsi="Times New Roman" w:cs="Times New Roman"/>
          <w:i/>
          <w:color w:val="0000FF"/>
          <w:sz w:val="20"/>
          <w:lang w:val="es-PE"/>
        </w:rPr>
      </w:pPr>
      <w:r w:rsidRPr="004462E8">
        <w:rPr>
          <w:rFonts w:ascii="Times New Roman" w:hAnsi="Times New Roman" w:cs="Times New Roman"/>
          <w:i/>
          <w:color w:val="0000FF"/>
          <w:sz w:val="20"/>
          <w:lang w:val="es-PE"/>
        </w:rPr>
        <w:t>A medida que este texto se convierta en estándar, consulte los procedimientos de escalado que se encuentran en el Catálogo de servicios internos para obtener más detalles sobre cómo se pr</w:t>
      </w:r>
      <w:r w:rsidRPr="004462E8">
        <w:rPr>
          <w:rFonts w:ascii="Times New Roman" w:hAnsi="Times New Roman" w:cs="Times New Roman"/>
          <w:i/>
          <w:color w:val="0000FF"/>
          <w:sz w:val="20"/>
          <w:lang w:val="es-PE"/>
        </w:rPr>
        <w:t>ocesan y escalan los incidentes y las solicitudes de servicio.</w:t>
      </w:r>
    </w:p>
    <w:p w14:paraId="3DD48E56" w14:textId="77777777" w:rsidR="00F62FE5" w:rsidRPr="004462E8" w:rsidRDefault="00A66A4B">
      <w:pPr>
        <w:pStyle w:val="BodyText"/>
        <w:ind w:left="576"/>
        <w:rPr>
          <w:rFonts w:ascii="Times New Roman" w:hAnsi="Times New Roman" w:cs="Times New Roman"/>
          <w:sz w:val="20"/>
          <w:lang w:val="es-PE"/>
        </w:rPr>
      </w:pPr>
      <w:r w:rsidRPr="004462E8">
        <w:rPr>
          <w:rFonts w:ascii="Times New Roman" w:hAnsi="Times New Roman" w:cs="Times New Roman"/>
          <w:sz w:val="20"/>
          <w:lang w:val="es-PE"/>
        </w:rPr>
        <w:t xml:space="preserve">Los proveedores de servicios que apoyan este servicio darán prioridad a los incidentes de servicio entrantes como prioridad baja, media o alta, a menos que el incidente del servicio se </w:t>
      </w:r>
      <w:r w:rsidRPr="004462E8">
        <w:rPr>
          <w:rFonts w:ascii="Times New Roman" w:hAnsi="Times New Roman" w:cs="Times New Roman"/>
          <w:sz w:val="20"/>
          <w:lang w:val="es-PE"/>
        </w:rPr>
        <w:t>ajuste a uno o más de los criterios enumerados a continuación.</w:t>
      </w:r>
    </w:p>
    <w:p w14:paraId="1E654A04" w14:textId="77777777" w:rsidR="00F62FE5" w:rsidRPr="004462E8" w:rsidRDefault="00F62FE5">
      <w:pPr>
        <w:pStyle w:val="BodyText"/>
        <w:ind w:left="576"/>
        <w:rPr>
          <w:rFonts w:ascii="Times New Roman" w:hAnsi="Times New Roman" w:cs="Times New Roman"/>
          <w:sz w:val="20"/>
          <w:lang w:val="es-PE"/>
        </w:rPr>
      </w:pPr>
    </w:p>
    <w:p w14:paraId="2ED54DF3" w14:textId="77777777" w:rsidR="00F62FE5" w:rsidRPr="004462E8" w:rsidRDefault="00A66A4B">
      <w:pPr>
        <w:pStyle w:val="BodyText"/>
        <w:ind w:left="576"/>
        <w:rPr>
          <w:rFonts w:ascii="Times New Roman" w:hAnsi="Times New Roman" w:cs="Times New Roman"/>
          <w:sz w:val="20"/>
          <w:lang w:val="es-PE"/>
        </w:rPr>
      </w:pPr>
      <w:r w:rsidRPr="004462E8">
        <w:rPr>
          <w:rFonts w:ascii="Times New Roman" w:hAnsi="Times New Roman" w:cs="Times New Roman"/>
          <w:sz w:val="20"/>
          <w:lang w:val="es-PE"/>
        </w:rPr>
        <w:t>Los proveedores de servicios que apoyan este servicio darán prioridad a las solicitudes de incidentes entrantes como un incidente urgente si cumple con alguno de los siguientes criterios:</w:t>
      </w:r>
    </w:p>
    <w:p w14:paraId="481C3C97" w14:textId="77777777" w:rsidR="00F62FE5" w:rsidRPr="004462E8" w:rsidRDefault="00F62FE5">
      <w:pPr>
        <w:rPr>
          <w:lang w:val="es-PE"/>
        </w:rPr>
      </w:pPr>
    </w:p>
    <w:p w14:paraId="7E4D5A79" w14:textId="77777777" w:rsidR="00F62FE5" w:rsidRPr="004462E8" w:rsidRDefault="00A66A4B">
      <w:pPr>
        <w:pStyle w:val="Textoindependiente"/>
        <w:numPr>
          <w:ilvl w:val="0"/>
          <w:numId w:val="13"/>
        </w:numPr>
        <w:rPr>
          <w:sz w:val="20"/>
          <w:lang w:val="es-PE"/>
        </w:rPr>
      </w:pPr>
      <w:r w:rsidRPr="004462E8">
        <w:rPr>
          <w:sz w:val="20"/>
          <w:lang w:val="es-PE"/>
        </w:rPr>
        <w:t>Núm</w:t>
      </w:r>
      <w:r w:rsidRPr="004462E8">
        <w:rPr>
          <w:sz w:val="20"/>
          <w:lang w:val="es-PE"/>
        </w:rPr>
        <w:t>ero significativo de personas afectadas.</w:t>
      </w:r>
    </w:p>
    <w:p w14:paraId="7894CA31" w14:textId="77777777" w:rsidR="00F62FE5" w:rsidRPr="004462E8" w:rsidRDefault="00A66A4B">
      <w:pPr>
        <w:pStyle w:val="BodyText"/>
        <w:numPr>
          <w:ilvl w:val="1"/>
          <w:numId w:val="13"/>
        </w:numPr>
        <w:rPr>
          <w:rFonts w:ascii="Times New Roman" w:hAnsi="Times New Roman" w:cs="Times New Roman"/>
          <w:sz w:val="20"/>
          <w:lang w:val="es-PE"/>
        </w:rPr>
      </w:pPr>
      <w:r w:rsidRPr="004462E8">
        <w:rPr>
          <w:rFonts w:ascii="Times New Roman" w:hAnsi="Times New Roman" w:cs="Times New Roman"/>
          <w:sz w:val="20"/>
          <w:lang w:val="es-PE"/>
        </w:rPr>
        <w:t>La estructura organizativa es un multiplicador del número de personas afectadas. Es decir, impacto significativo en la capacidad del director principal para realizar negocios universitarios.</w:t>
      </w:r>
    </w:p>
    <w:p w14:paraId="7F1DABEA" w14:textId="77777777" w:rsidR="00F62FE5" w:rsidRPr="004462E8" w:rsidRDefault="00A66A4B">
      <w:pPr>
        <w:pStyle w:val="BodyText"/>
        <w:numPr>
          <w:ilvl w:val="0"/>
          <w:numId w:val="13"/>
        </w:numPr>
        <w:rPr>
          <w:rFonts w:ascii="Times New Roman" w:hAnsi="Times New Roman" w:cs="Times New Roman"/>
          <w:sz w:val="20"/>
          <w:lang w:val="es-PE"/>
        </w:rPr>
      </w:pPr>
      <w:r w:rsidRPr="004462E8">
        <w:rPr>
          <w:rFonts w:ascii="Times New Roman" w:hAnsi="Times New Roman" w:cs="Times New Roman"/>
          <w:sz w:val="20"/>
          <w:lang w:val="es-PE"/>
        </w:rPr>
        <w:t xml:space="preserve">Porcentaje del total de </w:t>
      </w:r>
      <w:r w:rsidRPr="004462E8">
        <w:rPr>
          <w:rFonts w:ascii="Times New Roman" w:hAnsi="Times New Roman" w:cs="Times New Roman"/>
          <w:sz w:val="20"/>
          <w:lang w:val="es-PE"/>
        </w:rPr>
        <w:t>tareas que las personas ya no pueden realizar.</w:t>
      </w:r>
    </w:p>
    <w:p w14:paraId="3059226D" w14:textId="77777777" w:rsidR="00F62FE5" w:rsidRPr="004462E8" w:rsidRDefault="00A66A4B">
      <w:pPr>
        <w:pStyle w:val="BodyText"/>
        <w:numPr>
          <w:ilvl w:val="0"/>
          <w:numId w:val="13"/>
        </w:numPr>
        <w:rPr>
          <w:rFonts w:ascii="Times New Roman" w:hAnsi="Times New Roman" w:cs="Times New Roman"/>
          <w:sz w:val="20"/>
          <w:lang w:val="es-PE"/>
        </w:rPr>
      </w:pPr>
      <w:r w:rsidRPr="004462E8">
        <w:rPr>
          <w:rFonts w:ascii="Times New Roman" w:hAnsi="Times New Roman" w:cs="Times New Roman"/>
          <w:sz w:val="20"/>
          <w:lang w:val="es-PE"/>
        </w:rPr>
        <w:t>Plazos del Calendario académico y administrativo.</w:t>
      </w:r>
    </w:p>
    <w:p w14:paraId="668A7128" w14:textId="77777777" w:rsidR="00F62FE5" w:rsidRPr="004462E8" w:rsidRDefault="00A66A4B">
      <w:pPr>
        <w:pStyle w:val="BodyText"/>
        <w:numPr>
          <w:ilvl w:val="0"/>
          <w:numId w:val="13"/>
        </w:numPr>
        <w:rPr>
          <w:rFonts w:ascii="Times New Roman" w:hAnsi="Times New Roman" w:cs="Times New Roman"/>
          <w:sz w:val="20"/>
          <w:lang w:val="es-PE"/>
        </w:rPr>
      </w:pPr>
      <w:r w:rsidRPr="004462E8">
        <w:rPr>
          <w:rFonts w:ascii="Times New Roman" w:hAnsi="Times New Roman" w:cs="Times New Roman"/>
          <w:sz w:val="20"/>
          <w:lang w:val="es-PE"/>
        </w:rPr>
        <w:t>Impacto significativo en la impartición de instrucción.</w:t>
      </w:r>
    </w:p>
    <w:p w14:paraId="68240942" w14:textId="77777777" w:rsidR="00F62FE5" w:rsidRPr="004462E8" w:rsidRDefault="00A66A4B">
      <w:pPr>
        <w:pStyle w:val="BodyText"/>
        <w:numPr>
          <w:ilvl w:val="0"/>
          <w:numId w:val="13"/>
        </w:numPr>
        <w:rPr>
          <w:rFonts w:ascii="Times New Roman" w:hAnsi="Times New Roman" w:cs="Times New Roman"/>
          <w:sz w:val="20"/>
          <w:lang w:val="es-PE"/>
        </w:rPr>
      </w:pPr>
      <w:r w:rsidRPr="004462E8">
        <w:rPr>
          <w:rFonts w:ascii="Times New Roman" w:hAnsi="Times New Roman" w:cs="Times New Roman"/>
          <w:sz w:val="20"/>
          <w:lang w:val="es-PE"/>
        </w:rPr>
        <w:t>Impacto significativo o duradero en el rendimiento académico de los estudiantes.</w:t>
      </w:r>
    </w:p>
    <w:p w14:paraId="4984213C" w14:textId="77777777" w:rsidR="00F62FE5" w:rsidRPr="004462E8" w:rsidRDefault="00A66A4B">
      <w:pPr>
        <w:pStyle w:val="BodyText"/>
        <w:numPr>
          <w:ilvl w:val="0"/>
          <w:numId w:val="13"/>
        </w:numPr>
        <w:rPr>
          <w:rFonts w:ascii="Times New Roman" w:hAnsi="Times New Roman" w:cs="Times New Roman"/>
          <w:sz w:val="20"/>
          <w:lang w:val="es-PE"/>
        </w:rPr>
      </w:pPr>
      <w:r w:rsidRPr="004462E8">
        <w:rPr>
          <w:rFonts w:ascii="Times New Roman" w:hAnsi="Times New Roman" w:cs="Times New Roman"/>
          <w:sz w:val="20"/>
          <w:lang w:val="es-PE"/>
        </w:rPr>
        <w:t>Riesgo significativo p</w:t>
      </w:r>
      <w:r w:rsidRPr="004462E8">
        <w:rPr>
          <w:rFonts w:ascii="Times New Roman" w:hAnsi="Times New Roman" w:cs="Times New Roman"/>
          <w:sz w:val="20"/>
          <w:lang w:val="es-PE"/>
        </w:rPr>
        <w:t>ara el cumplimiento de leyes, normas o políticas.</w:t>
      </w:r>
    </w:p>
    <w:p w14:paraId="6CFBE917" w14:textId="77777777" w:rsidR="00F62FE5" w:rsidRPr="004462E8" w:rsidRDefault="00F62FE5">
      <w:pPr>
        <w:pStyle w:val="BodyText"/>
        <w:ind w:left="576"/>
        <w:rPr>
          <w:rFonts w:ascii="Times New Roman" w:hAnsi="Times New Roman" w:cs="Times New Roman"/>
          <w:sz w:val="20"/>
          <w:lang w:val="es-PE"/>
        </w:rPr>
      </w:pPr>
    </w:p>
    <w:p w14:paraId="1729FF95" w14:textId="77777777" w:rsidR="00F62FE5" w:rsidRPr="004462E8" w:rsidRDefault="00A66A4B">
      <w:pPr>
        <w:pStyle w:val="BodyText"/>
        <w:ind w:left="576"/>
        <w:rPr>
          <w:rFonts w:ascii="Times New Roman" w:hAnsi="Times New Roman" w:cs="Times New Roman"/>
          <w:sz w:val="20"/>
          <w:lang w:val="es-PE"/>
        </w:rPr>
      </w:pPr>
      <w:r w:rsidRPr="004462E8">
        <w:rPr>
          <w:rFonts w:ascii="Times New Roman" w:hAnsi="Times New Roman" w:cs="Times New Roman"/>
          <w:sz w:val="20"/>
          <w:lang w:val="es-PE"/>
        </w:rPr>
        <w:t>Cuando se abre un ticket de solicitud de TI para un cliente</w:t>
      </w:r>
    </w:p>
    <w:p w14:paraId="413EC415" w14:textId="77777777" w:rsidR="00F62FE5" w:rsidRPr="004462E8" w:rsidRDefault="00A66A4B">
      <w:pPr>
        <w:pStyle w:val="BodyText"/>
        <w:numPr>
          <w:ilvl w:val="0"/>
          <w:numId w:val="10"/>
        </w:numPr>
        <w:rPr>
          <w:rFonts w:ascii="Times New Roman" w:hAnsi="Times New Roman" w:cs="Times New Roman"/>
          <w:sz w:val="20"/>
          <w:lang w:val="es-PE"/>
        </w:rPr>
      </w:pPr>
      <w:r w:rsidRPr="004462E8">
        <w:rPr>
          <w:rFonts w:ascii="Times New Roman" w:hAnsi="Times New Roman" w:cs="Times New Roman"/>
          <w:sz w:val="20"/>
          <w:lang w:val="es-PE"/>
        </w:rPr>
        <w:t>El Centro de soporte responderá al cliente y procesará todos los nuevos tickets de solicitud de TI dentro de las 8 horas hábiles.</w:t>
      </w:r>
    </w:p>
    <w:p w14:paraId="1FF52203" w14:textId="77777777" w:rsidR="00F62FE5" w:rsidRPr="004462E8" w:rsidRDefault="00A66A4B">
      <w:pPr>
        <w:pStyle w:val="BodyText"/>
        <w:numPr>
          <w:ilvl w:val="0"/>
          <w:numId w:val="10"/>
        </w:numPr>
        <w:rPr>
          <w:lang w:val="es-PE"/>
        </w:rPr>
      </w:pPr>
      <w:r w:rsidRPr="004462E8">
        <w:rPr>
          <w:rFonts w:ascii="Times New Roman" w:hAnsi="Times New Roman" w:cs="Times New Roman"/>
          <w:sz w:val="20"/>
          <w:lang w:val="es-PE"/>
        </w:rPr>
        <w:t>Para incidentes</w:t>
      </w:r>
      <w:r w:rsidRPr="004462E8">
        <w:rPr>
          <w:rFonts w:ascii="Times New Roman" w:hAnsi="Times New Roman" w:cs="Times New Roman"/>
          <w:sz w:val="20"/>
          <w:lang w:val="es-PE"/>
        </w:rPr>
        <w:t xml:space="preserve"> de baja prioridad, los proveedores de servicios acuerdan clasificar el Centro de soporte actualizando la nota técnica en el ticket cada </w:t>
      </w:r>
      <w:r w:rsidRPr="004462E8">
        <w:rPr>
          <w:rFonts w:ascii="Times New Roman" w:hAnsi="Times New Roman" w:cs="Times New Roman"/>
          <w:i/>
          <w:color w:val="0000FF"/>
          <w:sz w:val="20"/>
          <w:lang w:val="es-PE"/>
        </w:rPr>
        <w:t>negociar / agregar el intervalo de tiempo</w:t>
      </w:r>
      <w:r w:rsidRPr="004462E8">
        <w:rPr>
          <w:rFonts w:ascii="Times New Roman" w:hAnsi="Times New Roman" w:cs="Times New Roman"/>
          <w:sz w:val="20"/>
          <w:lang w:val="es-PE"/>
        </w:rPr>
        <w:t>.</w:t>
      </w:r>
    </w:p>
    <w:p w14:paraId="1A269267" w14:textId="77777777" w:rsidR="00F62FE5" w:rsidRPr="004462E8" w:rsidRDefault="00A66A4B">
      <w:pPr>
        <w:pStyle w:val="BodyText"/>
        <w:numPr>
          <w:ilvl w:val="0"/>
          <w:numId w:val="10"/>
        </w:numPr>
        <w:rPr>
          <w:lang w:val="es-PE"/>
        </w:rPr>
      </w:pPr>
      <w:r w:rsidRPr="004462E8">
        <w:rPr>
          <w:rFonts w:ascii="Times New Roman" w:hAnsi="Times New Roman" w:cs="Times New Roman"/>
          <w:sz w:val="20"/>
          <w:lang w:val="es-PE"/>
        </w:rPr>
        <w:t xml:space="preserve">Para incidentes de prioridad media, los proveedores de servicios acuerdan clasificar el Centro de soporte actualizando la nota técnica en el ticket cada </w:t>
      </w:r>
      <w:r w:rsidRPr="004462E8">
        <w:rPr>
          <w:rFonts w:ascii="Times New Roman" w:hAnsi="Times New Roman" w:cs="Times New Roman"/>
          <w:i/>
          <w:color w:val="0000FF"/>
          <w:sz w:val="20"/>
          <w:lang w:val="es-PE"/>
        </w:rPr>
        <w:t>negociar / agregar el intervalo de tiempo</w:t>
      </w:r>
      <w:r w:rsidRPr="004462E8">
        <w:rPr>
          <w:rFonts w:ascii="Times New Roman" w:hAnsi="Times New Roman" w:cs="Times New Roman"/>
          <w:sz w:val="20"/>
          <w:lang w:val="es-PE"/>
        </w:rPr>
        <w:t>.</w:t>
      </w:r>
    </w:p>
    <w:p w14:paraId="54CB2D91" w14:textId="77777777" w:rsidR="00F62FE5" w:rsidRPr="004462E8" w:rsidRDefault="00A66A4B">
      <w:pPr>
        <w:pStyle w:val="BodyText"/>
        <w:numPr>
          <w:ilvl w:val="0"/>
          <w:numId w:val="10"/>
        </w:numPr>
        <w:rPr>
          <w:rFonts w:ascii="Times New Roman" w:hAnsi="Times New Roman" w:cs="Times New Roman"/>
          <w:sz w:val="20"/>
          <w:lang w:val="es-PE"/>
        </w:rPr>
      </w:pPr>
      <w:r w:rsidRPr="004462E8">
        <w:rPr>
          <w:rFonts w:ascii="Times New Roman" w:hAnsi="Times New Roman" w:cs="Times New Roman"/>
          <w:sz w:val="20"/>
          <w:lang w:val="es-PE"/>
        </w:rPr>
        <w:t>Para los incidentes de alta prioridad, los proveedores de se</w:t>
      </w:r>
      <w:r w:rsidRPr="004462E8">
        <w:rPr>
          <w:rFonts w:ascii="Times New Roman" w:hAnsi="Times New Roman" w:cs="Times New Roman"/>
          <w:sz w:val="20"/>
          <w:lang w:val="es-PE"/>
        </w:rPr>
        <w:t>rvicios aceptan clasificar el Centro de soporte actualizando la nota técnica en el ticket cada 8 horas hasta que se resuelvan.</w:t>
      </w:r>
    </w:p>
    <w:p w14:paraId="119FFDB4" w14:textId="77777777" w:rsidR="00F62FE5" w:rsidRPr="004462E8" w:rsidRDefault="00A66A4B">
      <w:pPr>
        <w:pStyle w:val="BodyText"/>
        <w:numPr>
          <w:ilvl w:val="0"/>
          <w:numId w:val="10"/>
        </w:numPr>
        <w:rPr>
          <w:rFonts w:ascii="Times New Roman" w:hAnsi="Times New Roman" w:cs="Times New Roman"/>
          <w:sz w:val="20"/>
          <w:lang w:val="es-PE"/>
        </w:rPr>
      </w:pPr>
      <w:r w:rsidRPr="004462E8">
        <w:rPr>
          <w:rFonts w:ascii="Times New Roman" w:hAnsi="Times New Roman" w:cs="Times New Roman"/>
          <w:sz w:val="20"/>
          <w:lang w:val="es-PE"/>
        </w:rPr>
        <w:t xml:space="preserve">Para incidentes de prioridad urgente, los proveedores de servicios acuerdan clasificar el Centro de soporte actualizando la nota </w:t>
      </w:r>
      <w:r w:rsidRPr="004462E8">
        <w:rPr>
          <w:rFonts w:ascii="Times New Roman" w:hAnsi="Times New Roman" w:cs="Times New Roman"/>
          <w:sz w:val="20"/>
          <w:lang w:val="es-PE"/>
        </w:rPr>
        <w:t>técnica en el ticket cada 2 horas hasta que se resuelva.</w:t>
      </w:r>
    </w:p>
    <w:p w14:paraId="41D496B1" w14:textId="77777777" w:rsidR="00F62FE5" w:rsidRPr="004462E8" w:rsidRDefault="00F62FE5">
      <w:pPr>
        <w:pStyle w:val="BodyText"/>
        <w:ind w:left="984"/>
        <w:rPr>
          <w:rFonts w:ascii="Times New Roman" w:hAnsi="Times New Roman" w:cs="Times New Roman"/>
          <w:sz w:val="20"/>
          <w:lang w:val="es-PE"/>
        </w:rPr>
      </w:pPr>
    </w:p>
    <w:tbl>
      <w:tblPr>
        <w:tblW w:w="8640" w:type="dxa"/>
        <w:tblInd w:w="535" w:type="dxa"/>
        <w:tblLayout w:type="fixed"/>
        <w:tblLook w:val="0000" w:firstRow="0" w:lastRow="0" w:firstColumn="0" w:lastColumn="0" w:noHBand="0" w:noVBand="0"/>
      </w:tblPr>
      <w:tblGrid>
        <w:gridCol w:w="3600"/>
        <w:gridCol w:w="5040"/>
      </w:tblGrid>
      <w:tr w:rsidR="00F62FE5" w:rsidRPr="004462E8" w14:paraId="46AB0B2B" w14:textId="77777777">
        <w:tc>
          <w:tcPr>
            <w:tcW w:w="3600" w:type="dxa"/>
            <w:tcBorders>
              <w:top w:val="single" w:sz="4" w:space="0" w:color="000000"/>
              <w:left w:val="single" w:sz="4" w:space="0" w:color="000000"/>
              <w:bottom w:val="single" w:sz="4" w:space="0" w:color="000000"/>
              <w:right w:val="single" w:sz="4" w:space="0" w:color="000000"/>
            </w:tcBorders>
          </w:tcPr>
          <w:p w14:paraId="13A5D5E7" w14:textId="77777777" w:rsidR="00F62FE5" w:rsidRPr="004462E8" w:rsidRDefault="00A66A4B">
            <w:pPr>
              <w:pStyle w:val="ITSTableTitle"/>
              <w:rPr>
                <w:sz w:val="20"/>
                <w:lang w:val="es-PE"/>
              </w:rPr>
            </w:pPr>
            <w:r w:rsidRPr="004462E8">
              <w:rPr>
                <w:rFonts w:ascii="Times New Roman" w:hAnsi="Times New Roman" w:cs="Times New Roman"/>
                <w:sz w:val="20"/>
                <w:lang w:val="es-PE"/>
              </w:rPr>
              <w:t>Proveedor de servicio</w:t>
            </w:r>
          </w:p>
        </w:tc>
        <w:tc>
          <w:tcPr>
            <w:tcW w:w="5040" w:type="dxa"/>
            <w:tcBorders>
              <w:top w:val="single" w:sz="4" w:space="0" w:color="000000"/>
              <w:left w:val="single" w:sz="4" w:space="0" w:color="000000"/>
              <w:bottom w:val="single" w:sz="4" w:space="0" w:color="000000"/>
              <w:right w:val="single" w:sz="4" w:space="0" w:color="000000"/>
            </w:tcBorders>
          </w:tcPr>
          <w:p w14:paraId="5C0BAAF9" w14:textId="77777777" w:rsidR="00F62FE5" w:rsidRPr="004462E8" w:rsidRDefault="00A66A4B">
            <w:pPr>
              <w:pStyle w:val="ITSTableTitle"/>
              <w:rPr>
                <w:sz w:val="20"/>
                <w:lang w:val="es-PE"/>
              </w:rPr>
            </w:pPr>
            <w:r w:rsidRPr="004462E8">
              <w:rPr>
                <w:rFonts w:ascii="Times New Roman" w:hAnsi="Times New Roman" w:cs="Times New Roman"/>
                <w:sz w:val="20"/>
                <w:lang w:val="es-PE"/>
              </w:rPr>
              <w:t>Horas de operación</w:t>
            </w:r>
          </w:p>
        </w:tc>
      </w:tr>
      <w:tr w:rsidR="00F62FE5" w:rsidRPr="004462E8" w14:paraId="61944C9F" w14:textId="77777777">
        <w:tc>
          <w:tcPr>
            <w:tcW w:w="3600" w:type="dxa"/>
            <w:tcBorders>
              <w:top w:val="single" w:sz="4" w:space="0" w:color="000000"/>
              <w:left w:val="single" w:sz="4" w:space="0" w:color="000000"/>
              <w:bottom w:val="single" w:sz="4" w:space="0" w:color="000000"/>
              <w:right w:val="single" w:sz="4" w:space="0" w:color="000000"/>
            </w:tcBorders>
          </w:tcPr>
          <w:p w14:paraId="2AD83C00" w14:textId="77777777" w:rsidR="00F62FE5" w:rsidRPr="004462E8" w:rsidRDefault="00A66A4B">
            <w:pPr>
              <w:pStyle w:val="ITSTableText"/>
              <w:rPr>
                <w:i/>
                <w:color w:val="0000FF"/>
                <w:sz w:val="20"/>
                <w:lang w:val="es-PE"/>
              </w:rPr>
            </w:pPr>
            <w:r w:rsidRPr="004462E8">
              <w:rPr>
                <w:rFonts w:ascii="Times New Roman" w:hAnsi="Times New Roman" w:cs="Times New Roman"/>
                <w:i/>
                <w:color w:val="0000FF"/>
                <w:sz w:val="20"/>
                <w:lang w:val="es-PE"/>
              </w:rPr>
              <w:t>Proveedor de servicios 1</w:t>
            </w:r>
          </w:p>
        </w:tc>
        <w:tc>
          <w:tcPr>
            <w:tcW w:w="5040" w:type="dxa"/>
            <w:tcBorders>
              <w:top w:val="single" w:sz="4" w:space="0" w:color="000000"/>
              <w:left w:val="single" w:sz="4" w:space="0" w:color="000000"/>
              <w:bottom w:val="single" w:sz="4" w:space="0" w:color="000000"/>
              <w:right w:val="single" w:sz="4" w:space="0" w:color="000000"/>
            </w:tcBorders>
          </w:tcPr>
          <w:p w14:paraId="44829B80" w14:textId="77777777" w:rsidR="00F62FE5" w:rsidRPr="004462E8" w:rsidRDefault="00A66A4B">
            <w:pPr>
              <w:pStyle w:val="ITSTableText"/>
              <w:rPr>
                <w:i/>
                <w:color w:val="0000FF"/>
                <w:lang w:val="es-PE"/>
              </w:rPr>
            </w:pPr>
            <w:r w:rsidRPr="004462E8">
              <w:rPr>
                <w:i/>
                <w:color w:val="0000FF"/>
                <w:lang w:val="es-PE"/>
              </w:rPr>
              <w:t xml:space="preserve">Agregar </w:t>
            </w:r>
            <w:proofErr w:type="spellStart"/>
            <w:r w:rsidRPr="004462E8">
              <w:rPr>
                <w:i/>
                <w:color w:val="0000FF"/>
                <w:lang w:val="es-PE"/>
              </w:rPr>
              <w:t>HoO</w:t>
            </w:r>
            <w:proofErr w:type="spellEnd"/>
          </w:p>
        </w:tc>
      </w:tr>
      <w:tr w:rsidR="00F62FE5" w:rsidRPr="004462E8" w14:paraId="5B631B4D" w14:textId="77777777">
        <w:tc>
          <w:tcPr>
            <w:tcW w:w="3600" w:type="dxa"/>
            <w:tcBorders>
              <w:top w:val="single" w:sz="4" w:space="0" w:color="000000"/>
              <w:left w:val="single" w:sz="4" w:space="0" w:color="000000"/>
              <w:bottom w:val="single" w:sz="4" w:space="0" w:color="000000"/>
              <w:right w:val="single" w:sz="4" w:space="0" w:color="000000"/>
            </w:tcBorders>
          </w:tcPr>
          <w:p w14:paraId="114C68C6" w14:textId="77777777" w:rsidR="00F62FE5" w:rsidRPr="004462E8" w:rsidRDefault="00A66A4B">
            <w:pPr>
              <w:pStyle w:val="ITSTableText"/>
              <w:rPr>
                <w:i/>
                <w:color w:val="0000FF"/>
                <w:sz w:val="20"/>
                <w:lang w:val="es-PE"/>
              </w:rPr>
            </w:pPr>
            <w:r w:rsidRPr="004462E8">
              <w:rPr>
                <w:rFonts w:ascii="Times New Roman" w:hAnsi="Times New Roman" w:cs="Times New Roman"/>
                <w:i/>
                <w:color w:val="0000FF"/>
                <w:sz w:val="20"/>
                <w:lang w:val="es-PE"/>
              </w:rPr>
              <w:t>Proveedor de servicios 2</w:t>
            </w:r>
          </w:p>
        </w:tc>
        <w:tc>
          <w:tcPr>
            <w:tcW w:w="5040" w:type="dxa"/>
            <w:tcBorders>
              <w:top w:val="single" w:sz="4" w:space="0" w:color="000000"/>
              <w:left w:val="single" w:sz="4" w:space="0" w:color="000000"/>
              <w:bottom w:val="single" w:sz="4" w:space="0" w:color="000000"/>
              <w:right w:val="single" w:sz="4" w:space="0" w:color="000000"/>
            </w:tcBorders>
          </w:tcPr>
          <w:p w14:paraId="3B5C34D1" w14:textId="77777777" w:rsidR="00F62FE5" w:rsidRPr="004462E8" w:rsidRDefault="00A66A4B">
            <w:pPr>
              <w:pStyle w:val="ITSTableText"/>
              <w:rPr>
                <w:i/>
                <w:color w:val="0000FF"/>
                <w:lang w:val="es-PE"/>
              </w:rPr>
            </w:pPr>
            <w:r w:rsidRPr="004462E8">
              <w:rPr>
                <w:i/>
                <w:color w:val="0000FF"/>
                <w:lang w:val="es-PE"/>
              </w:rPr>
              <w:t xml:space="preserve">Agregar </w:t>
            </w:r>
            <w:proofErr w:type="spellStart"/>
            <w:r w:rsidRPr="004462E8">
              <w:rPr>
                <w:i/>
                <w:color w:val="0000FF"/>
                <w:lang w:val="es-PE"/>
              </w:rPr>
              <w:t>HoO</w:t>
            </w:r>
            <w:proofErr w:type="spellEnd"/>
          </w:p>
        </w:tc>
      </w:tr>
    </w:tbl>
    <w:p w14:paraId="041B4FF6" w14:textId="77777777" w:rsidR="00F62FE5" w:rsidRPr="004462E8" w:rsidRDefault="00F62FE5">
      <w:pPr>
        <w:pStyle w:val="BodyText"/>
        <w:ind w:left="360"/>
        <w:rPr>
          <w:sz w:val="20"/>
          <w:lang w:val="es-PE"/>
        </w:rPr>
      </w:pPr>
    </w:p>
    <w:p w14:paraId="26D754EE" w14:textId="77777777" w:rsidR="00F62FE5" w:rsidRPr="004462E8" w:rsidRDefault="00A66A4B">
      <w:pPr>
        <w:pStyle w:val="Ttulo3"/>
        <w:rPr>
          <w:lang w:val="es-PE"/>
        </w:rPr>
      </w:pPr>
      <w:bookmarkStart w:id="18" w:name="__RefHeading___Toc171659837"/>
      <w:bookmarkEnd w:id="18"/>
      <w:r w:rsidRPr="004462E8">
        <w:rPr>
          <w:lang w:val="es-PE"/>
        </w:rPr>
        <w:t>Manejo de incidentes mayores</w:t>
      </w:r>
    </w:p>
    <w:p w14:paraId="2DE1E9A8" w14:textId="77777777" w:rsidR="00F62FE5" w:rsidRPr="004462E8" w:rsidRDefault="00A66A4B">
      <w:pPr>
        <w:ind w:left="630"/>
        <w:rPr>
          <w:i/>
          <w:color w:val="0000FF"/>
          <w:lang w:val="es-PE"/>
        </w:rPr>
      </w:pPr>
      <w:r w:rsidRPr="004462E8">
        <w:rPr>
          <w:i/>
          <w:color w:val="0000FF"/>
          <w:lang w:val="es-PE"/>
        </w:rPr>
        <w:t xml:space="preserve">Evalúe si su servicio tiene alguna </w:t>
      </w:r>
      <w:r w:rsidRPr="004462E8">
        <w:rPr>
          <w:i/>
          <w:color w:val="0000FF"/>
          <w:lang w:val="es-PE"/>
        </w:rPr>
        <w:t>situación de IM. Si es así, complete esta sección. De lo contrario, indíquelo como tal y elimine el texto estándar.</w:t>
      </w:r>
    </w:p>
    <w:p w14:paraId="4ECD988A" w14:textId="77777777" w:rsidR="00F62FE5" w:rsidRPr="004462E8" w:rsidRDefault="00A66A4B">
      <w:pPr>
        <w:ind w:left="360" w:firstLine="270"/>
        <w:rPr>
          <w:lang w:val="es-PE"/>
        </w:rPr>
      </w:pPr>
      <w:r w:rsidRPr="004462E8">
        <w:rPr>
          <w:lang w:val="es-PE"/>
        </w:rPr>
        <w:t>En estas circunstancias, comience el Manejo de incidentes mayores:</w:t>
      </w:r>
    </w:p>
    <w:p w14:paraId="4061BD0D" w14:textId="77777777" w:rsidR="00F62FE5" w:rsidRPr="004462E8" w:rsidRDefault="00A66A4B">
      <w:pPr>
        <w:numPr>
          <w:ilvl w:val="0"/>
          <w:numId w:val="5"/>
        </w:numPr>
        <w:rPr>
          <w:i/>
          <w:color w:val="0000FF"/>
          <w:lang w:val="es-PE"/>
        </w:rPr>
      </w:pPr>
      <w:r w:rsidRPr="004462E8">
        <w:rPr>
          <w:i/>
          <w:color w:val="0000FF"/>
          <w:lang w:val="es-PE"/>
        </w:rPr>
        <w:t>Circunstancia 1</w:t>
      </w:r>
    </w:p>
    <w:p w14:paraId="009E6A2D" w14:textId="77777777" w:rsidR="00F62FE5" w:rsidRPr="004462E8" w:rsidRDefault="00A66A4B">
      <w:pPr>
        <w:numPr>
          <w:ilvl w:val="0"/>
          <w:numId w:val="5"/>
        </w:numPr>
        <w:rPr>
          <w:i/>
          <w:color w:val="0000FF"/>
          <w:lang w:val="es-PE"/>
        </w:rPr>
      </w:pPr>
      <w:r w:rsidRPr="004462E8">
        <w:rPr>
          <w:i/>
          <w:color w:val="0000FF"/>
          <w:lang w:val="es-PE"/>
        </w:rPr>
        <w:t>Circunstancia 2</w:t>
      </w:r>
    </w:p>
    <w:p w14:paraId="585BFAA4" w14:textId="77777777" w:rsidR="00F62FE5" w:rsidRPr="004462E8" w:rsidRDefault="00F62FE5">
      <w:pPr>
        <w:ind w:left="360"/>
        <w:rPr>
          <w:i/>
          <w:color w:val="0000FF"/>
          <w:lang w:val="es-PE"/>
        </w:rPr>
      </w:pPr>
    </w:p>
    <w:tbl>
      <w:tblPr>
        <w:tblW w:w="8550" w:type="dxa"/>
        <w:tblInd w:w="625" w:type="dxa"/>
        <w:tblLayout w:type="fixed"/>
        <w:tblLook w:val="0000" w:firstRow="0" w:lastRow="0" w:firstColumn="0" w:lastColumn="0" w:noHBand="0" w:noVBand="0"/>
      </w:tblPr>
      <w:tblGrid>
        <w:gridCol w:w="3576"/>
        <w:gridCol w:w="2814"/>
        <w:gridCol w:w="2160"/>
      </w:tblGrid>
      <w:tr w:rsidR="00F62FE5" w:rsidRPr="004462E8" w14:paraId="31A21AD0" w14:textId="77777777">
        <w:tc>
          <w:tcPr>
            <w:tcW w:w="3576" w:type="dxa"/>
            <w:tcBorders>
              <w:top w:val="single" w:sz="4" w:space="0" w:color="000000"/>
              <w:left w:val="single" w:sz="4" w:space="0" w:color="000000"/>
              <w:bottom w:val="single" w:sz="4" w:space="0" w:color="000000"/>
              <w:right w:val="single" w:sz="4" w:space="0" w:color="000000"/>
            </w:tcBorders>
          </w:tcPr>
          <w:p w14:paraId="5BAB4B8E" w14:textId="77777777" w:rsidR="00F62FE5" w:rsidRPr="004462E8" w:rsidRDefault="00A66A4B">
            <w:pPr>
              <w:pStyle w:val="BodyText"/>
              <w:rPr>
                <w:b/>
                <w:lang w:val="es-PE"/>
              </w:rPr>
            </w:pPr>
            <w:r w:rsidRPr="004462E8">
              <w:rPr>
                <w:b/>
                <w:lang w:val="es-PE"/>
              </w:rPr>
              <w:t>Equipo MIH</w:t>
            </w:r>
          </w:p>
        </w:tc>
        <w:tc>
          <w:tcPr>
            <w:tcW w:w="2814" w:type="dxa"/>
            <w:tcBorders>
              <w:top w:val="single" w:sz="4" w:space="0" w:color="000000"/>
              <w:left w:val="single" w:sz="4" w:space="0" w:color="000000"/>
              <w:bottom w:val="single" w:sz="4" w:space="0" w:color="000000"/>
              <w:right w:val="single" w:sz="4" w:space="0" w:color="000000"/>
            </w:tcBorders>
          </w:tcPr>
          <w:p w14:paraId="557E740E" w14:textId="77777777" w:rsidR="00F62FE5" w:rsidRPr="004462E8" w:rsidRDefault="00A66A4B">
            <w:pPr>
              <w:pStyle w:val="BodyText"/>
              <w:rPr>
                <w:b/>
                <w:lang w:val="es-PE"/>
              </w:rPr>
            </w:pPr>
            <w:r w:rsidRPr="004462E8">
              <w:rPr>
                <w:b/>
                <w:lang w:val="es-PE"/>
              </w:rPr>
              <w:t>Información del contacto</w:t>
            </w:r>
          </w:p>
        </w:tc>
        <w:tc>
          <w:tcPr>
            <w:tcW w:w="2160" w:type="dxa"/>
            <w:tcBorders>
              <w:top w:val="single" w:sz="4" w:space="0" w:color="000000"/>
              <w:left w:val="single" w:sz="4" w:space="0" w:color="000000"/>
              <w:bottom w:val="single" w:sz="4" w:space="0" w:color="000000"/>
              <w:right w:val="single" w:sz="4" w:space="0" w:color="000000"/>
            </w:tcBorders>
          </w:tcPr>
          <w:p w14:paraId="6F372562" w14:textId="77777777" w:rsidR="00F62FE5" w:rsidRPr="004462E8" w:rsidRDefault="00A66A4B">
            <w:pPr>
              <w:pStyle w:val="BodyText"/>
              <w:rPr>
                <w:b/>
                <w:lang w:val="es-PE"/>
              </w:rPr>
            </w:pPr>
            <w:r w:rsidRPr="004462E8">
              <w:rPr>
                <w:b/>
                <w:lang w:val="es-PE"/>
              </w:rPr>
              <w:t>Copi</w:t>
            </w:r>
            <w:r w:rsidRPr="004462E8">
              <w:rPr>
                <w:b/>
                <w:lang w:val="es-PE"/>
              </w:rPr>
              <w:t>a de seguridad de la información de contacto</w:t>
            </w:r>
          </w:p>
        </w:tc>
      </w:tr>
      <w:tr w:rsidR="00F62FE5" w:rsidRPr="004462E8" w14:paraId="22ACFB90" w14:textId="77777777">
        <w:tc>
          <w:tcPr>
            <w:tcW w:w="3576" w:type="dxa"/>
            <w:tcBorders>
              <w:top w:val="single" w:sz="4" w:space="0" w:color="000000"/>
              <w:left w:val="single" w:sz="4" w:space="0" w:color="000000"/>
              <w:bottom w:val="single" w:sz="4" w:space="0" w:color="000000"/>
              <w:right w:val="single" w:sz="4" w:space="0" w:color="000000"/>
            </w:tcBorders>
          </w:tcPr>
          <w:p w14:paraId="32EB5AEE" w14:textId="77777777" w:rsidR="00F62FE5" w:rsidRPr="004462E8" w:rsidRDefault="00A66A4B">
            <w:pPr>
              <w:pStyle w:val="BodyText"/>
              <w:rPr>
                <w:lang w:val="es-PE"/>
              </w:rPr>
            </w:pPr>
            <w:r w:rsidRPr="004462E8">
              <w:rPr>
                <w:lang w:val="es-PE"/>
              </w:rPr>
              <w:t xml:space="preserve">Jefe de tecnología </w:t>
            </w:r>
          </w:p>
        </w:tc>
        <w:tc>
          <w:tcPr>
            <w:tcW w:w="2814" w:type="dxa"/>
            <w:tcBorders>
              <w:top w:val="single" w:sz="4" w:space="0" w:color="000000"/>
              <w:left w:val="single" w:sz="4" w:space="0" w:color="000000"/>
              <w:bottom w:val="single" w:sz="4" w:space="0" w:color="000000"/>
              <w:right w:val="single" w:sz="4" w:space="0" w:color="000000"/>
            </w:tcBorders>
          </w:tcPr>
          <w:p w14:paraId="0A0C2D3D" w14:textId="77777777" w:rsidR="00F62FE5" w:rsidRPr="004462E8" w:rsidRDefault="00A66A4B">
            <w:pPr>
              <w:pStyle w:val="BodyText"/>
              <w:rPr>
                <w:i/>
                <w:color w:val="0000FF"/>
                <w:lang w:val="es-PE"/>
              </w:rPr>
            </w:pPr>
            <w:r w:rsidRPr="004462E8">
              <w:rPr>
                <w:i/>
                <w:color w:val="0000FF"/>
                <w:lang w:val="es-PE"/>
              </w:rPr>
              <w:t>Agregar nombre y teléfono</w:t>
            </w:r>
          </w:p>
        </w:tc>
        <w:tc>
          <w:tcPr>
            <w:tcW w:w="2160" w:type="dxa"/>
            <w:tcBorders>
              <w:top w:val="single" w:sz="4" w:space="0" w:color="000000"/>
              <w:left w:val="single" w:sz="4" w:space="0" w:color="000000"/>
              <w:bottom w:val="single" w:sz="4" w:space="0" w:color="000000"/>
              <w:right w:val="single" w:sz="4" w:space="0" w:color="000000"/>
            </w:tcBorders>
          </w:tcPr>
          <w:p w14:paraId="1030294C" w14:textId="77777777" w:rsidR="00F62FE5" w:rsidRPr="004462E8" w:rsidRDefault="00F62FE5">
            <w:pPr>
              <w:pStyle w:val="BodyText"/>
              <w:snapToGrid w:val="0"/>
              <w:rPr>
                <w:i/>
                <w:color w:val="0000FF"/>
                <w:lang w:val="es-PE"/>
              </w:rPr>
            </w:pPr>
          </w:p>
        </w:tc>
      </w:tr>
      <w:tr w:rsidR="00F62FE5" w:rsidRPr="004462E8" w14:paraId="78551313" w14:textId="77777777">
        <w:tc>
          <w:tcPr>
            <w:tcW w:w="3576" w:type="dxa"/>
            <w:tcBorders>
              <w:top w:val="single" w:sz="4" w:space="0" w:color="000000"/>
              <w:left w:val="single" w:sz="4" w:space="0" w:color="000000"/>
              <w:bottom w:val="single" w:sz="4" w:space="0" w:color="000000"/>
              <w:right w:val="single" w:sz="4" w:space="0" w:color="000000"/>
            </w:tcBorders>
          </w:tcPr>
          <w:p w14:paraId="613B8A91" w14:textId="77777777" w:rsidR="00F62FE5" w:rsidRPr="004462E8" w:rsidRDefault="00A66A4B">
            <w:pPr>
              <w:pStyle w:val="BodyText"/>
              <w:rPr>
                <w:lang w:val="es-PE"/>
              </w:rPr>
            </w:pPr>
            <w:r w:rsidRPr="004462E8">
              <w:rPr>
                <w:lang w:val="es-PE"/>
              </w:rPr>
              <w:t>Coordinador de incidentes mayores - 8x5</w:t>
            </w:r>
          </w:p>
        </w:tc>
        <w:tc>
          <w:tcPr>
            <w:tcW w:w="2814" w:type="dxa"/>
            <w:tcBorders>
              <w:top w:val="single" w:sz="4" w:space="0" w:color="000000"/>
              <w:left w:val="single" w:sz="4" w:space="0" w:color="000000"/>
              <w:bottom w:val="single" w:sz="4" w:space="0" w:color="000000"/>
              <w:right w:val="single" w:sz="4" w:space="0" w:color="000000"/>
            </w:tcBorders>
          </w:tcPr>
          <w:p w14:paraId="443FD2EA" w14:textId="77777777" w:rsidR="00F62FE5" w:rsidRPr="004462E8" w:rsidRDefault="00A66A4B">
            <w:pPr>
              <w:pStyle w:val="BodyText"/>
              <w:rPr>
                <w:lang w:val="es-PE"/>
              </w:rPr>
            </w:pPr>
            <w:r w:rsidRPr="004462E8">
              <w:rPr>
                <w:lang w:val="es-PE"/>
              </w:rPr>
              <w:t>Gobernante exaltado en SC 9-xxxx</w:t>
            </w:r>
          </w:p>
        </w:tc>
        <w:tc>
          <w:tcPr>
            <w:tcW w:w="2160" w:type="dxa"/>
            <w:tcBorders>
              <w:top w:val="single" w:sz="4" w:space="0" w:color="000000"/>
              <w:left w:val="single" w:sz="4" w:space="0" w:color="000000"/>
              <w:bottom w:val="single" w:sz="4" w:space="0" w:color="000000"/>
              <w:right w:val="single" w:sz="4" w:space="0" w:color="000000"/>
            </w:tcBorders>
          </w:tcPr>
          <w:p w14:paraId="5F8B269C" w14:textId="77777777" w:rsidR="00F62FE5" w:rsidRPr="004462E8" w:rsidRDefault="00F62FE5">
            <w:pPr>
              <w:pStyle w:val="BodyText"/>
              <w:snapToGrid w:val="0"/>
              <w:rPr>
                <w:lang w:val="es-PE"/>
              </w:rPr>
            </w:pPr>
          </w:p>
        </w:tc>
      </w:tr>
      <w:tr w:rsidR="00F62FE5" w:rsidRPr="004462E8" w14:paraId="42ECDF70" w14:textId="77777777">
        <w:tc>
          <w:tcPr>
            <w:tcW w:w="3576" w:type="dxa"/>
            <w:tcBorders>
              <w:top w:val="single" w:sz="4" w:space="0" w:color="000000"/>
              <w:left w:val="single" w:sz="4" w:space="0" w:color="000000"/>
              <w:bottom w:val="single" w:sz="4" w:space="0" w:color="000000"/>
              <w:right w:val="single" w:sz="4" w:space="0" w:color="000000"/>
            </w:tcBorders>
          </w:tcPr>
          <w:p w14:paraId="72C9A906" w14:textId="77777777" w:rsidR="00F62FE5" w:rsidRPr="004462E8" w:rsidRDefault="00A66A4B">
            <w:pPr>
              <w:pStyle w:val="BodyText"/>
              <w:rPr>
                <w:lang w:val="es-PE"/>
              </w:rPr>
            </w:pPr>
            <w:r w:rsidRPr="004462E8">
              <w:rPr>
                <w:lang w:val="es-PE"/>
              </w:rPr>
              <w:t>Coordinador de incidentes mayores - Fuera de horario</w:t>
            </w:r>
          </w:p>
        </w:tc>
        <w:tc>
          <w:tcPr>
            <w:tcW w:w="2814" w:type="dxa"/>
            <w:tcBorders>
              <w:top w:val="single" w:sz="4" w:space="0" w:color="000000"/>
              <w:left w:val="single" w:sz="4" w:space="0" w:color="000000"/>
              <w:bottom w:val="single" w:sz="4" w:space="0" w:color="000000"/>
              <w:right w:val="single" w:sz="4" w:space="0" w:color="000000"/>
            </w:tcBorders>
          </w:tcPr>
          <w:p w14:paraId="3D664563" w14:textId="77777777" w:rsidR="00F62FE5" w:rsidRPr="004462E8" w:rsidRDefault="00A66A4B">
            <w:pPr>
              <w:pStyle w:val="BodyText"/>
              <w:rPr>
                <w:lang w:val="es-PE"/>
              </w:rPr>
            </w:pPr>
            <w:r w:rsidRPr="004462E8">
              <w:rPr>
                <w:lang w:val="es-PE"/>
              </w:rPr>
              <w:t>Operaciones 9-xxxx</w:t>
            </w:r>
          </w:p>
        </w:tc>
        <w:tc>
          <w:tcPr>
            <w:tcW w:w="2160" w:type="dxa"/>
            <w:tcBorders>
              <w:top w:val="single" w:sz="4" w:space="0" w:color="000000"/>
              <w:left w:val="single" w:sz="4" w:space="0" w:color="000000"/>
              <w:bottom w:val="single" w:sz="4" w:space="0" w:color="000000"/>
              <w:right w:val="single" w:sz="4" w:space="0" w:color="000000"/>
            </w:tcBorders>
          </w:tcPr>
          <w:p w14:paraId="1780CAB2" w14:textId="77777777" w:rsidR="00F62FE5" w:rsidRPr="004462E8" w:rsidRDefault="00F62FE5">
            <w:pPr>
              <w:pStyle w:val="BodyText"/>
              <w:snapToGrid w:val="0"/>
              <w:rPr>
                <w:lang w:val="es-PE"/>
              </w:rPr>
            </w:pPr>
          </w:p>
        </w:tc>
      </w:tr>
      <w:tr w:rsidR="00F62FE5" w:rsidRPr="004462E8" w14:paraId="5BE43B5D" w14:textId="77777777">
        <w:tc>
          <w:tcPr>
            <w:tcW w:w="3576" w:type="dxa"/>
            <w:tcBorders>
              <w:top w:val="single" w:sz="4" w:space="0" w:color="000000"/>
              <w:left w:val="single" w:sz="4" w:space="0" w:color="000000"/>
              <w:bottom w:val="single" w:sz="4" w:space="0" w:color="000000"/>
              <w:right w:val="single" w:sz="4" w:space="0" w:color="000000"/>
            </w:tcBorders>
          </w:tcPr>
          <w:p w14:paraId="14449E30" w14:textId="77777777" w:rsidR="00F62FE5" w:rsidRPr="004462E8" w:rsidRDefault="00A66A4B">
            <w:pPr>
              <w:pStyle w:val="BodyText"/>
              <w:rPr>
                <w:lang w:val="es-PE"/>
              </w:rPr>
            </w:pPr>
            <w:r w:rsidRPr="004462E8">
              <w:rPr>
                <w:lang w:val="es-PE"/>
              </w:rPr>
              <w:t>Experto en la materia de SC</w:t>
            </w:r>
          </w:p>
        </w:tc>
        <w:tc>
          <w:tcPr>
            <w:tcW w:w="2814" w:type="dxa"/>
            <w:tcBorders>
              <w:top w:val="single" w:sz="4" w:space="0" w:color="000000"/>
              <w:left w:val="single" w:sz="4" w:space="0" w:color="000000"/>
              <w:bottom w:val="single" w:sz="4" w:space="0" w:color="000000"/>
              <w:right w:val="single" w:sz="4" w:space="0" w:color="000000"/>
            </w:tcBorders>
          </w:tcPr>
          <w:p w14:paraId="27754A64" w14:textId="77777777" w:rsidR="00F62FE5" w:rsidRPr="004462E8" w:rsidRDefault="00A66A4B">
            <w:pPr>
              <w:pStyle w:val="BodyText"/>
              <w:rPr>
                <w:i/>
                <w:color w:val="0000FF"/>
                <w:lang w:val="es-PE"/>
              </w:rPr>
            </w:pPr>
            <w:r w:rsidRPr="004462E8">
              <w:rPr>
                <w:i/>
                <w:color w:val="0000FF"/>
                <w:lang w:val="es-PE"/>
              </w:rPr>
              <w:t>Agregar nombre y teléfono</w:t>
            </w:r>
          </w:p>
        </w:tc>
        <w:tc>
          <w:tcPr>
            <w:tcW w:w="2160" w:type="dxa"/>
            <w:tcBorders>
              <w:top w:val="single" w:sz="4" w:space="0" w:color="000000"/>
              <w:left w:val="single" w:sz="4" w:space="0" w:color="000000"/>
              <w:bottom w:val="single" w:sz="4" w:space="0" w:color="000000"/>
              <w:right w:val="single" w:sz="4" w:space="0" w:color="000000"/>
            </w:tcBorders>
          </w:tcPr>
          <w:p w14:paraId="59B3A595" w14:textId="77777777" w:rsidR="00F62FE5" w:rsidRPr="004462E8" w:rsidRDefault="00F62FE5">
            <w:pPr>
              <w:pStyle w:val="BodyText"/>
              <w:snapToGrid w:val="0"/>
              <w:rPr>
                <w:i/>
                <w:color w:val="0000FF"/>
                <w:lang w:val="es-PE"/>
              </w:rPr>
            </w:pPr>
          </w:p>
        </w:tc>
      </w:tr>
      <w:tr w:rsidR="00F62FE5" w:rsidRPr="004462E8" w14:paraId="2A3FCE24" w14:textId="77777777">
        <w:tc>
          <w:tcPr>
            <w:tcW w:w="3576" w:type="dxa"/>
            <w:tcBorders>
              <w:top w:val="single" w:sz="4" w:space="0" w:color="000000"/>
              <w:left w:val="single" w:sz="4" w:space="0" w:color="000000"/>
              <w:bottom w:val="single" w:sz="4" w:space="0" w:color="000000"/>
              <w:right w:val="single" w:sz="4" w:space="0" w:color="000000"/>
            </w:tcBorders>
          </w:tcPr>
          <w:p w14:paraId="5DC650C0" w14:textId="77777777" w:rsidR="00F62FE5" w:rsidRPr="004462E8" w:rsidRDefault="00A66A4B">
            <w:pPr>
              <w:pStyle w:val="BodyText"/>
              <w:rPr>
                <w:lang w:val="es-PE"/>
              </w:rPr>
            </w:pPr>
            <w:r w:rsidRPr="004462E8">
              <w:rPr>
                <w:lang w:val="es-PE"/>
              </w:rPr>
              <w:t xml:space="preserve">PMG </w:t>
            </w:r>
            <w:proofErr w:type="spellStart"/>
            <w:r w:rsidRPr="004462E8">
              <w:rPr>
                <w:lang w:val="es-PE"/>
              </w:rPr>
              <w:t>Comm</w:t>
            </w:r>
            <w:proofErr w:type="spellEnd"/>
          </w:p>
        </w:tc>
        <w:tc>
          <w:tcPr>
            <w:tcW w:w="2814" w:type="dxa"/>
            <w:tcBorders>
              <w:top w:val="single" w:sz="4" w:space="0" w:color="000000"/>
              <w:left w:val="single" w:sz="4" w:space="0" w:color="000000"/>
              <w:bottom w:val="single" w:sz="4" w:space="0" w:color="000000"/>
              <w:right w:val="single" w:sz="4" w:space="0" w:color="000000"/>
            </w:tcBorders>
          </w:tcPr>
          <w:p w14:paraId="1C14BA28" w14:textId="77777777" w:rsidR="00F62FE5" w:rsidRPr="004462E8" w:rsidRDefault="00A66A4B">
            <w:pPr>
              <w:pStyle w:val="BodyText"/>
              <w:rPr>
                <w:lang w:val="es-PE"/>
              </w:rPr>
            </w:pPr>
            <w:r w:rsidRPr="004462E8">
              <w:rPr>
                <w:lang w:val="es-PE"/>
              </w:rPr>
              <w:t>Especialista en comunicación</w:t>
            </w:r>
          </w:p>
          <w:p w14:paraId="6236534A" w14:textId="77777777" w:rsidR="00F62FE5" w:rsidRPr="004462E8" w:rsidRDefault="00A66A4B">
            <w:pPr>
              <w:pStyle w:val="BodyText"/>
              <w:rPr>
                <w:lang w:val="es-PE"/>
              </w:rPr>
            </w:pPr>
            <w:r w:rsidRPr="004462E8">
              <w:rPr>
                <w:lang w:val="es-PE"/>
              </w:rPr>
              <w:t>o sc.update@ucsc.edu</w:t>
            </w:r>
          </w:p>
        </w:tc>
        <w:tc>
          <w:tcPr>
            <w:tcW w:w="2160" w:type="dxa"/>
            <w:tcBorders>
              <w:top w:val="single" w:sz="4" w:space="0" w:color="000000"/>
              <w:left w:val="single" w:sz="4" w:space="0" w:color="000000"/>
              <w:bottom w:val="single" w:sz="4" w:space="0" w:color="000000"/>
              <w:right w:val="single" w:sz="4" w:space="0" w:color="000000"/>
            </w:tcBorders>
          </w:tcPr>
          <w:p w14:paraId="59263804" w14:textId="77777777" w:rsidR="00F62FE5" w:rsidRPr="004462E8" w:rsidRDefault="00F62FE5">
            <w:pPr>
              <w:pStyle w:val="BodyText"/>
              <w:snapToGrid w:val="0"/>
              <w:rPr>
                <w:lang w:val="es-PE"/>
              </w:rPr>
            </w:pPr>
          </w:p>
        </w:tc>
      </w:tr>
    </w:tbl>
    <w:p w14:paraId="6CD40900" w14:textId="77777777" w:rsidR="00F62FE5" w:rsidRPr="004462E8" w:rsidRDefault="00F62FE5">
      <w:pPr>
        <w:pStyle w:val="BodyText"/>
        <w:ind w:left="360"/>
        <w:rPr>
          <w:sz w:val="20"/>
          <w:lang w:val="es-PE"/>
        </w:rPr>
      </w:pPr>
    </w:p>
    <w:p w14:paraId="1D6A419C" w14:textId="77777777" w:rsidR="00F62FE5" w:rsidRPr="004462E8" w:rsidRDefault="00A66A4B">
      <w:pPr>
        <w:pStyle w:val="BodyText"/>
        <w:ind w:left="720"/>
        <w:rPr>
          <w:sz w:val="20"/>
          <w:lang w:val="es-PE"/>
        </w:rPr>
      </w:pPr>
      <w:r w:rsidRPr="004462E8">
        <w:rPr>
          <w:sz w:val="20"/>
          <w:lang w:val="es-PE"/>
        </w:rPr>
        <w:t xml:space="preserve">Se encuentra información adicional sobre los roles, responsabilidades y flujos de proceso del proceso de Manejo de Incidentes Mayores. </w:t>
      </w:r>
      <w:r w:rsidRPr="004462E8">
        <w:rPr>
          <w:i/>
          <w:color w:val="0000FF"/>
          <w:sz w:val="20"/>
          <w:lang w:val="es-PE"/>
        </w:rPr>
        <w:t>&lt;&lt;aquí&gt;&gt;.</w:t>
      </w:r>
    </w:p>
    <w:p w14:paraId="1063B3D9" w14:textId="77777777" w:rsidR="00F62FE5" w:rsidRPr="004462E8" w:rsidRDefault="00F62FE5">
      <w:pPr>
        <w:pStyle w:val="BodyText"/>
        <w:ind w:left="360"/>
        <w:rPr>
          <w:sz w:val="20"/>
          <w:lang w:val="es-PE"/>
        </w:rPr>
      </w:pPr>
    </w:p>
    <w:p w14:paraId="5BF74BD2" w14:textId="77777777" w:rsidR="00F62FE5" w:rsidRPr="004462E8" w:rsidRDefault="00A66A4B">
      <w:pPr>
        <w:pStyle w:val="Ttulo2"/>
        <w:rPr>
          <w:lang w:val="es-PE"/>
        </w:rPr>
      </w:pPr>
      <w:bookmarkStart w:id="19" w:name="__RefHeading___Toc171659838"/>
      <w:bookmarkEnd w:id="19"/>
      <w:r w:rsidRPr="004462E8">
        <w:rPr>
          <w:lang w:val="es-PE"/>
        </w:rPr>
        <w:t>Gestión de problemas</w:t>
      </w:r>
    </w:p>
    <w:p w14:paraId="392495C6" w14:textId="77777777" w:rsidR="00F62FE5" w:rsidRPr="004462E8" w:rsidRDefault="00A66A4B">
      <w:pPr>
        <w:ind w:left="846"/>
        <w:rPr>
          <w:i/>
          <w:color w:val="0000FF"/>
          <w:lang w:val="es-PE"/>
        </w:rPr>
      </w:pPr>
      <w:r w:rsidRPr="004462E8">
        <w:rPr>
          <w:i/>
          <w:color w:val="0000FF"/>
          <w:lang w:val="es-PE"/>
        </w:rPr>
        <w:t>Esta sección es un marcador de posición para el proceso de gestión de problemas. Si su se</w:t>
      </w:r>
      <w:r w:rsidRPr="004462E8">
        <w:rPr>
          <w:i/>
          <w:color w:val="0000FF"/>
          <w:lang w:val="es-PE"/>
        </w:rPr>
        <w:t>rvicio tiene una forma de tratar los problemas (causa raíz en lugar de incidentes), anótelo aquí.</w:t>
      </w:r>
    </w:p>
    <w:p w14:paraId="4B92A8A4" w14:textId="77777777" w:rsidR="00F62FE5" w:rsidRPr="004462E8" w:rsidRDefault="00F62FE5">
      <w:pPr>
        <w:ind w:left="432"/>
        <w:rPr>
          <w:i/>
          <w:color w:val="0000FF"/>
          <w:lang w:val="es-PE"/>
        </w:rPr>
      </w:pPr>
    </w:p>
    <w:p w14:paraId="545C8201" w14:textId="77777777" w:rsidR="00F62FE5" w:rsidRPr="004462E8" w:rsidRDefault="00A66A4B">
      <w:pPr>
        <w:pStyle w:val="Ttulo2"/>
        <w:rPr>
          <w:lang w:val="es-PE"/>
        </w:rPr>
      </w:pPr>
      <w:bookmarkStart w:id="20" w:name="__RefHeading___Toc171659839"/>
      <w:bookmarkEnd w:id="20"/>
      <w:r w:rsidRPr="004462E8">
        <w:rPr>
          <w:lang w:val="es-PE"/>
        </w:rPr>
        <w:lastRenderedPageBreak/>
        <w:t>Mantenimiento de servicio / Gestión de cambios</w:t>
      </w:r>
    </w:p>
    <w:p w14:paraId="7BF445D0" w14:textId="77777777" w:rsidR="00F62FE5" w:rsidRPr="004462E8" w:rsidRDefault="00A66A4B">
      <w:pPr>
        <w:pStyle w:val="Normaltext"/>
        <w:ind w:left="846"/>
        <w:jc w:val="both"/>
        <w:rPr>
          <w:lang w:val="es-PE"/>
        </w:rPr>
      </w:pPr>
      <w:r w:rsidRPr="004462E8">
        <w:rPr>
          <w:rFonts w:ascii="Times New Roman" w:hAnsi="Times New Roman" w:cs="Times New Roman"/>
          <w:sz w:val="20"/>
          <w:lang w:val="es-PE"/>
        </w:rPr>
        <w:t>Todos los servicios y / o componentes relacionados requieren un mantenimiento programado regularmente ("Períod</w:t>
      </w:r>
      <w:r w:rsidRPr="004462E8">
        <w:rPr>
          <w:rFonts w:ascii="Times New Roman" w:hAnsi="Times New Roman" w:cs="Times New Roman"/>
          <w:sz w:val="20"/>
          <w:lang w:val="es-PE"/>
        </w:rPr>
        <w:t xml:space="preserve">o de mantenimiento") para cumplir con los niveles de servicio establecidos. Estas actividades harán que los sistemas y / o aplicaciones no estén disponibles para la interacción normal del usuario en las siguientes ubicaciones y períodos de </w:t>
      </w:r>
      <w:proofErr w:type="spellStart"/>
      <w:proofErr w:type="gramStart"/>
      <w:r w:rsidRPr="004462E8">
        <w:rPr>
          <w:rFonts w:ascii="Times New Roman" w:hAnsi="Times New Roman" w:cs="Times New Roman"/>
          <w:sz w:val="20"/>
          <w:lang w:val="es-PE"/>
        </w:rPr>
        <w:t>tiempo:</w:t>
      </w:r>
      <w:r w:rsidRPr="004462E8">
        <w:rPr>
          <w:rFonts w:ascii="Times New Roman" w:hAnsi="Times New Roman" w:cs="Times New Roman"/>
          <w:i/>
          <w:color w:val="0000FF"/>
          <w:sz w:val="20"/>
          <w:lang w:val="es-PE"/>
        </w:rPr>
        <w:t>completar</w:t>
      </w:r>
      <w:proofErr w:type="spellEnd"/>
      <w:proofErr w:type="gramEnd"/>
      <w:r w:rsidRPr="004462E8">
        <w:rPr>
          <w:rFonts w:ascii="Times New Roman" w:hAnsi="Times New Roman" w:cs="Times New Roman"/>
          <w:i/>
          <w:color w:val="0000FF"/>
          <w:sz w:val="20"/>
          <w:lang w:val="es-PE"/>
        </w:rPr>
        <w:t xml:space="preserve"> tiempos</w:t>
      </w:r>
    </w:p>
    <w:p w14:paraId="65273A84" w14:textId="77777777" w:rsidR="00F62FE5" w:rsidRPr="004462E8" w:rsidRDefault="00F62FE5">
      <w:pPr>
        <w:pStyle w:val="Bodylevel2CharChar"/>
        <w:spacing w:after="0"/>
        <w:ind w:left="792"/>
        <w:rPr>
          <w:i/>
          <w:color w:val="0000FF"/>
          <w:lang w:val="es-PE" w:eastAsia="en-US"/>
        </w:rPr>
      </w:pPr>
    </w:p>
    <w:p w14:paraId="2CFCC0D5" w14:textId="77777777" w:rsidR="00F62FE5" w:rsidRPr="004462E8" w:rsidRDefault="00F62FE5">
      <w:pPr>
        <w:pStyle w:val="Bodylevel2CharChar"/>
        <w:spacing w:after="0"/>
        <w:ind w:left="1512"/>
        <w:rPr>
          <w:b/>
          <w:lang w:val="es-PE" w:eastAsia="en-US"/>
        </w:rPr>
      </w:pPr>
    </w:p>
    <w:tbl>
      <w:tblPr>
        <w:tblW w:w="8506" w:type="dxa"/>
        <w:tblInd w:w="756" w:type="dxa"/>
        <w:tblLayout w:type="fixed"/>
        <w:tblLook w:val="0000" w:firstRow="0" w:lastRow="0" w:firstColumn="0" w:lastColumn="0" w:noHBand="0" w:noVBand="0"/>
      </w:tblPr>
      <w:tblGrid>
        <w:gridCol w:w="805"/>
        <w:gridCol w:w="1178"/>
        <w:gridCol w:w="1028"/>
        <w:gridCol w:w="1039"/>
        <w:gridCol w:w="1306"/>
        <w:gridCol w:w="1150"/>
        <w:gridCol w:w="894"/>
        <w:gridCol w:w="1106"/>
      </w:tblGrid>
      <w:tr w:rsidR="00F62FE5" w:rsidRPr="004462E8" w14:paraId="41481BC4" w14:textId="77777777">
        <w:tc>
          <w:tcPr>
            <w:tcW w:w="805" w:type="dxa"/>
            <w:tcBorders>
              <w:top w:val="single" w:sz="4" w:space="0" w:color="000000"/>
              <w:left w:val="single" w:sz="4" w:space="0" w:color="000000"/>
              <w:bottom w:val="single" w:sz="4" w:space="0" w:color="000000"/>
              <w:right w:val="single" w:sz="4" w:space="0" w:color="000000"/>
            </w:tcBorders>
          </w:tcPr>
          <w:p w14:paraId="777E6DEA" w14:textId="77777777" w:rsidR="00F62FE5" w:rsidRPr="004462E8" w:rsidRDefault="00A66A4B">
            <w:pPr>
              <w:rPr>
                <w:b/>
                <w:lang w:val="es-PE"/>
              </w:rPr>
            </w:pPr>
            <w:r w:rsidRPr="004462E8">
              <w:rPr>
                <w:b/>
                <w:lang w:val="es-PE"/>
              </w:rPr>
              <w:t>Tiempo</w:t>
            </w:r>
          </w:p>
        </w:tc>
        <w:tc>
          <w:tcPr>
            <w:tcW w:w="1178" w:type="dxa"/>
            <w:tcBorders>
              <w:top w:val="single" w:sz="4" w:space="0" w:color="000000"/>
              <w:left w:val="single" w:sz="4" w:space="0" w:color="000000"/>
              <w:bottom w:val="single" w:sz="4" w:space="0" w:color="000000"/>
              <w:right w:val="single" w:sz="4" w:space="0" w:color="000000"/>
            </w:tcBorders>
          </w:tcPr>
          <w:p w14:paraId="484B8F3C" w14:textId="77777777" w:rsidR="00F62FE5" w:rsidRPr="004462E8" w:rsidRDefault="00A66A4B">
            <w:pPr>
              <w:jc w:val="center"/>
              <w:rPr>
                <w:b/>
                <w:lang w:val="es-PE"/>
              </w:rPr>
            </w:pPr>
            <w:r w:rsidRPr="004462E8">
              <w:rPr>
                <w:b/>
                <w:lang w:val="es-PE"/>
              </w:rPr>
              <w:t>domingo</w:t>
            </w:r>
          </w:p>
        </w:tc>
        <w:tc>
          <w:tcPr>
            <w:tcW w:w="1028" w:type="dxa"/>
            <w:tcBorders>
              <w:top w:val="single" w:sz="4" w:space="0" w:color="000000"/>
              <w:left w:val="single" w:sz="4" w:space="0" w:color="000000"/>
              <w:bottom w:val="single" w:sz="4" w:space="0" w:color="000000"/>
              <w:right w:val="single" w:sz="4" w:space="0" w:color="000000"/>
            </w:tcBorders>
          </w:tcPr>
          <w:p w14:paraId="15C2D9ED" w14:textId="77777777" w:rsidR="00F62FE5" w:rsidRPr="004462E8" w:rsidRDefault="00A66A4B">
            <w:pPr>
              <w:jc w:val="center"/>
              <w:rPr>
                <w:b/>
                <w:lang w:val="es-PE"/>
              </w:rPr>
            </w:pPr>
            <w:r w:rsidRPr="004462E8">
              <w:rPr>
                <w:b/>
                <w:lang w:val="es-PE"/>
              </w:rPr>
              <w:t>lunes</w:t>
            </w:r>
          </w:p>
        </w:tc>
        <w:tc>
          <w:tcPr>
            <w:tcW w:w="1039" w:type="dxa"/>
            <w:tcBorders>
              <w:top w:val="single" w:sz="4" w:space="0" w:color="000000"/>
              <w:left w:val="single" w:sz="4" w:space="0" w:color="000000"/>
              <w:bottom w:val="single" w:sz="4" w:space="0" w:color="000000"/>
              <w:right w:val="single" w:sz="4" w:space="0" w:color="000000"/>
            </w:tcBorders>
          </w:tcPr>
          <w:p w14:paraId="6F2F0680" w14:textId="77777777" w:rsidR="00F62FE5" w:rsidRPr="004462E8" w:rsidRDefault="00A66A4B">
            <w:pPr>
              <w:jc w:val="center"/>
              <w:rPr>
                <w:b/>
                <w:lang w:val="es-PE"/>
              </w:rPr>
            </w:pPr>
            <w:r w:rsidRPr="004462E8">
              <w:rPr>
                <w:b/>
                <w:lang w:val="es-PE"/>
              </w:rPr>
              <w:t>martes</w:t>
            </w:r>
          </w:p>
        </w:tc>
        <w:tc>
          <w:tcPr>
            <w:tcW w:w="1306" w:type="dxa"/>
            <w:tcBorders>
              <w:top w:val="single" w:sz="4" w:space="0" w:color="000000"/>
              <w:left w:val="single" w:sz="4" w:space="0" w:color="000000"/>
              <w:bottom w:val="single" w:sz="4" w:space="0" w:color="000000"/>
              <w:right w:val="single" w:sz="4" w:space="0" w:color="000000"/>
            </w:tcBorders>
          </w:tcPr>
          <w:p w14:paraId="7A195F8C" w14:textId="77777777" w:rsidR="00F62FE5" w:rsidRPr="004462E8" w:rsidRDefault="00A66A4B">
            <w:pPr>
              <w:jc w:val="center"/>
              <w:rPr>
                <w:b/>
                <w:lang w:val="es-PE"/>
              </w:rPr>
            </w:pPr>
            <w:r w:rsidRPr="004462E8">
              <w:rPr>
                <w:b/>
                <w:lang w:val="es-PE"/>
              </w:rPr>
              <w:t>miércoles</w:t>
            </w:r>
          </w:p>
        </w:tc>
        <w:tc>
          <w:tcPr>
            <w:tcW w:w="1150" w:type="dxa"/>
            <w:tcBorders>
              <w:top w:val="single" w:sz="4" w:space="0" w:color="000000"/>
              <w:left w:val="single" w:sz="4" w:space="0" w:color="000000"/>
              <w:bottom w:val="single" w:sz="4" w:space="0" w:color="000000"/>
              <w:right w:val="single" w:sz="4" w:space="0" w:color="000000"/>
            </w:tcBorders>
          </w:tcPr>
          <w:p w14:paraId="3A737239" w14:textId="77777777" w:rsidR="00F62FE5" w:rsidRPr="004462E8" w:rsidRDefault="00A66A4B">
            <w:pPr>
              <w:jc w:val="center"/>
              <w:rPr>
                <w:b/>
                <w:lang w:val="es-PE"/>
              </w:rPr>
            </w:pPr>
            <w:r w:rsidRPr="004462E8">
              <w:rPr>
                <w:b/>
                <w:lang w:val="es-PE"/>
              </w:rPr>
              <w:t>jueves</w:t>
            </w:r>
          </w:p>
        </w:tc>
        <w:tc>
          <w:tcPr>
            <w:tcW w:w="894" w:type="dxa"/>
            <w:tcBorders>
              <w:top w:val="single" w:sz="4" w:space="0" w:color="000000"/>
              <w:left w:val="single" w:sz="4" w:space="0" w:color="000000"/>
              <w:bottom w:val="single" w:sz="4" w:space="0" w:color="000000"/>
              <w:right w:val="single" w:sz="4" w:space="0" w:color="000000"/>
            </w:tcBorders>
          </w:tcPr>
          <w:p w14:paraId="79F1D1FD" w14:textId="77777777" w:rsidR="00F62FE5" w:rsidRPr="004462E8" w:rsidRDefault="00A66A4B">
            <w:pPr>
              <w:jc w:val="center"/>
              <w:rPr>
                <w:b/>
                <w:lang w:val="es-PE"/>
              </w:rPr>
            </w:pPr>
            <w:r w:rsidRPr="004462E8">
              <w:rPr>
                <w:b/>
                <w:lang w:val="es-PE"/>
              </w:rPr>
              <w:t>viernes</w:t>
            </w:r>
          </w:p>
        </w:tc>
        <w:tc>
          <w:tcPr>
            <w:tcW w:w="1106" w:type="dxa"/>
            <w:tcBorders>
              <w:top w:val="single" w:sz="4" w:space="0" w:color="000000"/>
              <w:left w:val="single" w:sz="4" w:space="0" w:color="000000"/>
              <w:bottom w:val="single" w:sz="4" w:space="0" w:color="000000"/>
              <w:right w:val="single" w:sz="4" w:space="0" w:color="000000"/>
            </w:tcBorders>
          </w:tcPr>
          <w:p w14:paraId="4D11DC95" w14:textId="77777777" w:rsidR="00F62FE5" w:rsidRPr="004462E8" w:rsidRDefault="00A66A4B">
            <w:pPr>
              <w:jc w:val="center"/>
              <w:rPr>
                <w:b/>
                <w:lang w:val="es-PE"/>
              </w:rPr>
            </w:pPr>
            <w:r w:rsidRPr="004462E8">
              <w:rPr>
                <w:b/>
                <w:lang w:val="es-PE"/>
              </w:rPr>
              <w:t>sábado</w:t>
            </w:r>
          </w:p>
        </w:tc>
      </w:tr>
      <w:tr w:rsidR="00F62FE5" w:rsidRPr="004462E8" w14:paraId="0A016E2F" w14:textId="77777777">
        <w:tc>
          <w:tcPr>
            <w:tcW w:w="805" w:type="dxa"/>
            <w:tcBorders>
              <w:top w:val="single" w:sz="4" w:space="0" w:color="000000"/>
              <w:left w:val="single" w:sz="4" w:space="0" w:color="000000"/>
              <w:bottom w:val="single" w:sz="4" w:space="0" w:color="000000"/>
              <w:right w:val="single" w:sz="4" w:space="0" w:color="000000"/>
            </w:tcBorders>
          </w:tcPr>
          <w:p w14:paraId="065E0DAA" w14:textId="77777777" w:rsidR="00F62FE5" w:rsidRPr="004462E8" w:rsidRDefault="00A66A4B">
            <w:pPr>
              <w:rPr>
                <w:b/>
                <w:lang w:val="es-PE"/>
              </w:rPr>
            </w:pPr>
            <w:r w:rsidRPr="004462E8">
              <w:rPr>
                <w:b/>
                <w:lang w:val="es-PE"/>
              </w:rPr>
              <w:t>Empezar</w:t>
            </w:r>
          </w:p>
        </w:tc>
        <w:tc>
          <w:tcPr>
            <w:tcW w:w="1178" w:type="dxa"/>
            <w:tcBorders>
              <w:top w:val="single" w:sz="4" w:space="0" w:color="000000"/>
              <w:left w:val="single" w:sz="4" w:space="0" w:color="000000"/>
              <w:bottom w:val="single" w:sz="4" w:space="0" w:color="000000"/>
              <w:right w:val="single" w:sz="4" w:space="0" w:color="000000"/>
            </w:tcBorders>
          </w:tcPr>
          <w:p w14:paraId="613EF5F7" w14:textId="77777777" w:rsidR="00F62FE5" w:rsidRPr="004462E8" w:rsidRDefault="00F62FE5">
            <w:pPr>
              <w:snapToGrid w:val="0"/>
              <w:jc w:val="center"/>
              <w:rPr>
                <w:b/>
                <w:lang w:val="es-PE"/>
              </w:rPr>
            </w:pPr>
          </w:p>
        </w:tc>
        <w:tc>
          <w:tcPr>
            <w:tcW w:w="1028" w:type="dxa"/>
            <w:tcBorders>
              <w:top w:val="single" w:sz="4" w:space="0" w:color="000000"/>
              <w:left w:val="single" w:sz="4" w:space="0" w:color="000000"/>
              <w:bottom w:val="single" w:sz="4" w:space="0" w:color="000000"/>
              <w:right w:val="single" w:sz="4" w:space="0" w:color="000000"/>
            </w:tcBorders>
          </w:tcPr>
          <w:p w14:paraId="476F024F" w14:textId="77777777" w:rsidR="00F62FE5" w:rsidRPr="004462E8" w:rsidRDefault="00F62FE5">
            <w:pPr>
              <w:snapToGrid w:val="0"/>
              <w:jc w:val="center"/>
              <w:rPr>
                <w:lang w:val="es-PE"/>
              </w:rPr>
            </w:pPr>
          </w:p>
        </w:tc>
        <w:tc>
          <w:tcPr>
            <w:tcW w:w="1039" w:type="dxa"/>
            <w:tcBorders>
              <w:top w:val="single" w:sz="4" w:space="0" w:color="000000"/>
              <w:left w:val="single" w:sz="4" w:space="0" w:color="000000"/>
              <w:bottom w:val="single" w:sz="4" w:space="0" w:color="000000"/>
              <w:right w:val="single" w:sz="4" w:space="0" w:color="000000"/>
            </w:tcBorders>
          </w:tcPr>
          <w:p w14:paraId="08B87B07" w14:textId="77777777" w:rsidR="00F62FE5" w:rsidRPr="004462E8" w:rsidRDefault="00F62FE5">
            <w:pPr>
              <w:snapToGrid w:val="0"/>
              <w:jc w:val="center"/>
              <w:rPr>
                <w:lang w:val="es-PE"/>
              </w:rPr>
            </w:pPr>
          </w:p>
        </w:tc>
        <w:tc>
          <w:tcPr>
            <w:tcW w:w="1306" w:type="dxa"/>
            <w:tcBorders>
              <w:top w:val="single" w:sz="4" w:space="0" w:color="000000"/>
              <w:left w:val="single" w:sz="4" w:space="0" w:color="000000"/>
              <w:bottom w:val="single" w:sz="4" w:space="0" w:color="000000"/>
              <w:right w:val="single" w:sz="4" w:space="0" w:color="000000"/>
            </w:tcBorders>
          </w:tcPr>
          <w:p w14:paraId="2854655B" w14:textId="77777777" w:rsidR="00F62FE5" w:rsidRPr="004462E8" w:rsidRDefault="00F62FE5">
            <w:pPr>
              <w:snapToGrid w:val="0"/>
              <w:jc w:val="center"/>
              <w:rPr>
                <w:lang w:val="es-PE"/>
              </w:rPr>
            </w:pPr>
          </w:p>
        </w:tc>
        <w:tc>
          <w:tcPr>
            <w:tcW w:w="1150" w:type="dxa"/>
            <w:tcBorders>
              <w:top w:val="single" w:sz="4" w:space="0" w:color="000000"/>
              <w:left w:val="single" w:sz="4" w:space="0" w:color="000000"/>
              <w:bottom w:val="single" w:sz="4" w:space="0" w:color="000000"/>
              <w:right w:val="single" w:sz="4" w:space="0" w:color="000000"/>
            </w:tcBorders>
          </w:tcPr>
          <w:p w14:paraId="48C1152C" w14:textId="77777777" w:rsidR="00F62FE5" w:rsidRPr="004462E8" w:rsidRDefault="00F62FE5">
            <w:pPr>
              <w:snapToGrid w:val="0"/>
              <w:jc w:val="center"/>
              <w:rPr>
                <w:lang w:val="es-PE"/>
              </w:rPr>
            </w:pPr>
          </w:p>
        </w:tc>
        <w:tc>
          <w:tcPr>
            <w:tcW w:w="894" w:type="dxa"/>
            <w:tcBorders>
              <w:top w:val="single" w:sz="4" w:space="0" w:color="000000"/>
              <w:left w:val="single" w:sz="4" w:space="0" w:color="000000"/>
              <w:bottom w:val="single" w:sz="4" w:space="0" w:color="000000"/>
              <w:right w:val="single" w:sz="4" w:space="0" w:color="000000"/>
            </w:tcBorders>
          </w:tcPr>
          <w:p w14:paraId="32560CE8" w14:textId="77777777" w:rsidR="00F62FE5" w:rsidRPr="004462E8" w:rsidRDefault="00F62FE5">
            <w:pPr>
              <w:snapToGrid w:val="0"/>
              <w:jc w:val="center"/>
              <w:rPr>
                <w:lang w:val="es-PE"/>
              </w:rPr>
            </w:pPr>
          </w:p>
        </w:tc>
        <w:tc>
          <w:tcPr>
            <w:tcW w:w="1106" w:type="dxa"/>
            <w:tcBorders>
              <w:top w:val="single" w:sz="4" w:space="0" w:color="000000"/>
              <w:left w:val="single" w:sz="4" w:space="0" w:color="000000"/>
              <w:bottom w:val="single" w:sz="4" w:space="0" w:color="000000"/>
              <w:right w:val="single" w:sz="4" w:space="0" w:color="000000"/>
            </w:tcBorders>
          </w:tcPr>
          <w:p w14:paraId="2A39E48B" w14:textId="77777777" w:rsidR="00F62FE5" w:rsidRPr="004462E8" w:rsidRDefault="00F62FE5">
            <w:pPr>
              <w:snapToGrid w:val="0"/>
              <w:jc w:val="center"/>
              <w:rPr>
                <w:lang w:val="es-PE"/>
              </w:rPr>
            </w:pPr>
          </w:p>
        </w:tc>
      </w:tr>
      <w:tr w:rsidR="00F62FE5" w:rsidRPr="004462E8" w14:paraId="4BC67CFC" w14:textId="77777777">
        <w:tc>
          <w:tcPr>
            <w:tcW w:w="805" w:type="dxa"/>
            <w:tcBorders>
              <w:top w:val="single" w:sz="4" w:space="0" w:color="000000"/>
              <w:left w:val="single" w:sz="4" w:space="0" w:color="000000"/>
              <w:bottom w:val="single" w:sz="4" w:space="0" w:color="000000"/>
              <w:right w:val="single" w:sz="4" w:space="0" w:color="000000"/>
            </w:tcBorders>
          </w:tcPr>
          <w:p w14:paraId="73ECB1B3" w14:textId="77777777" w:rsidR="00F62FE5" w:rsidRPr="004462E8" w:rsidRDefault="00A66A4B">
            <w:pPr>
              <w:rPr>
                <w:b/>
                <w:lang w:val="es-PE"/>
              </w:rPr>
            </w:pPr>
            <w:r w:rsidRPr="004462E8">
              <w:rPr>
                <w:b/>
                <w:lang w:val="es-PE"/>
              </w:rPr>
              <w:t>Fin</w:t>
            </w:r>
          </w:p>
        </w:tc>
        <w:tc>
          <w:tcPr>
            <w:tcW w:w="1178" w:type="dxa"/>
            <w:tcBorders>
              <w:top w:val="single" w:sz="4" w:space="0" w:color="000000"/>
              <w:left w:val="single" w:sz="4" w:space="0" w:color="000000"/>
              <w:bottom w:val="single" w:sz="4" w:space="0" w:color="000000"/>
              <w:right w:val="single" w:sz="4" w:space="0" w:color="000000"/>
            </w:tcBorders>
          </w:tcPr>
          <w:p w14:paraId="5A6A1BCF" w14:textId="77777777" w:rsidR="00F62FE5" w:rsidRPr="004462E8" w:rsidRDefault="00F62FE5">
            <w:pPr>
              <w:snapToGrid w:val="0"/>
              <w:jc w:val="center"/>
              <w:rPr>
                <w:b/>
                <w:lang w:val="es-PE"/>
              </w:rPr>
            </w:pPr>
          </w:p>
        </w:tc>
        <w:tc>
          <w:tcPr>
            <w:tcW w:w="1028" w:type="dxa"/>
            <w:tcBorders>
              <w:top w:val="single" w:sz="4" w:space="0" w:color="000000"/>
              <w:left w:val="single" w:sz="4" w:space="0" w:color="000000"/>
              <w:bottom w:val="single" w:sz="4" w:space="0" w:color="000000"/>
              <w:right w:val="single" w:sz="4" w:space="0" w:color="000000"/>
            </w:tcBorders>
          </w:tcPr>
          <w:p w14:paraId="33B9B0BD" w14:textId="77777777" w:rsidR="00F62FE5" w:rsidRPr="004462E8" w:rsidRDefault="00F62FE5">
            <w:pPr>
              <w:snapToGrid w:val="0"/>
              <w:jc w:val="center"/>
              <w:rPr>
                <w:lang w:val="es-PE"/>
              </w:rPr>
            </w:pPr>
          </w:p>
        </w:tc>
        <w:tc>
          <w:tcPr>
            <w:tcW w:w="1039" w:type="dxa"/>
            <w:tcBorders>
              <w:top w:val="single" w:sz="4" w:space="0" w:color="000000"/>
              <w:left w:val="single" w:sz="4" w:space="0" w:color="000000"/>
              <w:bottom w:val="single" w:sz="4" w:space="0" w:color="000000"/>
              <w:right w:val="single" w:sz="4" w:space="0" w:color="000000"/>
            </w:tcBorders>
          </w:tcPr>
          <w:p w14:paraId="75BE02A5" w14:textId="77777777" w:rsidR="00F62FE5" w:rsidRPr="004462E8" w:rsidRDefault="00F62FE5">
            <w:pPr>
              <w:snapToGrid w:val="0"/>
              <w:jc w:val="center"/>
              <w:rPr>
                <w:lang w:val="es-PE"/>
              </w:rPr>
            </w:pPr>
          </w:p>
        </w:tc>
        <w:tc>
          <w:tcPr>
            <w:tcW w:w="1306" w:type="dxa"/>
            <w:tcBorders>
              <w:top w:val="single" w:sz="4" w:space="0" w:color="000000"/>
              <w:left w:val="single" w:sz="4" w:space="0" w:color="000000"/>
              <w:bottom w:val="single" w:sz="4" w:space="0" w:color="000000"/>
              <w:right w:val="single" w:sz="4" w:space="0" w:color="000000"/>
            </w:tcBorders>
          </w:tcPr>
          <w:p w14:paraId="157878CB" w14:textId="77777777" w:rsidR="00F62FE5" w:rsidRPr="004462E8" w:rsidRDefault="00F62FE5">
            <w:pPr>
              <w:snapToGrid w:val="0"/>
              <w:jc w:val="center"/>
              <w:rPr>
                <w:lang w:val="es-PE"/>
              </w:rPr>
            </w:pPr>
          </w:p>
        </w:tc>
        <w:tc>
          <w:tcPr>
            <w:tcW w:w="1150" w:type="dxa"/>
            <w:tcBorders>
              <w:top w:val="single" w:sz="4" w:space="0" w:color="000000"/>
              <w:left w:val="single" w:sz="4" w:space="0" w:color="000000"/>
              <w:bottom w:val="single" w:sz="4" w:space="0" w:color="000000"/>
              <w:right w:val="single" w:sz="4" w:space="0" w:color="000000"/>
            </w:tcBorders>
          </w:tcPr>
          <w:p w14:paraId="49BEB92B" w14:textId="77777777" w:rsidR="00F62FE5" w:rsidRPr="004462E8" w:rsidRDefault="00F62FE5">
            <w:pPr>
              <w:snapToGrid w:val="0"/>
              <w:jc w:val="center"/>
              <w:rPr>
                <w:lang w:val="es-PE"/>
              </w:rPr>
            </w:pPr>
          </w:p>
        </w:tc>
        <w:tc>
          <w:tcPr>
            <w:tcW w:w="894" w:type="dxa"/>
            <w:tcBorders>
              <w:top w:val="single" w:sz="4" w:space="0" w:color="000000"/>
              <w:left w:val="single" w:sz="4" w:space="0" w:color="000000"/>
              <w:bottom w:val="single" w:sz="4" w:space="0" w:color="000000"/>
              <w:right w:val="single" w:sz="4" w:space="0" w:color="000000"/>
            </w:tcBorders>
          </w:tcPr>
          <w:p w14:paraId="34D29404" w14:textId="77777777" w:rsidR="00F62FE5" w:rsidRPr="004462E8" w:rsidRDefault="00F62FE5">
            <w:pPr>
              <w:snapToGrid w:val="0"/>
              <w:jc w:val="center"/>
              <w:rPr>
                <w:lang w:val="es-PE"/>
              </w:rPr>
            </w:pPr>
          </w:p>
        </w:tc>
        <w:tc>
          <w:tcPr>
            <w:tcW w:w="1106" w:type="dxa"/>
            <w:tcBorders>
              <w:top w:val="single" w:sz="4" w:space="0" w:color="000000"/>
              <w:left w:val="single" w:sz="4" w:space="0" w:color="000000"/>
              <w:bottom w:val="single" w:sz="4" w:space="0" w:color="000000"/>
              <w:right w:val="single" w:sz="4" w:space="0" w:color="000000"/>
            </w:tcBorders>
          </w:tcPr>
          <w:p w14:paraId="0D853ECA" w14:textId="77777777" w:rsidR="00F62FE5" w:rsidRPr="004462E8" w:rsidRDefault="00F62FE5">
            <w:pPr>
              <w:snapToGrid w:val="0"/>
              <w:jc w:val="center"/>
              <w:rPr>
                <w:lang w:val="es-PE"/>
              </w:rPr>
            </w:pPr>
          </w:p>
        </w:tc>
      </w:tr>
    </w:tbl>
    <w:p w14:paraId="18B5B2D4" w14:textId="77777777" w:rsidR="00F62FE5" w:rsidRPr="004462E8" w:rsidRDefault="00A66A4B">
      <w:pPr>
        <w:rPr>
          <w:lang w:val="es-PE"/>
        </w:rPr>
      </w:pPr>
      <w:r w:rsidRPr="004462E8">
        <w:rPr>
          <w:lang w:val="es-PE"/>
        </w:rPr>
        <w:tab/>
      </w:r>
    </w:p>
    <w:p w14:paraId="0D9A3C58" w14:textId="77777777" w:rsidR="00F62FE5" w:rsidRPr="004462E8" w:rsidRDefault="00A66A4B">
      <w:pPr>
        <w:ind w:left="720"/>
        <w:rPr>
          <w:lang w:val="es-PE"/>
        </w:rPr>
      </w:pPr>
      <w:r w:rsidRPr="004462E8">
        <w:rPr>
          <w:iCs/>
          <w:lang w:val="es-PE"/>
        </w:rPr>
        <w:t xml:space="preserve">Los proveedores de servicios para este servicio siguen el proceso de notificación de cambios. Esto </w:t>
      </w:r>
      <w:proofErr w:type="gramStart"/>
      <w:r w:rsidRPr="004462E8">
        <w:rPr>
          <w:iCs/>
          <w:lang w:val="es-PE"/>
        </w:rPr>
        <w:t xml:space="preserve">esta </w:t>
      </w:r>
      <w:proofErr w:type="spellStart"/>
      <w:r w:rsidRPr="004462E8">
        <w:rPr>
          <w:iCs/>
          <w:lang w:val="es-PE"/>
        </w:rPr>
        <w:t>documentado</w:t>
      </w:r>
      <w:proofErr w:type="gramEnd"/>
      <w:hyperlink r:id="rId8">
        <w:r w:rsidRPr="004462E8">
          <w:rPr>
            <w:rStyle w:val="Hipervnculo"/>
            <w:i/>
            <w:iCs/>
            <w:lang w:val="es-PE"/>
          </w:rPr>
          <w:t>http</w:t>
        </w:r>
        <w:proofErr w:type="spellEnd"/>
        <w:r w:rsidRPr="004462E8">
          <w:rPr>
            <w:rStyle w:val="Hipervnculo"/>
            <w:i/>
            <w:iCs/>
            <w:lang w:val="es-PE"/>
          </w:rPr>
          <w:t>: // nombre</w:t>
        </w:r>
      </w:hyperlink>
      <w:r w:rsidRPr="004462E8">
        <w:rPr>
          <w:i/>
          <w:iCs/>
          <w:lang w:val="es-PE"/>
        </w:rPr>
        <w:t>.</w:t>
      </w:r>
      <w:r w:rsidRPr="004462E8">
        <w:rPr>
          <w:iCs/>
          <w:lang w:val="es-PE"/>
        </w:rPr>
        <w:t xml:space="preserve"> </w:t>
      </w:r>
    </w:p>
    <w:p w14:paraId="7109C0D3" w14:textId="77777777" w:rsidR="00F62FE5" w:rsidRPr="004462E8" w:rsidRDefault="00F62FE5">
      <w:pPr>
        <w:ind w:left="720"/>
        <w:rPr>
          <w:iCs/>
          <w:lang w:val="es-PE"/>
        </w:rPr>
      </w:pPr>
    </w:p>
    <w:p w14:paraId="1E375C16" w14:textId="77777777" w:rsidR="00F62FE5" w:rsidRPr="004462E8" w:rsidRDefault="00A66A4B">
      <w:pPr>
        <w:ind w:left="720"/>
        <w:rPr>
          <w:lang w:val="es-PE"/>
        </w:rPr>
      </w:pPr>
      <w:r w:rsidRPr="004462E8">
        <w:rPr>
          <w:i/>
          <w:iCs/>
          <w:color w:val="0000FF"/>
          <w:lang w:val="es-PE"/>
        </w:rPr>
        <w:t>Opcional:</w:t>
      </w:r>
      <w:r w:rsidRPr="004462E8">
        <w:rPr>
          <w:iCs/>
          <w:lang w:val="es-PE"/>
        </w:rPr>
        <w:t xml:space="preserve"> </w:t>
      </w:r>
    </w:p>
    <w:p w14:paraId="4CD46E2A" w14:textId="77777777" w:rsidR="00F62FE5" w:rsidRPr="004462E8" w:rsidRDefault="00A66A4B">
      <w:pPr>
        <w:ind w:left="720"/>
        <w:rPr>
          <w:iCs/>
          <w:lang w:val="es-PE"/>
        </w:rPr>
      </w:pPr>
      <w:r w:rsidRPr="004462E8">
        <w:rPr>
          <w:iCs/>
          <w:lang w:val="es-PE"/>
        </w:rPr>
        <w:t xml:space="preserve">Los proveedores de servicios para este servicio se adhieren a una regla de </w:t>
      </w:r>
      <w:r w:rsidRPr="004462E8">
        <w:rPr>
          <w:iCs/>
          <w:lang w:val="es-PE"/>
        </w:rPr>
        <w:t>"no cambio" durante el siguiente calendario académico:</w:t>
      </w:r>
    </w:p>
    <w:p w14:paraId="0C93279D" w14:textId="77777777" w:rsidR="00F62FE5" w:rsidRPr="004462E8" w:rsidRDefault="00A66A4B">
      <w:pPr>
        <w:numPr>
          <w:ilvl w:val="0"/>
          <w:numId w:val="11"/>
        </w:numPr>
        <w:tabs>
          <w:tab w:val="left" w:pos="1440"/>
        </w:tabs>
        <w:ind w:left="1440"/>
        <w:rPr>
          <w:iCs/>
          <w:lang w:val="es-PE"/>
        </w:rPr>
      </w:pPr>
      <w:r w:rsidRPr="004462E8">
        <w:rPr>
          <w:iCs/>
          <w:lang w:val="es-PE"/>
        </w:rPr>
        <w:t>La semana previa y de las finales</w:t>
      </w:r>
    </w:p>
    <w:p w14:paraId="04636A29" w14:textId="77777777" w:rsidR="00F62FE5" w:rsidRPr="004462E8" w:rsidRDefault="00A66A4B">
      <w:pPr>
        <w:numPr>
          <w:ilvl w:val="0"/>
          <w:numId w:val="11"/>
        </w:numPr>
        <w:tabs>
          <w:tab w:val="left" w:pos="1440"/>
        </w:tabs>
        <w:ind w:left="1440"/>
        <w:rPr>
          <w:iCs/>
          <w:lang w:val="es-PE"/>
        </w:rPr>
      </w:pPr>
      <w:r w:rsidRPr="004462E8">
        <w:rPr>
          <w:iCs/>
          <w:lang w:val="es-PE"/>
        </w:rPr>
        <w:t>La primera semana del trimestre</w:t>
      </w:r>
    </w:p>
    <w:p w14:paraId="74EC5C3E" w14:textId="77777777" w:rsidR="00F62FE5" w:rsidRPr="004462E8" w:rsidRDefault="00A66A4B">
      <w:pPr>
        <w:numPr>
          <w:ilvl w:val="0"/>
          <w:numId w:val="11"/>
        </w:numPr>
        <w:tabs>
          <w:tab w:val="left" w:pos="1440"/>
        </w:tabs>
        <w:ind w:left="1440"/>
        <w:rPr>
          <w:i/>
          <w:iCs/>
          <w:color w:val="0000FF"/>
          <w:lang w:val="es-PE"/>
        </w:rPr>
      </w:pPr>
      <w:r w:rsidRPr="004462E8">
        <w:rPr>
          <w:i/>
          <w:iCs/>
          <w:color w:val="0000FF"/>
          <w:lang w:val="es-PE"/>
        </w:rPr>
        <w:t>Cite otros ejemplos sin cambios a los que se adhiere este servicio</w:t>
      </w:r>
    </w:p>
    <w:p w14:paraId="2A9B9CF4" w14:textId="77777777" w:rsidR="00F62FE5" w:rsidRPr="004462E8" w:rsidRDefault="00F62FE5">
      <w:pPr>
        <w:ind w:left="360"/>
        <w:rPr>
          <w:i/>
          <w:iCs/>
          <w:color w:val="0000FF"/>
          <w:lang w:val="es-PE"/>
        </w:rPr>
      </w:pPr>
    </w:p>
    <w:p w14:paraId="2EE0FBCE" w14:textId="77777777" w:rsidR="00F62FE5" w:rsidRPr="004462E8" w:rsidRDefault="00A66A4B">
      <w:pPr>
        <w:ind w:left="666"/>
        <w:rPr>
          <w:iCs/>
          <w:lang w:val="es-PE"/>
        </w:rPr>
      </w:pPr>
      <w:r w:rsidRPr="004462E8">
        <w:rPr>
          <w:iCs/>
          <w:lang w:val="es-PE"/>
        </w:rPr>
        <w:t>Cambios que el Gerente de Cambios y / o la Junta Asesora de Cambios</w:t>
      </w:r>
      <w:r w:rsidRPr="004462E8">
        <w:rPr>
          <w:iCs/>
          <w:lang w:val="es-PE"/>
        </w:rPr>
        <w:t xml:space="preserve"> y el </w:t>
      </w:r>
      <w:r w:rsidRPr="004462E8">
        <w:rPr>
          <w:i/>
          <w:iCs/>
          <w:color w:val="0000FF"/>
          <w:lang w:val="es-PE"/>
        </w:rPr>
        <w:t xml:space="preserve">Nombre del </w:t>
      </w:r>
      <w:proofErr w:type="spellStart"/>
      <w:r w:rsidRPr="004462E8">
        <w:rPr>
          <w:i/>
          <w:iCs/>
          <w:color w:val="0000FF"/>
          <w:lang w:val="es-PE"/>
        </w:rPr>
        <w:t>Servicio</w:t>
      </w:r>
      <w:r w:rsidRPr="004462E8">
        <w:rPr>
          <w:iCs/>
          <w:lang w:val="es-PE"/>
        </w:rPr>
        <w:t>El</w:t>
      </w:r>
      <w:proofErr w:type="spellEnd"/>
      <w:r w:rsidRPr="004462E8">
        <w:rPr>
          <w:iCs/>
          <w:lang w:val="es-PE"/>
        </w:rPr>
        <w:t xml:space="preserve"> equipo de servicio ha aprobado en función de la frecuencia y el riesgo que se denominan cambios preaprobados. Cambios preaprobados decididos </w:t>
      </w:r>
      <w:proofErr w:type="spellStart"/>
      <w:r w:rsidRPr="004462E8">
        <w:rPr>
          <w:iCs/>
          <w:lang w:val="es-PE"/>
        </w:rPr>
        <w:t>para</w:t>
      </w:r>
      <w:r w:rsidRPr="004462E8">
        <w:rPr>
          <w:i/>
          <w:iCs/>
          <w:color w:val="0000FF"/>
          <w:lang w:val="es-PE"/>
        </w:rPr>
        <w:t>Nombre</w:t>
      </w:r>
      <w:proofErr w:type="spellEnd"/>
      <w:r w:rsidRPr="004462E8">
        <w:rPr>
          <w:i/>
          <w:iCs/>
          <w:color w:val="0000FF"/>
          <w:lang w:val="es-PE"/>
        </w:rPr>
        <w:t xml:space="preserve"> del Servicio</w:t>
      </w:r>
      <w:r w:rsidRPr="004462E8">
        <w:rPr>
          <w:iCs/>
          <w:lang w:val="es-PE"/>
        </w:rPr>
        <w:t xml:space="preserve"> están: </w:t>
      </w:r>
      <w:r w:rsidRPr="004462E8">
        <w:rPr>
          <w:i/>
          <w:iCs/>
          <w:color w:val="0000FF"/>
          <w:lang w:val="es-PE"/>
        </w:rPr>
        <w:t>Enlace a la página del catálogo de servicios internos</w:t>
      </w:r>
    </w:p>
    <w:p w14:paraId="0828EC66" w14:textId="77777777" w:rsidR="00F62FE5" w:rsidRPr="004462E8" w:rsidRDefault="00F62FE5">
      <w:pPr>
        <w:ind w:left="720"/>
        <w:rPr>
          <w:i/>
          <w:iCs/>
          <w:color w:val="0000FF"/>
          <w:lang w:val="es-PE"/>
        </w:rPr>
      </w:pPr>
    </w:p>
    <w:p w14:paraId="2501C160" w14:textId="77777777" w:rsidR="00F62FE5" w:rsidRPr="004462E8" w:rsidRDefault="00A66A4B">
      <w:pPr>
        <w:pStyle w:val="Ttulo2"/>
        <w:rPr>
          <w:lang w:val="es-PE"/>
        </w:rPr>
      </w:pPr>
      <w:bookmarkStart w:id="21" w:name="__RefHeading___Toc171659840"/>
      <w:bookmarkEnd w:id="21"/>
      <w:r w:rsidRPr="004462E8">
        <w:rPr>
          <w:lang w:val="es-PE"/>
        </w:rPr>
        <w:t>E</w:t>
      </w:r>
      <w:r w:rsidRPr="004462E8">
        <w:rPr>
          <w:lang w:val="es-PE"/>
        </w:rPr>
        <w:t>xcepciones de servicio</w:t>
      </w:r>
    </w:p>
    <w:p w14:paraId="4F643BD1" w14:textId="77777777" w:rsidR="00F62FE5" w:rsidRPr="004462E8" w:rsidRDefault="00A66A4B">
      <w:pPr>
        <w:ind w:left="792"/>
        <w:jc w:val="both"/>
        <w:rPr>
          <w:color w:val="FF6600"/>
          <w:lang w:val="es-PE"/>
        </w:rPr>
      </w:pPr>
      <w:r w:rsidRPr="004462E8">
        <w:rPr>
          <w:lang w:val="es-PE"/>
        </w:rPr>
        <w:t xml:space="preserve">Cualquier desviación de las políticas, procesos y estándares actuales se indica mediante las siguientes Excepciones de servicio: </w:t>
      </w:r>
      <w:r w:rsidRPr="004462E8">
        <w:rPr>
          <w:i/>
          <w:iCs/>
          <w:color w:val="0000FF"/>
          <w:lang w:val="es-PE"/>
        </w:rPr>
        <w:t>(Inserte excepciones especiales relacionadas con las horas y fechas de cobertura; por lo general, el pri</w:t>
      </w:r>
      <w:r w:rsidRPr="004462E8">
        <w:rPr>
          <w:i/>
          <w:iCs/>
          <w:color w:val="0000FF"/>
          <w:lang w:val="es-PE"/>
        </w:rPr>
        <w:t>mer elemento es el único elemento de la lista)</w:t>
      </w:r>
    </w:p>
    <w:p w14:paraId="5357A6C1" w14:textId="77777777" w:rsidR="00F62FE5" w:rsidRPr="004462E8" w:rsidRDefault="00F62FE5">
      <w:pPr>
        <w:ind w:left="792"/>
        <w:rPr>
          <w:color w:val="FF6600"/>
          <w:lang w:val="es-PE"/>
        </w:rPr>
      </w:pPr>
    </w:p>
    <w:tbl>
      <w:tblPr>
        <w:tblW w:w="8658" w:type="dxa"/>
        <w:tblInd w:w="805" w:type="dxa"/>
        <w:tblLayout w:type="fixed"/>
        <w:tblLook w:val="0000" w:firstRow="0" w:lastRow="0" w:firstColumn="0" w:lastColumn="0" w:noHBand="0" w:noVBand="0"/>
      </w:tblPr>
      <w:tblGrid>
        <w:gridCol w:w="2304"/>
        <w:gridCol w:w="2106"/>
        <w:gridCol w:w="4248"/>
      </w:tblGrid>
      <w:tr w:rsidR="00F62FE5" w:rsidRPr="004462E8" w14:paraId="29251FC1" w14:textId="77777777">
        <w:tc>
          <w:tcPr>
            <w:tcW w:w="2304" w:type="dxa"/>
            <w:tcBorders>
              <w:top w:val="single" w:sz="4" w:space="0" w:color="000000"/>
              <w:left w:val="single" w:sz="4" w:space="0" w:color="000000"/>
              <w:bottom w:val="single" w:sz="4" w:space="0" w:color="000000"/>
              <w:right w:val="single" w:sz="4" w:space="0" w:color="000000"/>
            </w:tcBorders>
          </w:tcPr>
          <w:p w14:paraId="64A50E2E" w14:textId="77777777" w:rsidR="00F62FE5" w:rsidRPr="004462E8" w:rsidRDefault="00A66A4B">
            <w:pPr>
              <w:rPr>
                <w:b/>
                <w:bCs/>
                <w:color w:val="000000"/>
                <w:lang w:val="es-PE"/>
              </w:rPr>
            </w:pPr>
            <w:r w:rsidRPr="004462E8">
              <w:rPr>
                <w:b/>
                <w:bCs/>
                <w:color w:val="000000"/>
                <w:lang w:val="es-PE"/>
              </w:rPr>
              <w:t xml:space="preserve">Excepción </w:t>
            </w:r>
          </w:p>
        </w:tc>
        <w:tc>
          <w:tcPr>
            <w:tcW w:w="2106" w:type="dxa"/>
            <w:tcBorders>
              <w:top w:val="single" w:sz="4" w:space="0" w:color="000000"/>
              <w:left w:val="single" w:sz="4" w:space="0" w:color="000000"/>
              <w:bottom w:val="single" w:sz="4" w:space="0" w:color="000000"/>
              <w:right w:val="single" w:sz="4" w:space="0" w:color="000000"/>
            </w:tcBorders>
          </w:tcPr>
          <w:p w14:paraId="2B1DF346" w14:textId="77777777" w:rsidR="00F62FE5" w:rsidRPr="004462E8" w:rsidRDefault="00A66A4B">
            <w:pPr>
              <w:rPr>
                <w:b/>
                <w:bCs/>
                <w:color w:val="000000"/>
                <w:lang w:val="es-PE"/>
              </w:rPr>
            </w:pPr>
            <w:r w:rsidRPr="004462E8">
              <w:rPr>
                <w:b/>
                <w:bCs/>
                <w:color w:val="000000"/>
                <w:lang w:val="es-PE"/>
              </w:rPr>
              <w:t>Parámetros</w:t>
            </w:r>
          </w:p>
        </w:tc>
        <w:tc>
          <w:tcPr>
            <w:tcW w:w="4248" w:type="dxa"/>
            <w:tcBorders>
              <w:top w:val="single" w:sz="4" w:space="0" w:color="000000"/>
              <w:left w:val="single" w:sz="4" w:space="0" w:color="000000"/>
              <w:bottom w:val="single" w:sz="4" w:space="0" w:color="000000"/>
              <w:right w:val="single" w:sz="4" w:space="0" w:color="000000"/>
            </w:tcBorders>
          </w:tcPr>
          <w:p w14:paraId="370A81DF" w14:textId="77777777" w:rsidR="00F62FE5" w:rsidRPr="004462E8" w:rsidRDefault="00A66A4B">
            <w:pPr>
              <w:rPr>
                <w:b/>
                <w:bCs/>
                <w:color w:val="000000"/>
                <w:lang w:val="es-PE"/>
              </w:rPr>
            </w:pPr>
            <w:r w:rsidRPr="004462E8">
              <w:rPr>
                <w:b/>
                <w:bCs/>
                <w:color w:val="000000"/>
                <w:lang w:val="es-PE"/>
              </w:rPr>
              <w:t>Cobertura</w:t>
            </w:r>
          </w:p>
        </w:tc>
      </w:tr>
      <w:tr w:rsidR="00F62FE5" w:rsidRPr="004462E8" w14:paraId="06EC1959" w14:textId="77777777">
        <w:tc>
          <w:tcPr>
            <w:tcW w:w="2304" w:type="dxa"/>
            <w:tcBorders>
              <w:top w:val="single" w:sz="4" w:space="0" w:color="000000"/>
              <w:left w:val="single" w:sz="4" w:space="0" w:color="000000"/>
              <w:bottom w:val="single" w:sz="4" w:space="0" w:color="000000"/>
              <w:right w:val="single" w:sz="4" w:space="0" w:color="000000"/>
            </w:tcBorders>
          </w:tcPr>
          <w:p w14:paraId="103FFD7E" w14:textId="77777777" w:rsidR="00F62FE5" w:rsidRPr="004462E8" w:rsidRDefault="00A66A4B">
            <w:pPr>
              <w:rPr>
                <w:i/>
                <w:color w:val="FF00FF"/>
                <w:lang w:val="es-PE"/>
              </w:rPr>
            </w:pPr>
            <w:r w:rsidRPr="004462E8">
              <w:rPr>
                <w:i/>
                <w:color w:val="FF00FF"/>
                <w:lang w:val="es-PE"/>
              </w:rPr>
              <w:t>Vacaciones universitarias</w:t>
            </w:r>
          </w:p>
        </w:tc>
        <w:tc>
          <w:tcPr>
            <w:tcW w:w="2106" w:type="dxa"/>
            <w:tcBorders>
              <w:top w:val="single" w:sz="4" w:space="0" w:color="000000"/>
              <w:left w:val="single" w:sz="4" w:space="0" w:color="000000"/>
              <w:bottom w:val="single" w:sz="4" w:space="0" w:color="000000"/>
              <w:right w:val="single" w:sz="4" w:space="0" w:color="000000"/>
            </w:tcBorders>
          </w:tcPr>
          <w:p w14:paraId="01EC7E1A" w14:textId="77777777" w:rsidR="00F62FE5" w:rsidRPr="004462E8" w:rsidRDefault="00A66A4B">
            <w:pPr>
              <w:rPr>
                <w:i/>
                <w:color w:val="FF00FF"/>
                <w:lang w:val="es-PE"/>
              </w:rPr>
            </w:pPr>
            <w:r w:rsidRPr="004462E8">
              <w:rPr>
                <w:i/>
                <w:color w:val="FF00FF"/>
                <w:lang w:val="es-PE"/>
              </w:rPr>
              <w:t>N / A</w:t>
            </w:r>
          </w:p>
        </w:tc>
        <w:tc>
          <w:tcPr>
            <w:tcW w:w="4248" w:type="dxa"/>
            <w:tcBorders>
              <w:top w:val="single" w:sz="4" w:space="0" w:color="000000"/>
              <w:left w:val="single" w:sz="4" w:space="0" w:color="000000"/>
              <w:bottom w:val="single" w:sz="4" w:space="0" w:color="000000"/>
              <w:right w:val="single" w:sz="4" w:space="0" w:color="000000"/>
            </w:tcBorders>
          </w:tcPr>
          <w:p w14:paraId="68AE6F2E" w14:textId="77777777" w:rsidR="00F62FE5" w:rsidRPr="004462E8" w:rsidRDefault="00A66A4B">
            <w:pPr>
              <w:rPr>
                <w:i/>
                <w:color w:val="FF00FF"/>
                <w:lang w:val="es-PE"/>
              </w:rPr>
            </w:pPr>
            <w:r w:rsidRPr="004462E8">
              <w:rPr>
                <w:i/>
                <w:color w:val="FF00FF"/>
                <w:lang w:val="es-PE"/>
              </w:rPr>
              <w:t>Sin cobertura</w:t>
            </w:r>
          </w:p>
        </w:tc>
      </w:tr>
      <w:tr w:rsidR="00F62FE5" w:rsidRPr="004462E8" w14:paraId="181A0A70" w14:textId="77777777">
        <w:tc>
          <w:tcPr>
            <w:tcW w:w="2304" w:type="dxa"/>
            <w:tcBorders>
              <w:top w:val="single" w:sz="4" w:space="0" w:color="000000"/>
              <w:left w:val="single" w:sz="4" w:space="0" w:color="000000"/>
              <w:bottom w:val="single" w:sz="4" w:space="0" w:color="000000"/>
              <w:right w:val="single" w:sz="4" w:space="0" w:color="000000"/>
            </w:tcBorders>
          </w:tcPr>
          <w:p w14:paraId="2A952973" w14:textId="77777777" w:rsidR="00F62FE5" w:rsidRPr="004462E8" w:rsidRDefault="00A66A4B">
            <w:pPr>
              <w:rPr>
                <w:i/>
                <w:color w:val="FF00FF"/>
                <w:lang w:val="es-PE"/>
              </w:rPr>
            </w:pPr>
            <w:r w:rsidRPr="004462E8">
              <w:rPr>
                <w:i/>
                <w:color w:val="FF00FF"/>
                <w:lang w:val="es-PE"/>
              </w:rPr>
              <w:t>Cierre del año fiscal</w:t>
            </w:r>
          </w:p>
        </w:tc>
        <w:tc>
          <w:tcPr>
            <w:tcW w:w="2106" w:type="dxa"/>
            <w:tcBorders>
              <w:top w:val="single" w:sz="4" w:space="0" w:color="000000"/>
              <w:left w:val="single" w:sz="4" w:space="0" w:color="000000"/>
              <w:bottom w:val="single" w:sz="4" w:space="0" w:color="000000"/>
              <w:right w:val="single" w:sz="4" w:space="0" w:color="000000"/>
            </w:tcBorders>
          </w:tcPr>
          <w:p w14:paraId="3763EA82" w14:textId="77777777" w:rsidR="00F62FE5" w:rsidRPr="004462E8" w:rsidRDefault="00A66A4B">
            <w:pPr>
              <w:rPr>
                <w:i/>
                <w:color w:val="FF00FF"/>
                <w:lang w:val="es-PE"/>
              </w:rPr>
            </w:pPr>
            <w:r w:rsidRPr="004462E8">
              <w:rPr>
                <w:i/>
                <w:color w:val="FF00FF"/>
                <w:lang w:val="es-PE"/>
              </w:rPr>
              <w:t>Último día hábil de mayo</w:t>
            </w:r>
          </w:p>
        </w:tc>
        <w:tc>
          <w:tcPr>
            <w:tcW w:w="4248" w:type="dxa"/>
            <w:tcBorders>
              <w:top w:val="single" w:sz="4" w:space="0" w:color="000000"/>
              <w:left w:val="single" w:sz="4" w:space="0" w:color="000000"/>
              <w:bottom w:val="single" w:sz="4" w:space="0" w:color="000000"/>
              <w:right w:val="single" w:sz="4" w:space="0" w:color="000000"/>
            </w:tcBorders>
          </w:tcPr>
          <w:p w14:paraId="0F284CE1" w14:textId="77777777" w:rsidR="00F62FE5" w:rsidRPr="004462E8" w:rsidRDefault="00A66A4B">
            <w:pPr>
              <w:rPr>
                <w:i/>
                <w:color w:val="FF00FF"/>
                <w:lang w:val="es-PE"/>
              </w:rPr>
            </w:pPr>
            <w:r w:rsidRPr="004462E8">
              <w:rPr>
                <w:i/>
                <w:color w:val="FF00FF"/>
                <w:lang w:val="es-PE"/>
              </w:rPr>
              <w:t>Cobertura adicional, de 8:00 a. M. A 5:00 p. M., Hora del este de EE. UU.</w:t>
            </w:r>
          </w:p>
        </w:tc>
      </w:tr>
    </w:tbl>
    <w:p w14:paraId="3A0F3518" w14:textId="77777777" w:rsidR="00F62FE5" w:rsidRPr="004462E8" w:rsidRDefault="00F62FE5">
      <w:pPr>
        <w:ind w:left="720"/>
        <w:jc w:val="both"/>
        <w:rPr>
          <w:rFonts w:ascii="Garamond" w:hAnsi="Garamond" w:cs="Garamond"/>
          <w:i/>
          <w:iCs/>
          <w:color w:val="0000FF"/>
          <w:lang w:val="es-PE"/>
        </w:rPr>
      </w:pPr>
    </w:p>
    <w:p w14:paraId="74749B5A" w14:textId="77777777" w:rsidR="00F62FE5" w:rsidRPr="004462E8" w:rsidRDefault="00A66A4B">
      <w:pPr>
        <w:pStyle w:val="Ttulo1"/>
        <w:rPr>
          <w:lang w:val="es-PE"/>
        </w:rPr>
      </w:pPr>
      <w:bookmarkStart w:id="22" w:name="OLE_LINK2"/>
      <w:bookmarkStart w:id="23" w:name="OLE_LINK1"/>
      <w:bookmarkStart w:id="24" w:name="__RefHeading___Toc171659841"/>
      <w:bookmarkEnd w:id="22"/>
      <w:bookmarkEnd w:id="23"/>
      <w:bookmarkEnd w:id="24"/>
      <w:r w:rsidRPr="004462E8">
        <w:rPr>
          <w:lang w:val="es-PE"/>
        </w:rPr>
        <w:t>Reportando</w:t>
      </w:r>
    </w:p>
    <w:p w14:paraId="3878D065" w14:textId="77777777" w:rsidR="00F62FE5" w:rsidRPr="004462E8" w:rsidRDefault="00A66A4B">
      <w:pPr>
        <w:ind w:left="432"/>
        <w:jc w:val="both"/>
        <w:rPr>
          <w:lang w:val="es-PE"/>
        </w:rPr>
      </w:pPr>
      <w:r w:rsidRPr="004462E8">
        <w:rPr>
          <w:lang w:val="es-PE"/>
        </w:rPr>
        <w:t xml:space="preserve">Este Acuerdo es válido desde </w:t>
      </w:r>
      <w:r w:rsidRPr="004462E8">
        <w:rPr>
          <w:i/>
          <w:color w:val="0000FF"/>
          <w:lang w:val="es-PE"/>
        </w:rPr>
        <w:t>fecha</w:t>
      </w:r>
      <w:r w:rsidRPr="004462E8">
        <w:rPr>
          <w:lang w:val="es-PE"/>
        </w:rPr>
        <w:t>. El Acuerdo debe revisarse como mínimo una vez por año fiscal; sin embargo, en lugar de una revisión durante cualquier período especificado, el Acuerdo actual permanecerá en vigor.</w:t>
      </w:r>
    </w:p>
    <w:p w14:paraId="0DDF808C" w14:textId="77777777" w:rsidR="00F62FE5" w:rsidRPr="004462E8" w:rsidRDefault="00F62FE5">
      <w:pPr>
        <w:ind w:left="432"/>
        <w:jc w:val="both"/>
        <w:rPr>
          <w:lang w:val="es-PE"/>
        </w:rPr>
      </w:pPr>
    </w:p>
    <w:p w14:paraId="525323C5" w14:textId="77777777" w:rsidR="00F62FE5" w:rsidRPr="004462E8" w:rsidRDefault="00A66A4B">
      <w:pPr>
        <w:ind w:left="432"/>
        <w:jc w:val="both"/>
        <w:rPr>
          <w:lang w:val="es-PE"/>
        </w:rPr>
      </w:pPr>
      <w:r w:rsidRPr="004462E8">
        <w:rPr>
          <w:lang w:val="es-PE"/>
        </w:rPr>
        <w:t>Servicios de TI es responsab</w:t>
      </w:r>
      <w:r w:rsidRPr="004462E8">
        <w:rPr>
          <w:lang w:val="es-PE"/>
        </w:rPr>
        <w:t>le de facilitar las revisiones periódicas de este documento. El contenido de este documento puede modificarse según sea necesario, siempre que se obtenga el acuerdo mutuo de las partes interesadas principales y se comunique a todas las partes afectadas. Lo</w:t>
      </w:r>
      <w:r w:rsidRPr="004462E8">
        <w:rPr>
          <w:lang w:val="es-PE"/>
        </w:rPr>
        <w:t>s servicios de TI incorporarán todas las revisiones posteriores y obtendrán acuerdos / aprobaciones mutuas según sea necesario.</w:t>
      </w:r>
    </w:p>
    <w:p w14:paraId="5A901D26" w14:textId="77777777" w:rsidR="00F62FE5" w:rsidRPr="004462E8" w:rsidRDefault="00F62FE5">
      <w:pPr>
        <w:ind w:left="432"/>
        <w:rPr>
          <w:lang w:val="es-PE"/>
        </w:rPr>
      </w:pPr>
    </w:p>
    <w:p w14:paraId="65BB19D0" w14:textId="77777777" w:rsidR="00F62FE5" w:rsidRPr="004462E8" w:rsidRDefault="00A66A4B">
      <w:pPr>
        <w:ind w:left="432"/>
        <w:rPr>
          <w:lang w:val="es-PE"/>
        </w:rPr>
      </w:pPr>
      <w:r w:rsidRPr="004462E8">
        <w:rPr>
          <w:lang w:val="es-PE"/>
        </w:rPr>
        <w:t>Las métricas monitoreadas internamente para este servicio se enumeran en la Sección 5. Se realizarán informes sobre estas métri</w:t>
      </w:r>
      <w:r w:rsidRPr="004462E8">
        <w:rPr>
          <w:lang w:val="es-PE"/>
        </w:rPr>
        <w:t xml:space="preserve">cas. </w:t>
      </w:r>
      <w:r w:rsidRPr="004462E8">
        <w:rPr>
          <w:i/>
          <w:color w:val="FF00FF"/>
          <w:lang w:val="es-PE"/>
        </w:rPr>
        <w:t>(diario, mensual, trimestral</w:t>
      </w:r>
      <w:r w:rsidRPr="004462E8">
        <w:rPr>
          <w:lang w:val="es-PE"/>
        </w:rPr>
        <w:t>) y accesible en la página web interna del servicio.</w:t>
      </w:r>
    </w:p>
    <w:p w14:paraId="55DA26B0" w14:textId="77777777" w:rsidR="00F62FE5" w:rsidRPr="004462E8" w:rsidRDefault="00F62FE5">
      <w:pPr>
        <w:ind w:left="432"/>
        <w:rPr>
          <w:lang w:val="es-PE"/>
        </w:rPr>
      </w:pPr>
    </w:p>
    <w:p w14:paraId="2D0B1DE2" w14:textId="77777777" w:rsidR="00F62FE5" w:rsidRPr="004462E8" w:rsidRDefault="00A66A4B">
      <w:pPr>
        <w:ind w:left="432"/>
        <w:jc w:val="both"/>
        <w:rPr>
          <w:lang w:val="es-PE"/>
        </w:rPr>
      </w:pPr>
      <w:r w:rsidRPr="004462E8">
        <w:rPr>
          <w:lang w:val="es-PE"/>
        </w:rPr>
        <w:t>Este Acuerdo se publicará en la siguiente ubicación y estará disponible para todas las partes interesadas:</w:t>
      </w:r>
    </w:p>
    <w:p w14:paraId="1E8628D1" w14:textId="77777777" w:rsidR="00F62FE5" w:rsidRPr="004462E8" w:rsidRDefault="00F62FE5">
      <w:pPr>
        <w:ind w:left="648"/>
        <w:rPr>
          <w:lang w:val="es-PE"/>
        </w:rPr>
      </w:pPr>
    </w:p>
    <w:p w14:paraId="1BD898DE" w14:textId="77777777" w:rsidR="00F62FE5" w:rsidRPr="004462E8" w:rsidRDefault="00A66A4B">
      <w:pPr>
        <w:ind w:left="1296"/>
        <w:rPr>
          <w:color w:val="0000FF"/>
          <w:lang w:val="es-PE"/>
        </w:rPr>
      </w:pPr>
      <w:r w:rsidRPr="004462E8">
        <w:rPr>
          <w:b/>
          <w:bCs/>
          <w:lang w:val="es-PE"/>
        </w:rPr>
        <w:t>Ubicación del documento:</w:t>
      </w:r>
      <w:r w:rsidRPr="004462E8">
        <w:rPr>
          <w:lang w:val="es-PE"/>
        </w:rPr>
        <w:t xml:space="preserve"> Catálogo de servicios internos - </w:t>
      </w:r>
      <w:r w:rsidRPr="004462E8">
        <w:rPr>
          <w:i/>
          <w:color w:val="0000FF"/>
          <w:lang w:val="es-PE"/>
        </w:rPr>
        <w:t>Nombre del Servicio</w:t>
      </w:r>
      <w:r w:rsidRPr="004462E8">
        <w:rPr>
          <w:lang w:val="es-PE"/>
        </w:rPr>
        <w:t xml:space="preserve"> página de servicio</w:t>
      </w:r>
    </w:p>
    <w:p w14:paraId="5F6D464D" w14:textId="77777777" w:rsidR="00F62FE5" w:rsidRPr="004462E8" w:rsidRDefault="00F62FE5">
      <w:pPr>
        <w:rPr>
          <w:color w:val="0000FF"/>
          <w:lang w:val="es-PE"/>
        </w:rPr>
      </w:pPr>
      <w:bookmarkStart w:id="25" w:name="_Ref531587996"/>
      <w:bookmarkEnd w:id="25"/>
    </w:p>
    <w:sectPr w:rsidR="00F62FE5" w:rsidRPr="004462E8">
      <w:headerReference w:type="default" r:id="rId9"/>
      <w:footerReference w:type="default" r:id="rId1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F61F" w14:textId="77777777" w:rsidR="00A66A4B" w:rsidRDefault="00A66A4B">
      <w:r>
        <w:separator/>
      </w:r>
    </w:p>
  </w:endnote>
  <w:endnote w:type="continuationSeparator" w:id="0">
    <w:p w14:paraId="22747C71" w14:textId="77777777" w:rsidR="00A66A4B" w:rsidRDefault="00A6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Sun;宋体">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font>
  <w:font w:name="MS Mincho;ＭＳ 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4FED" w14:textId="2410BFD7" w:rsidR="00F62FE5" w:rsidRDefault="00F62FE5">
    <w:pPr>
      <w:pStyle w:val="Piedepgina"/>
      <w:tabs>
        <w:tab w:val="clear" w:pos="8640"/>
        <w:tab w:val="right" w:pos="9360"/>
      </w:tabs>
      <w:spacing w:before="1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11D69" w14:textId="77777777" w:rsidR="00A66A4B" w:rsidRDefault="00A66A4B">
      <w:r>
        <w:separator/>
      </w:r>
    </w:p>
  </w:footnote>
  <w:footnote w:type="continuationSeparator" w:id="0">
    <w:p w14:paraId="3DBB7538" w14:textId="77777777" w:rsidR="00A66A4B" w:rsidRDefault="00A66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AAA3" w14:textId="77777777" w:rsidR="00F62FE5" w:rsidRDefault="00F62F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AC0"/>
    <w:multiLevelType w:val="multilevel"/>
    <w:tmpl w:val="3048A378"/>
    <w:lvl w:ilvl="0">
      <w:start w:val="1"/>
      <w:numFmt w:val="bullet"/>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E56A9E"/>
    <w:multiLevelType w:val="multilevel"/>
    <w:tmpl w:val="FF284916"/>
    <w:lvl w:ilvl="0">
      <w:start w:val="1"/>
      <w:numFmt w:val="bullet"/>
      <w:lvlText w:val=""/>
      <w:lvlJc w:val="left"/>
      <w:pPr>
        <w:tabs>
          <w:tab w:val="num" w:pos="936"/>
        </w:tabs>
        <w:ind w:left="936" w:hanging="360"/>
      </w:pPr>
      <w:rPr>
        <w:rFonts w:ascii="Wingdings" w:hAnsi="Wingdings" w:cs="Wingdings" w:hint="default"/>
      </w:rPr>
    </w:lvl>
    <w:lvl w:ilvl="1">
      <w:start w:val="1"/>
      <w:numFmt w:val="bullet"/>
      <w:lvlText w:val="o"/>
      <w:lvlJc w:val="left"/>
      <w:pPr>
        <w:tabs>
          <w:tab w:val="num" w:pos="1656"/>
        </w:tabs>
        <w:ind w:left="1656" w:hanging="360"/>
      </w:pPr>
      <w:rPr>
        <w:rFonts w:ascii="Courier New" w:hAnsi="Courier New" w:cs="Courier New" w:hint="default"/>
        <w:sz w:val="20"/>
        <w:szCs w:val="24"/>
      </w:rPr>
    </w:lvl>
    <w:lvl w:ilvl="2">
      <w:start w:val="1"/>
      <w:numFmt w:val="bullet"/>
      <w:lvlText w:val=""/>
      <w:lvlJc w:val="left"/>
      <w:pPr>
        <w:tabs>
          <w:tab w:val="num" w:pos="2376"/>
        </w:tabs>
        <w:ind w:left="2376" w:hanging="360"/>
      </w:pPr>
      <w:rPr>
        <w:rFonts w:ascii="Wingdings" w:hAnsi="Wingdings" w:cs="Wingdings" w:hint="default"/>
      </w:rPr>
    </w:lvl>
    <w:lvl w:ilvl="3">
      <w:start w:val="1"/>
      <w:numFmt w:val="bullet"/>
      <w:lvlText w:val=""/>
      <w:lvlJc w:val="left"/>
      <w:pPr>
        <w:tabs>
          <w:tab w:val="num" w:pos="3096"/>
        </w:tabs>
        <w:ind w:left="3096" w:hanging="360"/>
      </w:pPr>
      <w:rPr>
        <w:rFonts w:ascii="Symbol" w:hAnsi="Symbol" w:cs="Symbol" w:hint="default"/>
      </w:rPr>
    </w:lvl>
    <w:lvl w:ilvl="4">
      <w:start w:val="1"/>
      <w:numFmt w:val="bullet"/>
      <w:lvlText w:val="o"/>
      <w:lvlJc w:val="left"/>
      <w:pPr>
        <w:tabs>
          <w:tab w:val="num" w:pos="3816"/>
        </w:tabs>
        <w:ind w:left="3816" w:hanging="360"/>
      </w:pPr>
      <w:rPr>
        <w:rFonts w:ascii="Courier New" w:hAnsi="Courier New" w:cs="Courier New" w:hint="default"/>
        <w:sz w:val="20"/>
        <w:szCs w:val="24"/>
      </w:rPr>
    </w:lvl>
    <w:lvl w:ilvl="5">
      <w:start w:val="1"/>
      <w:numFmt w:val="bullet"/>
      <w:lvlText w:val=""/>
      <w:lvlJc w:val="left"/>
      <w:pPr>
        <w:tabs>
          <w:tab w:val="num" w:pos="4536"/>
        </w:tabs>
        <w:ind w:left="4536" w:hanging="360"/>
      </w:pPr>
      <w:rPr>
        <w:rFonts w:ascii="Wingdings" w:hAnsi="Wingdings" w:cs="Wingdings" w:hint="default"/>
      </w:rPr>
    </w:lvl>
    <w:lvl w:ilvl="6">
      <w:start w:val="1"/>
      <w:numFmt w:val="bullet"/>
      <w:lvlText w:val=""/>
      <w:lvlJc w:val="left"/>
      <w:pPr>
        <w:tabs>
          <w:tab w:val="num" w:pos="5256"/>
        </w:tabs>
        <w:ind w:left="5256" w:hanging="360"/>
      </w:pPr>
      <w:rPr>
        <w:rFonts w:ascii="Symbol" w:hAnsi="Symbol" w:cs="Symbol" w:hint="default"/>
      </w:rPr>
    </w:lvl>
    <w:lvl w:ilvl="7">
      <w:start w:val="1"/>
      <w:numFmt w:val="bullet"/>
      <w:lvlText w:val="o"/>
      <w:lvlJc w:val="left"/>
      <w:pPr>
        <w:tabs>
          <w:tab w:val="num" w:pos="5976"/>
        </w:tabs>
        <w:ind w:left="5976" w:hanging="360"/>
      </w:pPr>
      <w:rPr>
        <w:rFonts w:ascii="Courier New" w:hAnsi="Courier New" w:cs="Courier New" w:hint="default"/>
        <w:sz w:val="20"/>
        <w:szCs w:val="24"/>
      </w:rPr>
    </w:lvl>
    <w:lvl w:ilvl="8">
      <w:start w:val="1"/>
      <w:numFmt w:val="bullet"/>
      <w:lvlText w:val=""/>
      <w:lvlJc w:val="left"/>
      <w:pPr>
        <w:tabs>
          <w:tab w:val="num" w:pos="6696"/>
        </w:tabs>
        <w:ind w:left="6696" w:hanging="360"/>
      </w:pPr>
      <w:rPr>
        <w:rFonts w:ascii="Wingdings" w:hAnsi="Wingdings" w:cs="Wingdings" w:hint="default"/>
      </w:rPr>
    </w:lvl>
  </w:abstractNum>
  <w:abstractNum w:abstractNumId="2" w15:restartNumberingAfterBreak="0">
    <w:nsid w:val="1A54392F"/>
    <w:multiLevelType w:val="multilevel"/>
    <w:tmpl w:val="0810BCA0"/>
    <w:lvl w:ilvl="0">
      <w:start w:val="1"/>
      <w:numFmt w:val="bullet"/>
      <w:lvlText w:val=""/>
      <w:lvlJc w:val="left"/>
      <w:pPr>
        <w:tabs>
          <w:tab w:val="num" w:pos="360"/>
        </w:tabs>
        <w:ind w:left="360" w:hanging="360"/>
      </w:pPr>
      <w:rPr>
        <w:rFonts w:ascii="Symbol" w:hAnsi="Symbol" w:cs="Symbol"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A4256E"/>
    <w:multiLevelType w:val="multilevel"/>
    <w:tmpl w:val="3DC07792"/>
    <w:lvl w:ilvl="0">
      <w:start w:val="1"/>
      <w:numFmt w:val="bullet"/>
      <w:lvlText w:val=""/>
      <w:lvlJc w:val="left"/>
      <w:pPr>
        <w:tabs>
          <w:tab w:val="num" w:pos="720"/>
        </w:tabs>
        <w:ind w:left="720" w:hanging="360"/>
      </w:pPr>
      <w:rPr>
        <w:rFonts w:ascii="Symbol" w:hAnsi="Symbol" w:cs="Symbol" w:hint="default"/>
        <w:color w:val="0000FF"/>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D80912"/>
    <w:multiLevelType w:val="multilevel"/>
    <w:tmpl w:val="3EB2C1E8"/>
    <w:lvl w:ilvl="0">
      <w:start w:val="1"/>
      <w:numFmt w:val="bullet"/>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5D6F80"/>
    <w:multiLevelType w:val="multilevel"/>
    <w:tmpl w:val="AA4E2286"/>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F77ACE"/>
    <w:multiLevelType w:val="multilevel"/>
    <w:tmpl w:val="EEA27630"/>
    <w:lvl w:ilvl="0">
      <w:start w:val="1"/>
      <w:numFmt w:val="bullet"/>
      <w:lvlText w:val=""/>
      <w:lvlJc w:val="left"/>
      <w:pPr>
        <w:tabs>
          <w:tab w:val="num" w:pos="360"/>
        </w:tabs>
        <w:ind w:left="360" w:hanging="360"/>
      </w:pPr>
      <w:rPr>
        <w:rFonts w:ascii="Symbol" w:hAnsi="Symbol" w:cs="Symbol"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29000F"/>
    <w:multiLevelType w:val="multilevel"/>
    <w:tmpl w:val="F7FAB2D4"/>
    <w:lvl w:ilvl="0">
      <w:start w:val="1"/>
      <w:numFmt w:val="decimal"/>
      <w:pStyle w:val="Ttulo1"/>
      <w:lvlText w:val="%1"/>
      <w:lvlJc w:val="left"/>
      <w:pPr>
        <w:tabs>
          <w:tab w:val="num" w:pos="432"/>
        </w:tabs>
        <w:ind w:left="432" w:hanging="432"/>
      </w:pPr>
      <w:rPr>
        <w:b/>
        <w:i w:val="0"/>
      </w:rPr>
    </w:lvl>
    <w:lvl w:ilvl="1">
      <w:start w:val="1"/>
      <w:numFmt w:val="decimal"/>
      <w:pStyle w:val="Ttulo2"/>
      <w:lvlText w:val="%1.%2"/>
      <w:lvlJc w:val="left"/>
      <w:pPr>
        <w:tabs>
          <w:tab w:val="num" w:pos="846"/>
        </w:tabs>
        <w:ind w:left="846" w:hanging="576"/>
      </w:pPr>
      <w:rPr>
        <w:rFonts w:ascii="Arial" w:hAnsi="Arial" w:cs="Arial"/>
        <w:b/>
        <w:i w:val="0"/>
        <w:color w:val="000000"/>
      </w:rPr>
    </w:lvl>
    <w:lvl w:ilvl="2">
      <w:start w:val="1"/>
      <w:numFmt w:val="none"/>
      <w:suff w:val="nothing"/>
      <w:lvlText w:val=""/>
      <w:lvlJc w:val="left"/>
      <w:pPr>
        <w:tabs>
          <w:tab w:val="num" w:pos="0"/>
        </w:tabs>
        <w:ind w:left="0" w:firstLine="0"/>
      </w:pPr>
    </w:lvl>
    <w:lvl w:ilvl="3">
      <w:start w:val="1"/>
      <w:numFmt w:val="decimal"/>
      <w:pStyle w:val="Ttulo4"/>
      <w:lvlText w:val="%1.%2.%3.%4"/>
      <w:lvlJc w:val="left"/>
      <w:pPr>
        <w:tabs>
          <w:tab w:val="num" w:pos="2304"/>
        </w:tabs>
        <w:ind w:left="2304" w:hanging="864"/>
      </w:pPr>
      <w:rPr>
        <w:rFonts w:ascii="Arial" w:hAnsi="Arial" w:cs="Arial"/>
        <w:b/>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2BD374B0"/>
    <w:multiLevelType w:val="multilevel"/>
    <w:tmpl w:val="CBF40D08"/>
    <w:lvl w:ilvl="0">
      <w:start w:val="1"/>
      <w:numFmt w:val="bullet"/>
      <w:lvlText w:val=""/>
      <w:lvlJc w:val="left"/>
      <w:pPr>
        <w:tabs>
          <w:tab w:val="num" w:pos="360"/>
        </w:tabs>
        <w:ind w:left="360" w:hanging="360"/>
      </w:pPr>
      <w:rPr>
        <w:rFonts w:ascii="Symbol" w:hAnsi="Symbol" w:cs="Symbol"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AC125D"/>
    <w:multiLevelType w:val="multilevel"/>
    <w:tmpl w:val="6DF4AB68"/>
    <w:lvl w:ilvl="0">
      <w:start w:val="1"/>
      <w:numFmt w:val="bullet"/>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776505"/>
    <w:multiLevelType w:val="multilevel"/>
    <w:tmpl w:val="82D008E6"/>
    <w:lvl w:ilvl="0">
      <w:start w:val="1"/>
      <w:numFmt w:val="bullet"/>
      <w:lvlText w:val=""/>
      <w:lvlJc w:val="left"/>
      <w:pPr>
        <w:tabs>
          <w:tab w:val="num" w:pos="1800"/>
        </w:tabs>
        <w:ind w:left="1800"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7D0F01"/>
    <w:multiLevelType w:val="multilevel"/>
    <w:tmpl w:val="A2E6F56C"/>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46591C"/>
    <w:multiLevelType w:val="multilevel"/>
    <w:tmpl w:val="7E20F8F8"/>
    <w:lvl w:ilvl="0">
      <w:start w:val="1"/>
      <w:numFmt w:val="bullet"/>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B22FB3"/>
    <w:multiLevelType w:val="multilevel"/>
    <w:tmpl w:val="372CDF52"/>
    <w:lvl w:ilvl="0">
      <w:start w:val="1"/>
      <w:numFmt w:val="decimal"/>
      <w:lvlText w:val="%1"/>
      <w:lvlJc w:val="left"/>
      <w:pPr>
        <w:tabs>
          <w:tab w:val="num" w:pos="360"/>
        </w:tabs>
        <w:ind w:left="360" w:hanging="360"/>
      </w:pPr>
      <w:rPr>
        <w:rFonts w:ascii="Garamond" w:hAnsi="Garamond" w:cs="Garamond"/>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5D0269A"/>
    <w:multiLevelType w:val="multilevel"/>
    <w:tmpl w:val="5790C616"/>
    <w:lvl w:ilvl="0">
      <w:start w:val="1"/>
      <w:numFmt w:val="bullet"/>
      <w:lvlText w:val=""/>
      <w:lvlJc w:val="left"/>
      <w:pPr>
        <w:tabs>
          <w:tab w:val="num" w:pos="1350"/>
        </w:tabs>
        <w:ind w:left="135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3A3A8A"/>
    <w:multiLevelType w:val="multilevel"/>
    <w:tmpl w:val="EBB89AEA"/>
    <w:lvl w:ilvl="0">
      <w:start w:val="1"/>
      <w:numFmt w:val="decimal"/>
      <w:lvlText w:val="%1"/>
      <w:lvlJc w:val="left"/>
      <w:pPr>
        <w:tabs>
          <w:tab w:val="num" w:pos="360"/>
        </w:tabs>
        <w:ind w:left="360" w:hanging="360"/>
      </w:pPr>
      <w:rPr>
        <w:rFonts w:ascii="Garamond" w:hAnsi="Garamond" w:cs="Garamond"/>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2035FF"/>
    <w:multiLevelType w:val="multilevel"/>
    <w:tmpl w:val="84B80B2E"/>
    <w:lvl w:ilvl="0">
      <w:start w:val="1"/>
      <w:numFmt w:val="decimal"/>
      <w:lvlText w:val="%1"/>
      <w:lvlJc w:val="left"/>
      <w:pPr>
        <w:tabs>
          <w:tab w:val="num" w:pos="1080"/>
        </w:tabs>
        <w:ind w:left="1080" w:hanging="360"/>
      </w:pPr>
      <w:rPr>
        <w:rFonts w:ascii="Garamond" w:hAnsi="Garamond" w:cs="Arial"/>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290816"/>
    <w:multiLevelType w:val="multilevel"/>
    <w:tmpl w:val="D924ECE8"/>
    <w:lvl w:ilvl="0">
      <w:start w:val="1"/>
      <w:numFmt w:val="bullet"/>
      <w:lvlText w:val=""/>
      <w:lvlJc w:val="left"/>
      <w:pPr>
        <w:tabs>
          <w:tab w:val="num" w:pos="1206"/>
        </w:tabs>
        <w:ind w:left="1206" w:hanging="360"/>
      </w:pPr>
      <w:rPr>
        <w:rFonts w:ascii="Wingdings" w:hAnsi="Wingdings" w:cs="Wingdings"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45082B"/>
    <w:multiLevelType w:val="multilevel"/>
    <w:tmpl w:val="1DB27F3E"/>
    <w:lvl w:ilvl="0">
      <w:start w:val="1"/>
      <w:numFmt w:val="bullet"/>
      <w:lvlText w:val=""/>
      <w:lvlJc w:val="left"/>
      <w:pPr>
        <w:tabs>
          <w:tab w:val="num" w:pos="360"/>
        </w:tabs>
        <w:ind w:left="360" w:hanging="360"/>
      </w:pPr>
      <w:rPr>
        <w:rFonts w:ascii="Symbol" w:hAnsi="Symbol" w:cs="Symbol"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7C22C9C"/>
    <w:multiLevelType w:val="multilevel"/>
    <w:tmpl w:val="21088C5C"/>
    <w:lvl w:ilvl="0">
      <w:start w:val="1"/>
      <w:numFmt w:val="decimal"/>
      <w:lvlText w:val="%1"/>
      <w:lvlJc w:val="left"/>
      <w:pPr>
        <w:tabs>
          <w:tab w:val="num" w:pos="360"/>
        </w:tabs>
        <w:ind w:left="360" w:hanging="360"/>
      </w:pPr>
      <w:rPr>
        <w:rFonts w:ascii="Garamond" w:hAnsi="Garamond" w:cs="Garamond"/>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B9750D"/>
    <w:multiLevelType w:val="multilevel"/>
    <w:tmpl w:val="7AC8EACA"/>
    <w:lvl w:ilvl="0">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Symbol" w:hAnsi="Symbol" w:cs="Symbol" w:hint="default"/>
        <w:sz w:val="20"/>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1" w15:restartNumberingAfterBreak="0">
    <w:nsid w:val="7FF06DAA"/>
    <w:multiLevelType w:val="multilevel"/>
    <w:tmpl w:val="E89C26D0"/>
    <w:lvl w:ilvl="0">
      <w:start w:val="1"/>
      <w:numFmt w:val="bullet"/>
      <w:lvlText w:val=""/>
      <w:lvlJc w:val="left"/>
      <w:pPr>
        <w:tabs>
          <w:tab w:val="num" w:pos="1344"/>
        </w:tabs>
        <w:ind w:left="1344" w:hanging="360"/>
      </w:pPr>
      <w:rPr>
        <w:rFonts w:ascii="Symbol" w:hAnsi="Symbol" w:cs="Symbol"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9"/>
  </w:num>
  <w:num w:numId="3">
    <w:abstractNumId w:val="4"/>
  </w:num>
  <w:num w:numId="4">
    <w:abstractNumId w:val="11"/>
  </w:num>
  <w:num w:numId="5">
    <w:abstractNumId w:val="14"/>
  </w:num>
  <w:num w:numId="6">
    <w:abstractNumId w:val="17"/>
  </w:num>
  <w:num w:numId="7">
    <w:abstractNumId w:val="3"/>
  </w:num>
  <w:num w:numId="8">
    <w:abstractNumId w:val="12"/>
  </w:num>
  <w:num w:numId="9">
    <w:abstractNumId w:val="20"/>
  </w:num>
  <w:num w:numId="10">
    <w:abstractNumId w:val="21"/>
  </w:num>
  <w:num w:numId="11">
    <w:abstractNumId w:val="10"/>
  </w:num>
  <w:num w:numId="12">
    <w:abstractNumId w:val="13"/>
  </w:num>
  <w:num w:numId="13">
    <w:abstractNumId w:val="1"/>
  </w:num>
  <w:num w:numId="14">
    <w:abstractNumId w:val="6"/>
  </w:num>
  <w:num w:numId="15">
    <w:abstractNumId w:val="9"/>
  </w:num>
  <w:num w:numId="16">
    <w:abstractNumId w:val="2"/>
  </w:num>
  <w:num w:numId="17">
    <w:abstractNumId w:val="18"/>
  </w:num>
  <w:num w:numId="18">
    <w:abstractNumId w:val="0"/>
  </w:num>
  <w:num w:numId="19">
    <w:abstractNumId w:val="16"/>
  </w:num>
  <w:num w:numId="20">
    <w:abstractNumId w:val="8"/>
  </w:num>
  <w:num w:numId="21">
    <w:abstractNumId w:val="5"/>
  </w:num>
  <w:num w:numId="22">
    <w:abstractNumId w:val="15"/>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FE5"/>
    <w:rsid w:val="00017D2E"/>
    <w:rsid w:val="004462E8"/>
    <w:rsid w:val="0059086F"/>
    <w:rsid w:val="00A66A4B"/>
    <w:rsid w:val="00F62F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C521D"/>
  <w15:docId w15:val="{1D3AEA69-B9A6-4EF5-B756-D3F00355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Ttulo1">
    <w:name w:val="heading 1"/>
    <w:basedOn w:val="Normal"/>
    <w:next w:val="Normal"/>
    <w:uiPriority w:val="9"/>
    <w:qFormat/>
    <w:pPr>
      <w:keepNext/>
      <w:numPr>
        <w:numId w:val="1"/>
      </w:numPr>
      <w:spacing w:before="240" w:after="60"/>
      <w:outlineLvl w:val="0"/>
    </w:pPr>
    <w:rPr>
      <w:rFonts w:ascii="Arial" w:hAnsi="Arial" w:cs="Arial"/>
      <w:b/>
      <w:sz w:val="24"/>
    </w:rPr>
  </w:style>
  <w:style w:type="paragraph" w:styleId="Ttulo2">
    <w:name w:val="heading 2"/>
    <w:basedOn w:val="Normal"/>
    <w:next w:val="Normal"/>
    <w:uiPriority w:val="9"/>
    <w:unhideWhenUsed/>
    <w:qFormat/>
    <w:pPr>
      <w:keepNext/>
      <w:numPr>
        <w:ilvl w:val="1"/>
        <w:numId w:val="1"/>
      </w:numPr>
      <w:outlineLvl w:val="1"/>
    </w:pPr>
    <w:rPr>
      <w:rFonts w:ascii="Arial" w:hAnsi="Arial" w:cs="Arial"/>
      <w:b/>
    </w:rPr>
  </w:style>
  <w:style w:type="paragraph" w:styleId="Ttulo3">
    <w:name w:val="heading 3"/>
    <w:basedOn w:val="Normal"/>
    <w:next w:val="Normal"/>
    <w:uiPriority w:val="9"/>
    <w:unhideWhenUsed/>
    <w:qFormat/>
    <w:pPr>
      <w:keepNext/>
      <w:ind w:left="576"/>
      <w:outlineLvl w:val="2"/>
    </w:pPr>
    <w:rPr>
      <w:rFonts w:ascii="Arial" w:hAnsi="Arial" w:cs="Arial"/>
      <w:b/>
      <w:i/>
    </w:rPr>
  </w:style>
  <w:style w:type="paragraph" w:styleId="Ttulo4">
    <w:name w:val="heading 4"/>
    <w:basedOn w:val="Normal"/>
    <w:next w:val="Normal"/>
    <w:uiPriority w:val="9"/>
    <w:semiHidden/>
    <w:unhideWhenUsed/>
    <w:qFormat/>
    <w:pPr>
      <w:keepNext/>
      <w:numPr>
        <w:ilvl w:val="3"/>
        <w:numId w:val="1"/>
      </w:numPr>
      <w:outlineLvl w:val="3"/>
    </w:pPr>
    <w:rPr>
      <w:rFonts w:ascii="Arial" w:hAnsi="Arial" w:cs="Arial"/>
      <w:i/>
    </w:rPr>
  </w:style>
  <w:style w:type="paragraph" w:styleId="Ttulo5">
    <w:name w:val="heading 5"/>
    <w:basedOn w:val="Normal"/>
    <w:next w:val="Normal"/>
    <w:uiPriority w:val="9"/>
    <w:semiHidden/>
    <w:unhideWhenUsed/>
    <w:qFormat/>
    <w:pPr>
      <w:keepNext/>
      <w:numPr>
        <w:ilvl w:val="4"/>
        <w:numId w:val="1"/>
      </w:numPr>
      <w:jc w:val="right"/>
      <w:outlineLvl w:val="4"/>
    </w:pPr>
    <w:rPr>
      <w:rFonts w:ascii="Arial Narrow" w:hAnsi="Arial Narrow" w:cs="Arial Narrow"/>
      <w:b/>
      <w:sz w:val="28"/>
    </w:rPr>
  </w:style>
  <w:style w:type="paragraph" w:styleId="Ttulo6">
    <w:name w:val="heading 6"/>
    <w:basedOn w:val="Normal"/>
    <w:next w:val="Normal"/>
    <w:uiPriority w:val="9"/>
    <w:semiHidden/>
    <w:unhideWhenUsed/>
    <w:qFormat/>
    <w:pPr>
      <w:keepNext/>
      <w:numPr>
        <w:ilvl w:val="5"/>
        <w:numId w:val="1"/>
      </w:numPr>
      <w:outlineLvl w:val="5"/>
    </w:pPr>
    <w:rPr>
      <w:rFonts w:ascii="Arial Narrow" w:hAnsi="Arial Narrow" w:cs="Arial Narrow"/>
      <w:b/>
      <w:sz w:val="24"/>
      <w:u w:val="single"/>
    </w:rPr>
  </w:style>
  <w:style w:type="paragraph" w:styleId="Ttulo7">
    <w:name w:val="heading 7"/>
    <w:basedOn w:val="Normal"/>
    <w:next w:val="Normal"/>
    <w:qFormat/>
    <w:pPr>
      <w:keepNext/>
      <w:numPr>
        <w:ilvl w:val="6"/>
        <w:numId w:val="1"/>
      </w:numPr>
      <w:outlineLvl w:val="6"/>
    </w:pPr>
    <w:rPr>
      <w:rFonts w:ascii="Arial Narrow" w:hAnsi="Arial Narrow" w:cs="Arial Narrow"/>
      <w:b/>
      <w:color w:val="000000"/>
    </w:rPr>
  </w:style>
  <w:style w:type="paragraph" w:styleId="Ttulo8">
    <w:name w:val="heading 8"/>
    <w:basedOn w:val="Normal"/>
    <w:next w:val="Normal"/>
    <w:qFormat/>
    <w:pPr>
      <w:numPr>
        <w:ilvl w:val="7"/>
        <w:numId w:val="1"/>
      </w:numPr>
      <w:spacing w:before="240" w:after="60"/>
      <w:outlineLvl w:val="7"/>
    </w:pPr>
    <w:rPr>
      <w:rFonts w:ascii="Arial" w:hAnsi="Arial" w:cs="Arial"/>
      <w:i/>
    </w:rPr>
  </w:style>
  <w:style w:type="paragraph" w:styleId="Ttulo9">
    <w:name w:val="heading 9"/>
    <w:basedOn w:val="Normal"/>
    <w:next w:val="Normal"/>
    <w:qFormat/>
    <w:pPr>
      <w:numPr>
        <w:ilvl w:val="8"/>
        <w:numId w:val="1"/>
      </w:numPr>
      <w:spacing w:before="240" w:after="60"/>
      <w:outlineLvl w:val="8"/>
    </w:pPr>
    <w:rPr>
      <w:rFonts w:ascii="Arial" w:hAnsi="Arial" w:cs="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rPr>
      <w:rFonts w:ascii="Garamond" w:hAnsi="Garamond" w:cs="Garamond"/>
      <w:b/>
      <w:bC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5z0">
    <w:name w:val="WW8Num5z0"/>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0">
    <w:name w:val="WW8Num6z0"/>
    <w:qFormat/>
    <w:rPr>
      <w:rFonts w:ascii="Wingdings" w:hAnsi="Wingdings" w:cs="Wingdings"/>
      <w:color w:val="000000"/>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Symbol" w:hAnsi="Symbol" w:cs="Symbol"/>
      <w:color w:val="0000FF"/>
      <w:sz w:val="20"/>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b/>
      <w:i w:val="0"/>
    </w:rPr>
  </w:style>
  <w:style w:type="character" w:customStyle="1" w:styleId="WW8Num9z1">
    <w:name w:val="WW8Num9z1"/>
    <w:qFormat/>
    <w:rPr>
      <w:rFonts w:ascii="Arial" w:hAnsi="Arial" w:cs="Arial"/>
      <w:b/>
      <w:i w:val="0"/>
      <w:color w:val="000000"/>
    </w:rPr>
  </w:style>
  <w:style w:type="character" w:customStyle="1" w:styleId="WW8Num9z3">
    <w:name w:val="WW8Num9z3"/>
    <w:qFormat/>
    <w:rPr>
      <w:rFonts w:ascii="Arial" w:hAnsi="Arial" w:cs="Arial"/>
      <w:b/>
    </w:rPr>
  </w:style>
  <w:style w:type="character" w:customStyle="1" w:styleId="WW8Num9z4">
    <w:name w:val="WW8Num9z4"/>
    <w:qFormat/>
  </w:style>
  <w:style w:type="character" w:customStyle="1" w:styleId="WW8Num10z0">
    <w:name w:val="WW8Num10z0"/>
    <w:qFormat/>
    <w:rPr>
      <w:rFonts w:ascii="Times New Roman" w:eastAsia="SimSun;宋体" w:hAnsi="Times New Roman" w:cs="Times New Roman"/>
    </w:rPr>
  </w:style>
  <w:style w:type="character" w:customStyle="1" w:styleId="WW8Num10z1">
    <w:name w:val="WW8Num10z1"/>
    <w:qFormat/>
    <w:rPr>
      <w:rFonts w:ascii="Symbol" w:hAnsi="Symbol" w:cs="Symbol"/>
      <w:sz w:val="20"/>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0z4">
    <w:name w:val="WW8Num10z4"/>
    <w:qFormat/>
    <w:rPr>
      <w:rFonts w:ascii="Courier New" w:hAnsi="Courier New" w:cs="SimSun;宋体"/>
    </w:rPr>
  </w:style>
  <w:style w:type="character" w:customStyle="1" w:styleId="WW8Num11z0">
    <w:name w:val="WW8Num11z0"/>
    <w:qFormat/>
    <w:rPr>
      <w:rFonts w:ascii="Symbol" w:hAnsi="Symbol" w:cs="Symbol"/>
      <w:sz w:val="20"/>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color w:val="000000"/>
    </w:rPr>
  </w:style>
  <w:style w:type="character" w:customStyle="1" w:styleId="WW8Num12z1">
    <w:name w:val="WW8Num12z1"/>
    <w:qFormat/>
    <w:rPr>
      <w:rFonts w:ascii="Wingdings" w:hAnsi="Wingdings" w:cs="Wingdings"/>
    </w:rPr>
  </w:style>
  <w:style w:type="character" w:customStyle="1" w:styleId="WW8Num12z3">
    <w:name w:val="WW8Num12z3"/>
    <w:qFormat/>
    <w:rPr>
      <w:rFonts w:ascii="Symbol" w:hAnsi="Symbol" w:cs="Symbol"/>
    </w:rPr>
  </w:style>
  <w:style w:type="character" w:customStyle="1" w:styleId="WW8Num12z4">
    <w:name w:val="WW8Num12z4"/>
    <w:qFormat/>
    <w:rPr>
      <w:rFonts w:ascii="Courier New" w:hAnsi="Courier New" w:cs="Courier New"/>
    </w:rPr>
  </w:style>
  <w:style w:type="character" w:customStyle="1" w:styleId="WW8Num13z0">
    <w:name w:val="WW8Num13z0"/>
    <w:qFormat/>
    <w:rPr>
      <w:rFonts w:ascii="Garamond" w:hAnsi="Garamond" w:cs="Garamond"/>
      <w:b/>
      <w:bCs/>
    </w:rPr>
  </w:style>
  <w:style w:type="character" w:customStyle="1" w:styleId="WW8Num14z0">
    <w:name w:val="WW8Num14z0"/>
    <w:qFormat/>
    <w:rPr>
      <w:b/>
      <w:i w:val="0"/>
    </w:rPr>
  </w:style>
  <w:style w:type="character" w:customStyle="1" w:styleId="WW8Num14z1">
    <w:name w:val="WW8Num14z1"/>
    <w:qFormat/>
    <w:rPr>
      <w:rFonts w:ascii="Arial" w:hAnsi="Arial" w:cs="Arial"/>
      <w:b/>
      <w:i w:val="0"/>
      <w:color w:val="000000"/>
    </w:rPr>
  </w:style>
  <w:style w:type="character" w:customStyle="1" w:styleId="WW8Num14z2">
    <w:name w:val="WW8Num14z2"/>
    <w:qFormat/>
    <w:rPr>
      <w:i w:val="0"/>
    </w:rPr>
  </w:style>
  <w:style w:type="character" w:customStyle="1" w:styleId="WW8Num14z3">
    <w:name w:val="WW8Num14z3"/>
    <w:qFormat/>
    <w:rPr>
      <w:rFonts w:ascii="Arial" w:hAnsi="Arial" w:cs="Arial"/>
      <w:b/>
    </w:rPr>
  </w:style>
  <w:style w:type="character" w:customStyle="1" w:styleId="WW8Num14z4">
    <w:name w:val="WW8Num14z4"/>
    <w:qFormat/>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sz w:val="20"/>
      <w:szCs w:val="24"/>
    </w:rPr>
  </w:style>
  <w:style w:type="character" w:customStyle="1" w:styleId="WW8Num15z3">
    <w:name w:val="WW8Num15z3"/>
    <w:qFormat/>
    <w:rPr>
      <w:rFonts w:ascii="Symbol" w:hAnsi="Symbol" w:cs="Symbol"/>
    </w:rPr>
  </w:style>
  <w:style w:type="character" w:customStyle="1" w:styleId="WW8Num16z0">
    <w:name w:val="WW8Num16z0"/>
    <w:qFormat/>
    <w:rPr>
      <w:rFonts w:ascii="Symbol" w:hAnsi="Symbol" w:cs="Symbol"/>
      <w:sz w:val="20"/>
    </w:rPr>
  </w:style>
  <w:style w:type="character" w:customStyle="1" w:styleId="WW8Num17z0">
    <w:name w:val="WW8Num17z0"/>
    <w:qFormat/>
    <w:rPr>
      <w:rFonts w:ascii="Symbol" w:hAnsi="Symbol" w:cs="Symbol"/>
    </w:rPr>
  </w:style>
  <w:style w:type="character" w:customStyle="1" w:styleId="WW8Num17z1">
    <w:name w:val="WW8Num17z1"/>
    <w:qFormat/>
    <w:rPr>
      <w:rFonts w:ascii="Times New Roman" w:eastAsia="SimSun;宋体" w:hAnsi="Times New Roman" w:cs="Times New Roman"/>
    </w:rPr>
  </w:style>
  <w:style w:type="character" w:customStyle="1" w:styleId="WW8Num17z2">
    <w:name w:val="WW8Num17z2"/>
    <w:qFormat/>
    <w:rPr>
      <w:rFonts w:ascii="Wingdings" w:hAnsi="Wingdings" w:cs="Wingdings"/>
    </w:rPr>
  </w:style>
  <w:style w:type="character" w:customStyle="1" w:styleId="WW8Num17z4">
    <w:name w:val="WW8Num17z4"/>
    <w:qFormat/>
    <w:rPr>
      <w:rFonts w:ascii="Courier New" w:hAnsi="Courier New" w:cs="Courier New"/>
    </w:rPr>
  </w:style>
  <w:style w:type="character" w:customStyle="1" w:styleId="WW8Num18z0">
    <w:name w:val="WW8Num18z0"/>
    <w:qFormat/>
    <w:rPr>
      <w:rFonts w:ascii="Symbol" w:hAnsi="Symbol" w:cs="Symbol"/>
      <w:sz w:val="20"/>
    </w:rPr>
  </w:style>
  <w:style w:type="character" w:customStyle="1" w:styleId="WW8Num19z0">
    <w:name w:val="WW8Num19z0"/>
    <w:qFormat/>
    <w:rPr>
      <w:rFonts w:ascii="Symbol" w:hAnsi="Symbol" w:cs="Symbol"/>
      <w:sz w:val="20"/>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b/>
      <w:i w:val="0"/>
    </w:rPr>
  </w:style>
  <w:style w:type="character" w:customStyle="1" w:styleId="WW8Num21z1">
    <w:name w:val="WW8Num21z1"/>
    <w:qFormat/>
    <w:rPr>
      <w:b/>
      <w:i w:val="0"/>
      <w:color w:val="000000"/>
    </w:rPr>
  </w:style>
  <w:style w:type="character" w:customStyle="1" w:styleId="WW8Num21z2">
    <w:name w:val="WW8Num21z2"/>
    <w:qFormat/>
  </w:style>
  <w:style w:type="character" w:customStyle="1" w:styleId="WW8Num22z0">
    <w:name w:val="WW8Num22z0"/>
    <w:qFormat/>
    <w:rPr>
      <w:rFonts w:ascii="Garamond" w:hAnsi="Garamond" w:cs="Arial"/>
      <w:b/>
      <w:bCs/>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b/>
      <w:i w:val="0"/>
    </w:rPr>
  </w:style>
  <w:style w:type="character" w:customStyle="1" w:styleId="WW8Num23z1">
    <w:name w:val="WW8Num23z1"/>
    <w:qFormat/>
    <w:rPr>
      <w:rFonts w:ascii="Arial" w:hAnsi="Arial" w:cs="Arial"/>
      <w:b/>
      <w:i w:val="0"/>
      <w:color w:val="000000"/>
    </w:rPr>
  </w:style>
  <w:style w:type="character" w:customStyle="1" w:styleId="WW8Num23z3">
    <w:name w:val="WW8Num23z3"/>
    <w:qFormat/>
    <w:rPr>
      <w:rFonts w:ascii="Arial" w:hAnsi="Arial" w:cs="Arial"/>
      <w:b/>
    </w:rPr>
  </w:style>
  <w:style w:type="character" w:customStyle="1" w:styleId="WW8Num23z4">
    <w:name w:val="WW8Num23z4"/>
    <w:qFormat/>
  </w:style>
  <w:style w:type="character" w:customStyle="1" w:styleId="WW8Num24z0">
    <w:name w:val="WW8Num24z0"/>
    <w:qFormat/>
    <w:rPr>
      <w:rFonts w:ascii="Symbol" w:hAnsi="Symbol" w:cs="Symbol"/>
      <w:sz w:val="20"/>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rPr>
      <w:rFonts w:ascii="Garamond" w:hAnsi="Garamond" w:cs="Garamond"/>
      <w:b/>
      <w:bCs/>
    </w:rPr>
  </w:style>
  <w:style w:type="character" w:styleId="Nmerodepgina">
    <w:name w:val="page number"/>
    <w:basedOn w:val="Fuentedeprrafopredeter"/>
  </w:style>
  <w:style w:type="character" w:styleId="Hipervnculo">
    <w:name w:val="Hyperlink"/>
    <w:rPr>
      <w:color w:val="0000FF"/>
      <w:u w:val="single"/>
    </w:rPr>
  </w:style>
  <w:style w:type="character" w:customStyle="1" w:styleId="BalloonTextChar">
    <w:name w:val="Balloon Text Char"/>
    <w:qFormat/>
    <w:rPr>
      <w:rFonts w:ascii="Tahoma" w:hAnsi="Tahoma" w:cs="Tahoma"/>
      <w:sz w:val="16"/>
      <w:szCs w:val="16"/>
    </w:rPr>
  </w:style>
  <w:style w:type="character" w:customStyle="1" w:styleId="IndexLink">
    <w:name w:val="Index Link"/>
    <w:qFormat/>
  </w:style>
  <w:style w:type="paragraph" w:customStyle="1" w:styleId="Heading">
    <w:name w:val="Heading"/>
    <w:basedOn w:val="Normal"/>
    <w:next w:val="Textoindependiente"/>
    <w:qFormat/>
    <w:pPr>
      <w:spacing w:before="240" w:after="60"/>
      <w:jc w:val="center"/>
      <w:outlineLvl w:val="0"/>
    </w:pPr>
    <w:rPr>
      <w:rFonts w:ascii="Arial" w:hAnsi="Arial" w:cs="Arial"/>
      <w:b/>
      <w:kern w:val="2"/>
      <w:sz w:val="32"/>
    </w:rPr>
  </w:style>
  <w:style w:type="paragraph" w:styleId="Textoindependiente">
    <w:name w:val="Body Text"/>
    <w:basedOn w:val="Normal"/>
    <w:pPr>
      <w:tabs>
        <w:tab w:val="left" w:pos="360"/>
      </w:tabs>
    </w:pPr>
    <w:rPr>
      <w:sz w:val="24"/>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tulo">
    <w:name w:val="Subtitle"/>
    <w:basedOn w:val="Normal"/>
    <w:next w:val="Textoindependiente"/>
    <w:uiPriority w:val="11"/>
    <w:qFormat/>
    <w:pPr>
      <w:spacing w:after="60"/>
      <w:outlineLvl w:val="1"/>
    </w:pPr>
    <w:rPr>
      <w:rFonts w:ascii="Arial" w:hAnsi="Arial" w:cs="Arial"/>
    </w:rPr>
  </w:style>
  <w:style w:type="paragraph" w:customStyle="1" w:styleId="TableText">
    <w:name w:val="Table Text"/>
    <w:basedOn w:val="Normal"/>
    <w:qFormat/>
    <w:pPr>
      <w:spacing w:before="60" w:after="60"/>
      <w:jc w:val="right"/>
    </w:pPr>
    <w:rPr>
      <w:rFonts w:ascii="Helvetica" w:hAnsi="Helvetica" w:cs="Helvetica"/>
      <w:b/>
      <w:sz w:val="16"/>
      <w:lang w:bidi="en-US"/>
    </w:rPr>
  </w:style>
  <w:style w:type="paragraph" w:customStyle="1" w:styleId="TableTitle">
    <w:name w:val="Table Title"/>
    <w:basedOn w:val="Normal"/>
    <w:qFormat/>
    <w:pPr>
      <w:spacing w:before="60" w:after="60"/>
      <w:jc w:val="center"/>
    </w:pPr>
    <w:rPr>
      <w:rFonts w:ascii="Helvetica" w:hAnsi="Helvetica" w:cs="Helvetica"/>
      <w:b/>
      <w:sz w:val="18"/>
      <w:lang w:bidi="en-US"/>
    </w:rPr>
  </w:style>
  <w:style w:type="paragraph" w:customStyle="1" w:styleId="MatrixTableText">
    <w:name w:val="Matrix Table Text"/>
    <w:basedOn w:val="Normal"/>
    <w:qFormat/>
    <w:pPr>
      <w:spacing w:before="14"/>
      <w:jc w:val="center"/>
    </w:pPr>
    <w:rPr>
      <w:rFonts w:ascii="Helvetica" w:hAnsi="Helvetica" w:cs="Arial"/>
      <w:sz w:val="16"/>
      <w:szCs w:val="16"/>
    </w:rPr>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BodyText">
    <w:name w:val="BodyText"/>
    <w:basedOn w:val="Normal"/>
    <w:qFormat/>
    <w:rPr>
      <w:rFonts w:ascii="Garamond" w:hAnsi="Garamond" w:cs="Garamond"/>
      <w:sz w:val="22"/>
      <w:szCs w:val="22"/>
    </w:rPr>
  </w:style>
  <w:style w:type="paragraph" w:styleId="Textonotaalfinal">
    <w:name w:val="endnote text"/>
    <w:basedOn w:val="Normal"/>
  </w:style>
  <w:style w:type="paragraph" w:styleId="TDC1">
    <w:name w:val="toc 1"/>
    <w:basedOn w:val="Normal"/>
    <w:next w:val="Normal"/>
    <w:pPr>
      <w:tabs>
        <w:tab w:val="left" w:pos="360"/>
        <w:tab w:val="right" w:leader="dot" w:pos="9926"/>
      </w:tabs>
    </w:pPr>
    <w:rPr>
      <w:rFonts w:ascii="Arial" w:hAnsi="Arial" w:cs="Arial"/>
      <w:b/>
      <w:lang w:eastAsia="en-US"/>
    </w:rPr>
  </w:style>
  <w:style w:type="paragraph" w:styleId="Sangra2detindependiente">
    <w:name w:val="Body Text Indent 2"/>
    <w:basedOn w:val="Normal"/>
    <w:qFormat/>
    <w:pPr>
      <w:ind w:left="720"/>
    </w:pPr>
  </w:style>
  <w:style w:type="paragraph" w:customStyle="1" w:styleId="TableContents">
    <w:name w:val="Table Contents"/>
    <w:basedOn w:val="Normal"/>
    <w:qFormat/>
    <w:pPr>
      <w:widowControl w:val="0"/>
      <w:suppressLineNumbers/>
    </w:pPr>
  </w:style>
  <w:style w:type="paragraph" w:customStyle="1" w:styleId="TableHeading">
    <w:name w:val="Table Heading"/>
    <w:basedOn w:val="Normal"/>
    <w:qFormat/>
    <w:pPr>
      <w:spacing w:before="60" w:after="60"/>
    </w:pPr>
    <w:rPr>
      <w:rFonts w:ascii="Arial" w:hAnsi="Arial" w:cs="Arial"/>
      <w:b/>
    </w:rPr>
  </w:style>
  <w:style w:type="paragraph" w:customStyle="1" w:styleId="StyleJustifiedLeft025">
    <w:name w:val="Style Justified Left:  0.25&quot;"/>
    <w:basedOn w:val="Normal"/>
    <w:qFormat/>
    <w:pPr>
      <w:ind w:left="360"/>
    </w:pPr>
    <w:rPr>
      <w:sz w:val="24"/>
    </w:rPr>
  </w:style>
  <w:style w:type="paragraph" w:styleId="TDC2">
    <w:name w:val="toc 2"/>
    <w:basedOn w:val="Normal"/>
    <w:next w:val="Normal"/>
    <w:pPr>
      <w:ind w:left="200"/>
    </w:pPr>
  </w:style>
  <w:style w:type="paragraph" w:customStyle="1" w:styleId="Normaltext">
    <w:name w:val="Normal text"/>
    <w:basedOn w:val="Normal"/>
    <w:qFormat/>
    <w:rPr>
      <w:rFonts w:ascii="Arial" w:hAnsi="Arial" w:cs="Arial"/>
      <w:sz w:val="16"/>
    </w:rPr>
  </w:style>
  <w:style w:type="paragraph" w:customStyle="1" w:styleId="Bodylevel2CharChar">
    <w:name w:val="Body level 2 Char Char"/>
    <w:basedOn w:val="Normal"/>
    <w:qFormat/>
    <w:pPr>
      <w:spacing w:after="120"/>
      <w:ind w:left="1224"/>
    </w:pPr>
  </w:style>
  <w:style w:type="paragraph" w:customStyle="1" w:styleId="EGBodyText">
    <w:name w:val="EG Body Text"/>
    <w:qFormat/>
    <w:pPr>
      <w:tabs>
        <w:tab w:val="left" w:pos="0"/>
      </w:tabs>
      <w:spacing w:before="120" w:line="240" w:lineRule="atLeast"/>
      <w:ind w:left="180"/>
    </w:pPr>
    <w:rPr>
      <w:rFonts w:ascii="Garamond" w:eastAsia="MS Mincho;ＭＳ 明朝" w:hAnsi="Garamond" w:cs="Garamond"/>
      <w:sz w:val="22"/>
      <w:szCs w:val="20"/>
      <w:lang w:bidi="ar-SA"/>
    </w:rPr>
  </w:style>
  <w:style w:type="paragraph" w:styleId="TDC3">
    <w:name w:val="toc 3"/>
    <w:basedOn w:val="Normal"/>
    <w:next w:val="Normal"/>
    <w:pPr>
      <w:tabs>
        <w:tab w:val="left" w:pos="990"/>
        <w:tab w:val="right" w:leader="dot" w:pos="9350"/>
      </w:tabs>
      <w:ind w:left="400"/>
    </w:pPr>
  </w:style>
  <w:style w:type="paragraph" w:customStyle="1" w:styleId="ITSTableText">
    <w:name w:val="ITS Table Text"/>
    <w:qFormat/>
    <w:pPr>
      <w:spacing w:before="60" w:after="60"/>
    </w:pPr>
    <w:rPr>
      <w:rFonts w:ascii="Helvetica" w:eastAsia="Times New Roman" w:hAnsi="Helvetica" w:cs="Helvetica"/>
      <w:sz w:val="16"/>
      <w:szCs w:val="20"/>
      <w:lang w:bidi="ar-SA"/>
    </w:rPr>
  </w:style>
  <w:style w:type="paragraph" w:customStyle="1" w:styleId="ITSTableTitle">
    <w:name w:val="ITS Table Title"/>
    <w:qFormat/>
    <w:pPr>
      <w:spacing w:before="60" w:after="60"/>
    </w:pPr>
    <w:rPr>
      <w:rFonts w:ascii="Helvetica" w:eastAsia="Times New Roman" w:hAnsi="Helvetica" w:cs="Helvetica"/>
      <w:b/>
      <w:sz w:val="18"/>
      <w:szCs w:val="20"/>
      <w:lang w:bidi="ar-SA"/>
    </w:rPr>
  </w:style>
  <w:style w:type="paragraph" w:customStyle="1" w:styleId="ITSBodyText">
    <w:name w:val="ITS  Body Text"/>
    <w:qFormat/>
    <w:pPr>
      <w:spacing w:before="120" w:line="240" w:lineRule="atLeast"/>
      <w:ind w:left="432"/>
    </w:pPr>
    <w:rPr>
      <w:rFonts w:ascii="Garamond" w:eastAsia="MS Mincho;ＭＳ 明朝" w:hAnsi="Garamond" w:cs="Garamond"/>
      <w:color w:val="0000FF"/>
      <w:sz w:val="22"/>
      <w:szCs w:val="20"/>
      <w:lang w:bidi="ar-SA"/>
    </w:rPr>
  </w:style>
  <w:style w:type="paragraph" w:styleId="Textodeglobo">
    <w:name w:val="Balloon Text"/>
    <w:basedOn w:val="Normal"/>
    <w:qFormat/>
    <w:rPr>
      <w:rFonts w:ascii="Tahoma" w:hAnsi="Tahoma" w:cs="Tahoma"/>
      <w:sz w:val="16"/>
      <w:szCs w:val="16"/>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character" w:styleId="Mencinsinresolver">
    <w:name w:val="Unresolved Mention"/>
    <w:basedOn w:val="Fuentedeprrafopredeter"/>
    <w:uiPriority w:val="99"/>
    <w:semiHidden/>
    <w:unhideWhenUsed/>
    <w:rsid w:val="00446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721A7-3ED4-42A5-9CDA-8376273B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2647</Words>
  <Characters>14561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Reyes64</dc:creator>
  <cp:lastModifiedBy>Adrian Ceferino Huamani Ccallo</cp:lastModifiedBy>
  <cp:revision>3</cp:revision>
  <dcterms:created xsi:type="dcterms:W3CDTF">2021-12-06T22:10:00Z</dcterms:created>
  <dcterms:modified xsi:type="dcterms:W3CDTF">2021-12-06T22:26:00Z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2011-07-07T19:09:00Z</dcterms:created>
  <dc:creator>Mark Cianca</dc:creator>
  <dc:description/>
  <cp:keywords> </cp:keywords>
  <dc:language>en-US</dc:language>
  <cp:lastModifiedBy>Julie Goldstein</cp:lastModifiedBy>
  <cp:lastPrinted>2007-03-22T14:57:00Z</cp:lastPrinted>
  <dcterms:modified xsi:type="dcterms:W3CDTF">2011-08-10T20:35:00Z</dcterms:modified>
  <cp:revision>4</cp:revision>
  <dc:subject/>
  <dc:title>Permanent</dc:title>
</cp:coreProperties>
</file>