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#Fase 3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Formas de atribuição | Números reais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  <w:t xml:space="preserve">Dissertativos | Lembre-se da forma conceitual (não JavaScript)</w:t>
      </w:r>
    </w:p>
    <w:p>
      <w:pPr>
        <w:numPr>
          <w:ilvl w:val="0"/>
          <w:numId w:val="4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valor de uma variável local, antes que tenha sido feita a primeira atribuição, pode ser aproveitado? Justifique.</w:t>
      </w:r>
    </w:p>
    <w:p>
      <w:pPr>
        <w:numPr>
          <w:ilvl w:val="0"/>
          <w:numId w:val="4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Podemos atribuir um valor inteiro em uma variável real, e vice versa? Explique.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PODEMOS SIM, UMA VARIAVEl REAL E FEITA APENAS DE NUMEROS INTEIROS.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são as formas (ou tipos) de atribuição que aprendemos?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Integer, String, Boolean,Float,Date,Char,TimeStamp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o símbolo usado para: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Terminar instruções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; "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Separar o valor e as casas decimais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. "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Separar informações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, "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Obter o resto de uma divisão inteira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% "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Delimitar blocos de comandos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{ " e " } "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Em programação, é possível controlar a precedência em operações aritméticas?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Conceitualmente, o que é mais importante: a expressão, ou o resultado que ela produz? Porque?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A RESPOSTA, POIS É A UNICO VALOR QUE VAI SER DE FATO UTILIZADO PELO PROGRAMA.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Posso fazer expressões com tipos de dados diferentes do resultado?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a diferença entre operações unárias e binárias?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UNÁRIAS UTILIZAMOS APENAS UMA VARIAVEL, BINARIA DUAS VARIAVEIS.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é um teste de mesa, ou teste chinês?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É UMA TECNICA PARA CHECAR SE TEM ALGUM ERRO DE LOGICA NO       SEU CODIGO.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Onde visualizar os valores de variáveis no VSCode, no momento da depuração do código?</w:t>
      </w:r>
    </w:p>
    <w:p>
      <w:pPr>
        <w:numPr>
          <w:ilvl w:val="0"/>
          <w:numId w:val="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NA SAIDA OU TERMINAL 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