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Ejemplos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FOTOS DE REFERENCIA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una memoria ECC al tener un modulo extra utiliza dicho modulo como modulo de detección y correción de errores en tiempo real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diferencias ECC y no ECC: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NON-ECC</w:t>
            </w:r>
          </w:p>
        </w:tc>
      </w:tr>
      <w:tr>
        <w:trPr>
          <w:cantSplit w:val="0"/>
          <w:trHeight w:val="877.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after="600" w:line="240" w:lineRule="auto"/>
              <w:rPr/>
            </w:pPr>
            <w:r w:rsidDel="00000000" w:rsidR="00000000" w:rsidRPr="00000000">
              <w:rPr>
                <w:color w:val="212529"/>
                <w:rtl w:val="0"/>
              </w:rPr>
              <w:t xml:space="preserve">Entre un 15% y un 30% más caras en promedio que las Memorias Non-ECC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DESEMPEÑO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Promedio (ordenador sobremesa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Incompatible con algunas placas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Compatible para todas las placas (sobremesa)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Alta, presenta corrección de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Baja, tendencia a fallos en entornos de alta disponibilidad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UTILIDAD hw SERVIDORES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Recomendable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recomendable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(A DIA DE HOY TAMBIEN ESTAN EMPEZANDO A USAR LA TECNOLOGÍA ECC EN ORDENADORES DE SOBREMESA)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9017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cisco.com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