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ns1="http://schemas.openxmlformats.org/officeDocument/2006/relationships" xmlns:w="http://schemas.openxmlformats.org/wordprocessingml/2006/main">
  <w:body>
    <w:p>
      <w:pPr>
        <w:pStyle w:val="Title"/>
      </w:pPr>
      <w:r>
        <w:t>Sistema inteligente de apoyo a la decisión para la gestión hídrica agrícola</w:t>
      </w:r>
    </w:p>
    <w:p>
      <w:pPr>
        <w:spacing w:after="360"/>
        <w:jc w:val="center"/>
      </w:pPr>
      <w:r>
        <w:rPr>
          <w:i/>
        </w:rPr>
        <w:t>Trabajo Fin de Máster en Data Science</w:t>
      </w:r>
    </w:p>
    <w:p>
      <w:pPr>
        <w:pStyle w:val="Heading1"/>
      </w:pPr>
      <w:r>
        <w:t>1. Introducción y objetivos</w:t>
      </w:r>
    </w:p>
    <w:p>
      <w:pPr>
        <w:pStyle w:val="Heading2"/>
      </w:pPr>
      <w:r>
        <w:t>1.1. Contexto, motivación y justificación</w:t>
      </w:r>
    </w:p>
    <w:p>
      <w:pPr>
        <w:widowControl/>
      </w:pPr>
      <w:r>
        <w:t>El agua constituye un factor productivo esencial para la agricultura y, al mismo tiempo, un recurso limitado sometido a una presión creciente. A escala mundial, el regadío concentra alrededor del 70 % de las extracciones de agua dulce y permite obtener cerca del 40 % de la producción agrícola en alrededor del 20 % de la superficie cultivada. Estas cifras muestran la capacidad del riego para estabilizar y elevar la producción, pero también la necesidad de mejorar la productividad del agua y evitar aplicaciones superiores a las necesidades reales de los cultivos (FAO, 2021).</w:t>
      </w:r>
    </w:p>
    <w:p>
      <w:pPr>
        <w:widowControl/>
      </w:pPr>
      <w:r>
        <w:t>Este reto es especialmente relevante en Europa meridional. La escasez hídrica no se limita a episodios excepcionales de sequía, sino que responde también al desequilibrio recurrente entre la disponibilidad y la demanda de agua. En el conjunto europeo, el estrés hídrico afecta cada año a cerca del 20 % del territorio y al 30 % de la población, con una incidencia más intensa y persistente en el sur del continente (European Environment Agency [EEA], 2021). Además, las proyecciones climáticas anticipan un aumento de los riesgos asociados al calor, la sequía y la reducción de la disponibilidad de agua en la región mediterránea, lo que incrementa la incertidumbre sobre la planificación agrícola y refuerza la necesidad de medidas de adaptación basadas en información actualizada (Intergovernmental Panel on Climate Change [IPCC], 2022).</w:t>
      </w:r>
    </w:p>
    <w:p>
      <w:pPr>
        <w:widowControl/>
      </w:pPr>
      <w:r>
        <w:t>En España, el regadío presenta una importancia económica desproporcionada respecto a la superficie que ocupa: aproximadamente el 22 % de la superficie cultivada genera alrededor del 65 % de la Producción Final Vegetal. Esta relevancia productiva explica que la política pública no pueda orientarse únicamente a reducir el consumo, sino a compatibilizar la viabilidad de las explotaciones con una aplicación más eficiente del agua y la energía. El marco estatal identifica de forma expresa la digitalización, la adaptación a escenarios de menor disponibilidad hídrica y la tecnificación del regadío como líneas prioritarias de actuación (Real Decreto 854/2022, 2022).</w:t>
      </w:r>
    </w:p>
    <w:p>
      <w:pPr>
        <w:widowControl/>
      </w:pPr>
      <w:r>
        <w:t>La programación del riego es, por tanto, una decisión compleja y dependiente del contexto. La cantidad de agua que requiere una parcela varía con la especie y la fase fenológica del cultivo, las características del suelo, la localización, la temperatura, la radiación, la humedad, el viento, la precipitación efectiva y la eficiencia del sistema de aplicación. La metodología FAO-56 proporciona una base agronómica consolidada para estimar la evapotranspiración de referencia y transformarla en evapotranspiración del cultivo mediante coeficientes específicos (Allen et al., 1998). Sin embargo, convertir estas estimaciones en una decisión operativa exige disponer de datos consistentes, representativos de la parcela y actualizados con una frecuencia compatible con el horizonte de decisión.</w:t>
      </w:r>
    </w:p>
    <w:p>
      <w:pPr>
        <w:widowControl/>
      </w:pPr>
      <w:r>
        <w:t>Los enfoques convencionales basados en calendarios fijos, valores medios o reglas generales siguen siendo útiles como referencia, pero pueden responder de forma limitada ante variaciones locales y cambios meteorológicos rápidos. La agricultura de precisión amplía este enfoque al integrar observaciones meteorológicas, información agrometeorológica, atributos del cultivo y registros históricos. Sobre esta base, las técnicas de aprendizaje automático permiten modelizar relaciones no lineales, comparar patrones y generar predicciones a partir de múltiples variables. La literatura sitúa la gestión del agua y del suelo entre las principales áreas de aplicación del aprendizaje automático en agricultura y destaca su utilidad para generar información de apoyo a la toma de decisiones (Liakos et al., 2018).</w:t>
      </w:r>
    </w:p>
    <w:p>
      <w:pPr>
        <w:widowControl/>
      </w:pPr>
      <w:r>
        <w:t>El valor práctico de estas técnicas aumenta cuando sus resultados se incorporan a un sistema de apoyo a la decisión, es decir, a una herramienta que transforma datos y predicciones en una recomendación comprensible y accionable. En un estudio desarrollado sobre plantaciones comerciales de cítricos del sureste de España, Navarro-Hellín et al. (2016) integraron variables climáticas, mediciones de suelo y modelos de aprendizaje automático para estimar necesidades semanales de riego y contrastarlas con las decisiones de un experto. Este antecedente respalda la viabilidad del enfoque, pero también muestra que la utilidad de un modelo depende de su calibración local, de la calidad de los datos de entrada y de una validación vinculada al uso real.</w:t>
      </w:r>
    </w:p>
    <w:p>
      <w:pPr>
        <w:widowControl/>
      </w:pPr>
      <w:r>
        <w:t>A partir de este contexto, el presente Trabajo Fin de Máster plantea el desarrollo de un sistema inteligente de apoyo a la decisión para la gestión hídrica agrícola. La propuesta busca integrar en un flujo reproducible variables meteorológicas y ambientales, información relativa al tipo de cultivo y su localización, antecedentes de necesidades de riego e indicadores sobre la disponibilidad de recursos hídricos. La finalidad es estimar la demanda de riego en horizontes operativos y presentar el resultado mediante una interfaz que facilite la interpretación por agricultores, cooperativas y responsables de explotaciones.</w:t>
      </w:r>
    </w:p>
    <w:p>
      <w:pPr>
        <w:widowControl/>
      </w:pPr>
      <w:r>
        <w:t>La motivación del proyecto es triple. En primer lugar, responde a una necesidad ambiental y productiva: asignar el agua con mayor precisión en un contexto de escasez y variabilidad climática. En segundo lugar, aborda una necesidad operativa: reducir la dispersión de datos entre fuentes y convertirlos en información útil para decidir cuándo y cuánto regar. En tercer lugar, ofrece un problema adecuado para aplicar de forma integrada competencias de ciencia de datos, como la extracción y transformación de información, el análisis exploratorio, la ingeniería de variables, la comparación de modelos predictivos, la evaluación de errores y la visualización de resultados.</w:t>
      </w:r>
    </w:p>
    <w:p>
      <w:pPr>
        <w:widowControl/>
      </w:pPr>
      <w:r>
        <w:t>La justificación académica y aplicada del TFM no reside en presuponer que un algoritmo complejo producirá por sí mismo un ahorro determinado. Esa afirmación solo sería defendible después de una validación con datos adecuados y frente a una referencia comparable. La aportación prevista consiste en diseñar y evaluar una cadena completa de datos y decisión, documentar sus supuestos, comparar alternativas de modelización con métricas objetivas y hacer explícitas sus limitaciones. Este planteamiento evita sustituir el criterio agronómico por una salida automática y sitúa el modelo como apoyo trazable a la decisión. De este modo, el proyecto se alinea con las prioridades de eficiencia, digitalización y adaptación del regadío español, a la vez que mantiene un alcance realista y verificable para un Trabajo Fin de Máster (Real Decreto 854/2022, 2022).</w:t>
      </w:r>
    </w:p>
    <w:p>
      <w:pPr>
        <w:pStyle w:val="Heading2"/>
      </w:pPr>
      <w:r>
        <w:t>1.2. Objetivos generales y específicos</w:t>
      </w:r>
    </w:p>
    <w:p>
      <w:pPr>
        <w:keepLines w:val="0"/>
        <w:widowControl/>
        <w:jc w:val="both"/>
      </w:pPr>
      <w:r>
        <w:rPr>
          <w:b/>
        </w:rPr>
        <w:t xml:space="preserve">Objetivo general. </w:t>
      </w:r>
      <w:r>
        <w:t>El objetivo general del presente Trabajo Fin de Máster es diseñar, implementar y evaluar un sistema inteligente de apoyo a la decisión para la gestión hídrica agrícola que integre datos meteorológicos, ambientales, agronómicos e hidrológicos, estime las necesidades de riego de los cultivos y las transforme en recomendaciones operativas, trazables y comprensibles para las localizaciones incluidas en el alcance del estudio.</w:t>
      </w:r>
    </w:p>
    <w:p>
      <w:pPr>
        <w:keepLines w:val="0"/>
        <w:widowControl/>
        <w:jc w:val="both"/>
      </w:pPr>
      <w:r>
        <w:t>El sistema se concibe como una herramienta de apoyo y no como un mecanismo autónomo que sustituya el criterio agronómico. En consecuencia, su evaluación no partirá de un porcentaje de ahorro fijado de antemano, sino de resultados verificables: la calidad y trazabilidad de los datos, el rendimiento predictivo frente a referencias comparables, la coherencia de las recomendaciones generadas y la identificación explícita de sus limitaciones.</w:t>
      </w:r>
    </w:p>
    <w:p>
      <w:pPr>
        <w:keepLines w:val="0"/>
        <w:widowControl/>
        <w:jc w:val="both"/>
      </w:pPr>
      <w:r>
        <w:t>En cuanto a los objetivos específicos, para alcanzar este propósito se plantea identificar y documentar las fuentes de datos relevantes para el problema, así como las variables meteorológicas, ambientales, agronómicas e hidrológicas necesarias. Esta revisión deberá valorar la disponibilidad de la información, su granularidad temporal y espacial, su consistencia y su utilidad para estimar las necesidades de riego.</w:t>
      </w:r>
    </w:p>
    <w:p>
      <w:pPr>
        <w:keepLines w:val="0"/>
        <w:widowControl/>
        <w:jc w:val="both"/>
      </w:pPr>
      <w:r>
        <w:t>Sobre esta base, se pretende diseñar un flujo de datos reproducible que permita extraer, depurar, transformar, integrar y almacenar información procedente de fuentes heterogéneas. El proceso incorporará controles de calidad, criterios de actualización y mecanismos de trazabilidad que permitan conocer el origen y las transformaciones aplicadas a cada dato.</w:t>
      </w:r>
    </w:p>
    <w:p>
      <w:pPr>
        <w:keepLines w:val="0"/>
        <w:widowControl/>
        <w:jc w:val="both"/>
      </w:pPr>
      <w:r>
        <w:t>Una vez preparada la información, se realizará un análisis exploratorio y se construirán las variables derivadas necesarias para caracterizar la relación entre las condiciones meteorológicas, el tipo de cultivo, la localización, la disponibilidad de agua y la demanda de riego.</w:t>
      </w:r>
    </w:p>
    <w:p>
      <w:pPr>
        <w:keepLines w:val="0"/>
        <w:widowControl/>
        <w:jc w:val="both"/>
      </w:pPr>
      <w:r>
        <w:t>En la fase de modelización, el objetivo será desarrollar y comparar modelos predictivos capaces de estimar las necesidades hídricas o la demanda de riego en el horizonte temporal definido. Para ello se emplearán particiones de entrenamiento y validación adecuadas, junto con métricas objetivas de error y capacidad explicativa.</w:t>
      </w:r>
    </w:p>
    <w:p>
      <w:pPr>
        <w:keepLines w:val="0"/>
        <w:widowControl/>
        <w:jc w:val="both"/>
      </w:pPr>
      <w:r>
        <w:t>A partir de las estimaciones obtenidas, se diseñará una lógica de recomendación que las convierta en propuestas sobre la cantidad y el momento de riego. Esta lógica incorporará las restricciones agronómicas y de disponibilidad hídrica que puedan representarse mediante los datos disponibles.</w:t>
      </w:r>
    </w:p>
    <w:p>
      <w:pPr>
        <w:keepLines w:val="0"/>
        <w:widowControl/>
        <w:jc w:val="both"/>
      </w:pPr>
      <w:r>
        <w:t>El trabajo también contempla implementar un prototipo de aplicación o panel de visualización que presente las variables relevantes, las predicciones y las recomendaciones de forma clara para agricultores, cooperativas y responsables de explotaciones.</w:t>
      </w:r>
    </w:p>
    <w:p>
      <w:pPr>
        <w:keepLines w:val="0"/>
        <w:widowControl/>
        <w:jc w:val="both"/>
      </w:pPr>
      <w:r>
        <w:t>Finalmente, se evaluará el funcionamiento integral del sistema mediante la comparación con referencias agronómicas o modelos base, el análisis de los errores y la revisión de la coherencia práctica de las recomendaciones. Esta evaluación documentará los supuestos, las limitaciones y las condiciones necesarias para una posible aplicación del sistema.</w:t>
      </w:r>
    </w:p>
    <w:p>
      <w:pPr>
        <w:pStyle w:val="Heading2"/>
      </w:pPr>
      <w:r>
        <w:t>1.3. Alcance, usuarios y limitaciones</w:t>
      </w:r>
    </w:p>
    <w:p>
      <w:pPr>
        <w:keepLines w:val="0"/>
        <w:widowControl/>
        <w:jc w:val="both"/>
      </w:pPr>
      <w:r>
        <w:t>El trabajo se plantea como una prueba de concepto de un sistema de apoyo a la decisión y abarca el ciclo completo que conecta la adquisición de datos con la presentación de una recomendación de riego. El desarrollo comprende la integración y depuración de la información, el análisis exploratorio, la construcción y comparación de modelos predictivos, la definición de una lógica de recomendación y la implementación de un prototipo de visualización. La aplicación empírica se limitará a una región o cuenca seleccionada y a un conjunto de cultivos hortofrutícolas para los que exista información histórica suficiente y comparable; por tanto, los resultados no se considerarán directamente extrapolables a cualquier cultivo o territorio.</w:t>
      </w:r>
    </w:p>
    <w:p>
      <w:pPr>
        <w:keepLines w:val="0"/>
        <w:widowControl/>
        <w:jc w:val="both"/>
      </w:pPr>
      <w:r>
        <w:t>Las fuentes principales previstas son AEMET OpenData para las observaciones y predicciones meteorológicas, el Sistema de Información Agroclimática para el Regadío (SiAR) para los datos procedentes de estaciones agrometeorológicas y los productos oficiales sobre reservas y estado de los recursos hídricos. AEMET OpenData actúa como sistema de difusión y reutilización de la información meteorológica, mientras que SiAR ofrece información agroclimática orientada a la planificación del riego. Para contextualizar la disponibilidad de agua podrán incorporarse los datos agregados del Boletín Hidrológico semanal, siempre que su escala espacial y temporal sea compatible con el caso de estudio (Agencia Estatal de Meteorología [AEMET], s. f.; Ministerio de Agricultura, Pesca y Alimentación [MAPA], s. f.; Ministerio para la Transición Ecológica y el Reto Demográfico [MITECO], s. f.).</w:t>
      </w:r>
    </w:p>
    <w:p>
      <w:pPr>
        <w:keepLines w:val="0"/>
        <w:widowControl/>
        <w:jc w:val="both"/>
      </w:pPr>
      <w:r>
        <w:t>El horizonte operativo será diario o semanal, en función de la frecuencia y continuidad de los datos disponibles. La salida principal consistirá en una estimación de la necesidad de riego y en una recomendación interpretable sobre la conveniencia, el momento y la cantidad de agua que debe aplicarse. La conversión de una lámina de riego a un volumen por parcela solo se realizará cuando se disponga de la superficie cultivada y de información suficiente sobre la eficiencia del sistema de aplicación. El prototipo no accionará bombas, válvulas ni programadores y tampoco constituirá un sistema de control en tiempo real de circuito cerrado.</w:t>
      </w:r>
    </w:p>
    <w:p>
      <w:pPr>
        <w:keepLines w:val="0"/>
        <w:widowControl/>
        <w:jc w:val="both"/>
      </w:pPr>
      <w:r>
        <w:t>Los usuarios principales serán agricultores, técnicos agronómicos, responsables de explotaciones y personal de cooperativas que necesiten consultar de forma integrada las condiciones relevantes para planificar el riego. De manera secundaria, la información agregada podría ser útil para organizaciones del sector o gestores interesados en comparar patrones territoriales, aunque el prototipo no se diseñará como instrumento oficial de asignación de recursos. La literatura sobre herramientas de apoyo a la decisión agrícola señala que la utilidad percibida, la facilidad de uso, la relevancia para el usuario y la confianza en el rendimiento condicionan su adopción, por lo que la interfaz deberá priorizar la claridad y la trazabilidad de las recomendaciones (Rose et al., 2016).</w:t>
      </w:r>
    </w:p>
    <w:p>
      <w:pPr>
        <w:keepLines w:val="0"/>
        <w:widowControl/>
        <w:jc w:val="both"/>
      </w:pPr>
      <w:r>
        <w:t>La interacción prevista permitirá seleccionar la localización y el tipo de cultivo, consultar las variables de entrada más relevantes, visualizar la estimación obtenida y conocer los elementos que sustentan la recomendación. La decisión final permanecerá en manos del usuario, que deberá contrastarla con el estado real de la parcela, la fase fenológica, las restricciones de la explotación y su conocimiento agronómico. En consecuencia, la salida del sistema no tendrá carácter normativo, contractual ni certificador y no sustituirá las indicaciones de un profesional cualificado.</w:t>
      </w:r>
    </w:p>
    <w:p>
      <w:pPr>
        <w:keepLines w:val="0"/>
        <w:widowControl/>
        <w:jc w:val="both"/>
      </w:pPr>
      <w:r>
        <w:t>Las principales limitaciones se relacionan con la calidad y representatividad de los datos. Pueden aparecer valores ausentes, cambios en los formatos, diferencias entre estaciones, retrasos de actualización y una falta de correspondencia entre la escala de una estación o de una cuenca y las condiciones concretas de una parcela. Además, los datos hidrológicos oficiales pueden ser provisionales y estar sujetos a revisión, y la utilidad de un sistema de riego depende de la calibración local, de la calidad de sus entradas y de una validación vinculada al uso real (MITECO, s. f.; Navarro-Hellín et al., 2016).</w:t>
      </w:r>
    </w:p>
    <w:p>
      <w:pPr>
        <w:keepLines w:val="0"/>
        <w:widowControl/>
        <w:jc w:val="both"/>
      </w:pPr>
      <w:r>
        <w:t>El rendimiento del modelo también estará condicionado por la cantidad y diversidad del histórico disponible, la definición de la variable objetivo y la presencia de situaciones climáticas o agronómicas poco representadas durante el entrenamiento. La evaluación utilizará una separación temporal entre entrenamiento y validación y comparará los modelos con referencias agronómicas o modelos base. Este procedimiento permitirá medir el error predictivo y detectar problemas de generalización, pero no equivaldrá a un ensayo de campo controlado ni permitirá atribuir causalmente una reducción del consumo de agua, energía o costes.</w:t>
      </w:r>
    </w:p>
    <w:p>
      <w:pPr>
        <w:keepLines w:val="0"/>
        <w:widowControl/>
        <w:jc w:val="both"/>
      </w:pPr>
      <w:r>
        <w:t>Quedan fuera del alcance inicial el control autónomo de infraestructuras de riego, la integración generalizada de sensores privados o imágenes satelitales, la cobertura de todas las cuencas y cultivos de España, la certificación agronómica de las recomendaciones y la prestación de un servicio comercial con garantías de disponibilidad. Estas funcionalidades podrán plantearse como líneas futuras una vez validado el prototipo. De este modo, el alcance se mantiene coherente con los recursos y el calendario de un Trabajo Fin de Máster y permite evaluar de manera verificable la aportación real de la solución.</w:t>
      </w:r>
    </w:p>
    <w:p>
      <w:pPr>
        <w:pStyle w:val="Heading1"/>
      </w:pPr>
      <w:r>
        <w:t>2. Marco teórico y estado del arte</w:t>
      </w:r>
    </w:p>
    <w:p>
      <w:pPr>
        <w:pStyle w:val="Heading2"/>
      </w:pPr>
      <w:r>
        <w:t>2.1. Necesidades hídricas y gestión eficiente del riego</w:t>
      </w:r>
    </w:p>
    <w:p>
      <w:pPr>
        <w:keepLines w:val="0"/>
        <w:widowControl/>
        <w:jc w:val="both"/>
      </w:pPr>
      <w:r>
        <w:t>La necesidad hídrica de un cultivo expresa la cantidad de agua que debe estar disponible en la zona radicular para sostener sus procesos de evaporación y transpiración durante un periodo determinado. Su componente agronómico principal es la evapotranspiración del cultivo, que integra la evaporación desde el suelo y la transpiración de la planta y suele expresarse como una lámina de agua en milímetros. Esta magnitud no equivale directamente al volumen que debe extraerse o aplicarse mediante riego, porque la necesidad de riego también depende de la precipitación efectiva, del agua almacenada en el suelo y de las pérdidas asociadas al sistema de distribución y aplicación (Allen et al., 1998).</w:t>
      </w:r>
    </w:p>
    <w:p>
      <w:pPr>
        <w:keepLines w:val="0"/>
        <w:widowControl/>
        <w:jc w:val="both"/>
      </w:pPr>
      <w:r>
        <w:t>La metodología FAO-56 establece la evapotranspiración de referencia como una medida de la demanda evaporativa de la atmósfera sobre una superficie de referencia. Su estimación mediante el método FAO Penman-Monteith utiliza, entre otras variables, la radiación solar, la temperatura del aire, la humedad y la velocidad del viento. La evapotranspiración del cultivo en condiciones estándar se obtiene combinando esta referencia con un coeficiente de cultivo. Dicho coeficiente varía según la especie, el grado de cobertura del suelo y la fase de desarrollo, por lo que no debe tratarse como un valor fijo durante toda la campaña (Allen et al., 1998).</w:t>
      </w:r>
    </w:p>
    <w:p>
      <w:pPr>
        <w:keepLines w:val="0"/>
        <w:widowControl/>
        <w:jc w:val="both"/>
      </w:pPr>
      <w:r>
        <w:t>Cuando las condiciones reales se apartan de las consideradas estándar, la estimación debe incorporar el efecto del estrés hídrico, la disponibilidad de agua en la zona radicular y las características del manejo. El balance hídrico del suelo permite representar estas relaciones contabilizando las entradas de agua, principalmente la lluvia efectiva y el riego, y las salidas debidas a evapotranspiración, escorrentía y percolación profunda, junto con los cambios en el almacenamiento del suelo. La necesidad neta de riego aparece cuando las aportaciones naturales y la reserva utilizable no permiten cubrir la demanda del cultivo sin superar el agotamiento admisible (Allen et al., 1998).</w:t>
      </w:r>
    </w:p>
    <w:p>
      <w:pPr>
        <w:keepLines w:val="0"/>
        <w:widowControl/>
        <w:jc w:val="both"/>
      </w:pPr>
      <w:r>
        <w:t>La programación del riego debe resolver dos decisiones relacionadas: cuándo intervenir y qué cantidad aplicar. El momento depende de la profundidad radicular, de la capacidad del suelo para almacenar agua y de la fracción de agotamiento que el cultivo puede tolerar sin sufrir un estrés relevante. La dosis neta busca reponer el déficit de la zona radicular, mientras que la dosis bruta debe considerar la eficiencia de aplicación del sistema. Una dosis insuficiente puede limitar la transpiración y el rendimiento; una dosis excesiva puede aumentar la escorrentía, la percolación profunda, el lavado de nutrientes o los problemas de aireación del suelo (Allen et al., 1998).</w:t>
      </w:r>
    </w:p>
    <w:p>
      <w:pPr>
        <w:keepLines w:val="0"/>
        <w:widowControl/>
        <w:jc w:val="both"/>
      </w:pPr>
      <w:r>
        <w:t>La gestión eficiente del riego no puede evaluarse mediante un único porcentaje ni deducirse solamente de la tecnología instalada. La eficiencia de conducción describe las pérdidas producidas hasta que el agua llega a la parcela, mientras que la eficiencia de aplicación relaciona el agua almacenada de forma útil en la zona radicular con la aplicada. Además, la uniformidad de distribución indica hasta qué punto la dosis se reparte de manera homogénea. Un sistema puede presentar una eficiencia media aparentemente elevada y, al mismo tiempo, una uniformidad deficiente que genere zonas con déficit y otras con exceso. Por ello, el desempeño debe valorarse con indicadores diferenciados y a la escala espacial adecuada (Burt et al., 1997).</w:t>
      </w:r>
    </w:p>
    <w:p>
      <w:pPr>
        <w:keepLines w:val="0"/>
        <w:widowControl/>
        <w:jc w:val="both"/>
      </w:pPr>
      <w:r>
        <w:t>La productividad del agua amplía este análisis al relacionar la producción obtenida con el agua utilizada. Puede expresarse como rendimiento físico o valor económico por unidad de agua, pero su interpretación depende del denominador empleado, que puede ser el agua aplicada, la evapotranspiración o el agua consumida. Una mejora puede proceder de un mayor rendimiento con el mismo consumo o de la reducción de pérdidas no beneficiosas, por lo que la métrica debe especificar la unidad, la escala y el componente del balance hídrico al que se refiere. Sin esta precisión, dos explotaciones o estrategias pueden parecer comparables aunque estén midiendo procesos distintos (Howell, 2001).</w:t>
      </w:r>
    </w:p>
    <w:p>
      <w:pPr>
        <w:keepLines w:val="0"/>
        <w:widowControl/>
        <w:jc w:val="both"/>
      </w:pPr>
      <w:r>
        <w:t>También es necesario distinguir entre una reducción del agua aplicada en parcela y un ahorro neto del recurso. Parte de la escorrentía o de la percolación puede retornar al sistema hidrológico y ser reutilizada aguas abajo. En consecuencia, una intervención que reduce estos flujos puede mejorar el funcionamiento de la parcela sin liberar la misma cantidad de agua a escala de cuenca. La evaluación debe separar el uso consuntivo de los flujos recuperables y registrar, cuando sea posible, el agua aplicada, la evapotranspiración del cultivo, los retornos y los cambios en el almacenamiento. Afirmar un ahorro únicamente a partir de una menor dosis aplicada conduciría a una conclusión incompleta (Perry, 2007).</w:t>
      </w:r>
    </w:p>
    <w:p>
      <w:pPr>
        <w:keepLines w:val="0"/>
        <w:widowControl/>
        <w:jc w:val="both"/>
      </w:pPr>
      <w:r>
        <w:t>En contextos de escasez puede recurrirse al riego deficitario, entendido como la aplicación deliberada de una cantidad inferior a la requerida para cubrir completamente la evapotranspiración del cultivo. Esta estrategia puede mejorar la productividad del agua, pero su resultado depende de la sensibilidad de cada cultivo y de la fase fenológica en la que se produce el déficit. Por tanto, no debe aplicarse como una reducción uniforme ni considerarse adecuada para cualquier cultivo. Su diseño exige identificar los periodos menos sensibles y cuantificar el posible intercambio entre ahorro de agua, rendimiento y calidad de la producción (Fereres &amp; Soriano, 2007).</w:t>
      </w:r>
    </w:p>
    <w:p>
      <w:pPr>
        <w:keepLines w:val="0"/>
        <w:widowControl/>
        <w:jc w:val="both"/>
      </w:pPr>
      <w:r>
        <w:t>Estos fundamentos proporcionan la referencia agronómica sobre la que debe construirse el sistema propuesto en este TFM. Los datos meteorológicos permiten estimar la demanda evaporativa; el cultivo y su fase de desarrollo ajustan esa demanda; la precipitación y el estado hídrico del suelo determinan la necesidad neta; y las características del sistema de riego permiten convertirla en una dosis bruta. Los modelos de aprendizaje automático podrán capturar relaciones adicionales o mejorar la predicción, pero sus resultados deberán mantener coherencia con el balance hídrico y compararse con esta referencia. La evaluación de la solución deberá combinar el error predictivo con indicadores de aplicación, uniformidad y productividad del agua cuando los datos disponibles lo permitan, sin equiparar automáticamente una recomendación menor con un ahorro efectivo (Allen et al., 1998; Burt et al., 1997; Howell, 2001).</w:t>
      </w:r>
    </w:p>
    <w:p>
      <w:pPr>
        <w:pStyle w:val="Heading2"/>
      </w:pPr>
      <w:r>
        <w:t>2.2. Agricultura de precisión y Machine Learning</w:t>
      </w:r>
    </w:p>
    <w:p>
      <w:pPr>
        <w:jc w:val="both"/>
      </w:pPr>
      <w:r>
        <w:t>La agricultura de precisión puede definirse como una estrategia de gestión que observa, mide y responde a la variabilidad espacial y temporal de los sistemas productivos. Su rasgo distintivo no es la mera incorporación de tecnología, sino la capacidad de adaptar las decisiones agronómicas a las condiciones concretas de cada zona y momento, en lugar de aplicar una pauta uniforme a toda la explotación. Esta orientación permite asignar los insumos con mayor ajuste a las necesidades del cultivo y constituye una vía relevante para compatibilizar productividad, eficiencia en el uso de los recursos y sostenibilidad (Gebbers &amp; Adamchuk, 2010; Zhang et al., 2002).</w:t>
      </w:r>
    </w:p>
    <w:p>
      <w:pPr>
        <w:jc w:val="both"/>
      </w:pPr>
      <w:r>
        <w:t>Su desarrollo se apoya en tecnologías complementarias, entre ellas los sistemas globales de navegación por satélite, los sistemas de información geográfica, la teledetección, los sensores de suelo y cultivo, la telemetría y los equipos de aplicación a dosis variable. Estas herramientas articulan un ciclo de captura de datos, análisis, prescripción, actuación y evaluación. En este marco, la agricultura inteligente amplía el enfoque al conectar maquinaria, sensores, plataformas digitales y servicios externos, de modo que las decisiones pueden actualizarse de forma continua a partir de información procedente de distintas fuentes (Wolfert et al., 2017; Zhang et al., 2002).</w:t>
      </w:r>
    </w:p>
    <w:p>
      <w:pPr>
        <w:jc w:val="both"/>
      </w:pPr>
      <w:r>
        <w:t>El valor de este enfoque depende de la integración de datos heterogéneos. En una aplicación de riego pueden coexistir registros meteorológicos, propiedades del suelo, información del cultivo, imágenes, mediciones de humedad y antecedentes de manejo. Para que estos datos sean comparables y reutilizables deben conservar marcas temporales, localización, unidades, resolución y procedencia, además de superar controles de calidad. La disponibilidad de un gran volumen de observaciones no garantiza por sí sola conocimiento útil: la interoperabilidad, la gobernanza y la transformación de los datos en información accionable son condiciones necesarias para sostener la toma de decisiones (Wolfert et al., 2017).</w:t>
      </w:r>
    </w:p>
    <w:p>
      <w:pPr>
        <w:jc w:val="both"/>
      </w:pPr>
      <w:r>
        <w:t>El aprendizaje automático aporta métodos capaces de identificar relaciones en esos conjuntos de datos y generar predicciones a partir de ejemplos. En agricultura se han aplicado técnicas supervisadas a problemas de regresión y clasificación, así como técnicas no supervisadas para descubrir agrupaciones, estructuras latentes o anomalías. En el ámbito de este TFM, la regresión resulta pertinente para estimar una variable continua, como la demanda o la dosis de riego, mientras que la clasificación puede representar decisiones discretas y el agrupamiento puede facilitar un análisis exploratorio de campañas, parcelas o condiciones agroclimáticas (Benos et al., 2021; Liakos et al., 2018).</w:t>
      </w:r>
    </w:p>
    <w:p>
      <w:pPr>
        <w:jc w:val="both"/>
      </w:pPr>
      <w:r>
        <w:t>La literatura recoge algoritmos diversos, desde modelos lineales que funcionan como referencia interpretable hasta árboles de decisión, bosques aleatorios, métodos de potenciación, máquinas de vectores soporte y redes neuronales. No existe, sin embargo, un algoritmo universalmente superior. La selección debe responder al tamaño y la estructura del conjunto de datos, al grado de no linealidad, al coste computacional, a la robustez fuera de muestra y a la necesidad de explicar el resultado. Por ello, una comparación metodológica rigurosa requiere contrastar modelos complejos con líneas base sencillas mediante el mismo esquema de evaluación (Benos et al., 2021; Liakos et al., 2018).</w:t>
      </w:r>
    </w:p>
    <w:p>
      <w:pPr>
        <w:jc w:val="both"/>
      </w:pPr>
      <w:r>
        <w:t>La preparación de los datos y la construcción de variables condicionan de forma decisiva el rendimiento del modelo. Además de tratar valores ausentes, codificar variables categóricas y escalar cuando el algoritmo lo requiera, pueden incorporarse retardos, medias móviles, precipitación acumulada, estacionalidad, localización, tipo de cultivo o fase fenológica. También es posible integrar variables con significado agronómico, como la evapotranspiración de referencia descrita en el apartado anterior. Cada predictor debe estar disponible en el instante real de predicción; utilizar observaciones futuras, datos derivados de la variable objetivo o transformaciones calculadas antes de separar los conjuntos produciría una fuga de información y una evaluación artificialmente optimista (Benos et al., 2021; Roberts et al., 2017).</w:t>
      </w:r>
    </w:p>
    <w:p>
      <w:pPr>
        <w:jc w:val="both"/>
      </w:pPr>
      <w:r>
        <w:t>La validación debe respetar igualmente la estructura del problema. Cuando las observaciones presentan dependencia temporal o espacial, una partición aleatoria puede situar registros muy próximos en entrenamiento y prueba y, con ello, subestimar el error esperado ante periodos o ubicaciones no observados. Para una predicción operativa de riego resulta más coherente entrenar con información del pasado y validar sobre periodos posteriores; si se pretende evaluar la transferencia geográfica, la separación debe realizarse por estaciones, parcelas o zonas. El ajuste de hiperparámetros se efectúa sobre la validación, mientras que el conjunto de prueba final debe permanecer intacto hasta la estimación definitiva del desempeño (Roberts et al., 2017).</w:t>
      </w:r>
    </w:p>
    <w:p>
      <w:pPr>
        <w:jc w:val="both"/>
      </w:pPr>
      <w:r>
        <w:t>Junto con la precisión predictiva, la interpretabilidad es especialmente relevante en un sistema de apoyo a la decisión. Las explicaciones globales permiten conocer qué variables influyen con mayor frecuencia en el comportamiento del modelo, mientras que las explicaciones locales ayudan a entender una recomendación concreta. Métodos como SHAP distribuyen entre las variables la contribución atribuida a cada predicción y facilitan la detección de señales espurias o comportamientos inesperados. Estas atribuciones mejoran la trazabilidad del modelo, aunque no deben interpretarse como prueba de una relación causal (Lundberg &amp; Lee, 2017).</w:t>
      </w:r>
    </w:p>
    <w:p>
      <w:pPr>
        <w:jc w:val="both"/>
      </w:pPr>
      <w:r>
        <w:t>La aplicación práctica también plantea limitaciones. Los cambios de clima, cultivo, manejo o instrumentación pueden alterar la distribución de los datos y degradar el modelo con el tiempo; a ello se añaden fallos de sensores o servicios externos, falta de representatividad de ciertas campañas y dificultades para transferir resultados entre regiones. La propiedad y privacidad de los datos, la interoperabilidad de las plataformas y la capacidad de mantenimiento forman parte, por tanto, de la calidad del sistema y no constituyen aspectos accesorios de su despliegue (Benos et al., 2021; Wolfert et al., 2017).</w:t>
      </w:r>
    </w:p>
    <w:p>
      <w:pPr>
        <w:jc w:val="both"/>
      </w:pPr>
      <w:r>
        <w:t>A partir de estas consideraciones, el componente de aprendizaje automático del presente trabajo se concibe como una extensión evaluable del fundamento agronómico expuesto en el apartado 2.1. Los modelos se compararán con referencias sencillas, se entrenarán únicamente con información disponible en el momento de la predicción y se evaluarán mediante particiones coherentes con la secuencia temporal y, cuando proceda, con la estructura espacial de los datos. La complejidad solo estará justificada si aporta una mejora reproducible fuera de muestra y una explicación compatible con el contexto agronómico. El resultado se integrará como apoyo a la decisión de riego, no como sustitución automática del criterio técnico o del usuario final (Benos et al., 2021; Gebbers &amp; Adamchuk, 2010; Roberts et al., 2017).</w:t>
      </w:r>
    </w:p>
    <w:p>
      <w:pPr>
        <w:pStyle w:val="Heading2"/>
      </w:pPr>
      <w:r>
        <w:t>2.3. Sistemas inteligentes de apoyo a la decisión</w:t>
      </w:r>
    </w:p>
    <w:p>
      <w:pPr>
        <w:jc w:val="both"/>
      </w:pPr>
      <w:r>
        <w:t>Un sistema de apoyo a la decisión, o DSS por sus siglas en inglés, es un sistema interactivo que organiza información y aplica modelos para ayudar a resolver decisiones semiestructuradas, es decir, problemas en los que una parte puede formalizarse, pero otra depende del contexto y del criterio del usuario. Su finalidad es ampliar la capacidad de análisis y comparar alternativas, no reemplazar al decisor. La consideración de un DSS como inteligente exige que, además de presentar datos, incorpore mecanismos de razonamiento, aprendizaje o conocimiento explícito que adapten la recomendación al caso analizado; este calificativo no implica autonomía ni elimina la supervisión humana (Lindblom et al., 2017; Shim et al., 2002).</w:t>
      </w:r>
    </w:p>
    <w:p>
      <w:pPr>
        <w:jc w:val="both"/>
      </w:pPr>
      <w:r>
        <w:t>La arquitectura habitual puede entenderse mediante tres componentes relacionados. La capa de datos integra observaciones internas y externas con sus metadatos y controles de calidad; la capa de modelos y conocimiento transforma esas entradas mediante cálculos, simulaciones, reglas o algoritmos predictivos; y la capa de interacción permite definir el problema, consultar resultados y comprender los supuestos utilizados. La utilidad del sistema depende de la conexión entre estas capas: un modelo preciso pierde valor si recibe datos desactualizados o si la interfaz no permite interpretar y aplicar su resultado en la explotación (Fountas et al., 2015; Shim et al., 2002).</w:t>
      </w:r>
    </w:p>
    <w:p>
      <w:pPr>
        <w:jc w:val="both"/>
      </w:pPr>
      <w:r>
        <w:t>En la agricultura digital, los DSS pueden combinar sensores de campo, información meteorológica, imágenes, registros históricos y conocimiento agronómico. A partir de estas fuentes ofrecen distintos niveles de apoyo: describen el estado del sistema, detectan desviaciones, anticipan resultados y proponen una actuación sujeta a restricciones. Esta progresión desde la información hasta la recomendación requiere conservar la procedencia de los datos y hacer visibles las condiciones bajo las que se genera cada salida, ya que la integración de tecnologías no garantiza por sí sola una decisión correcta (Zhai et al., 2020).</w:t>
      </w:r>
    </w:p>
    <w:p>
      <w:pPr>
        <w:jc w:val="both"/>
      </w:pPr>
      <w:r>
        <w:t>Un DSS de riego traduce esta arquitectura en un flujo operativo. Primero recibe variables relacionadas con la atmósfera, el suelo y el cultivo; después estima la necesidad hídrica mediante una referencia agronómica, un modelo basado en datos o una combinación de ambos; finalmente presenta una recomendación sobre el momento y la cantidad de agua. Navarro-Hellín et al. (2016) desarrollaron un sistema que integraba mediciones de suelo y variables climáticas, utilizaba técnicas de aprendizaje automático como motor de inferencia y contrastaba las estimaciones semanales con las decisiones de un experto. El estudio muestra la viabilidad del enfoque, pero también confirma la necesidad de calibración local y validación frente a una referencia aplicable.</w:t>
      </w:r>
    </w:p>
    <w:p>
      <w:pPr>
        <w:jc w:val="both"/>
      </w:pPr>
      <w:r>
        <w:t>La combinación de reglas agronómicas y aprendizaje automático permite aprovechar capacidades diferentes. Los modelos predictivos pueden identificar relaciones difíciles de expresar mediante reglas fijas, mientras que las restricciones explícitas evitan recomendaciones incompatibles con el balance hídrico, la disponibilidad de agua, la fase del cultivo o los límites operativos del sistema de riego. Una arquitectura híbrida también facilita comparar la predicción con una línea base y registrar por qué se ha modificado o descartado una propuesta. De este modo, la recomendación no se reduce a la salida directa de un algoritmo, sino que resulta de un proceso controlado y revisable (Navarro-Hellín et al., 2016; Zhai et al., 2020).</w:t>
      </w:r>
    </w:p>
    <w:p>
      <w:pPr>
        <w:jc w:val="both"/>
      </w:pPr>
      <w:r>
        <w:t>La incertidumbre debe formar parte de la salida del DSS. Los valores ausentes, los retrasos de actualización, los errores de sensores y las diferencias de escala entre una estación, una cuenca y una parcela se propagan hasta la recomendación. Por ello, el sistema debe comprobar la vigencia y cobertura de las entradas, advertir cuando una variable queda fuera del intervalo observado durante el entrenamiento y evitar presentar una estimación puntual como si fuera exacta. Cuando los datos lo permitan, conviene acompañar la recomendación con rangos, escenarios o indicadores de confianza, además de identificar la información que más condiciona el resultado (Fountas et al., 2015; Zhai et al., 2020).</w:t>
      </w:r>
    </w:p>
    <w:p>
      <w:pPr>
        <w:jc w:val="both"/>
      </w:pPr>
      <w:r>
        <w:t>La calidad técnica no garantiza el uso continuado de la herramienta. La investigación sobre DSS agrícolas identifica la facilidad de uso, la relevancia para el problema real, el rendimiento, el coste y la confianza como factores que condicionan su adopción. El diseño centrado en el usuario y la participación de agricultores y asesores durante el desarrollo ayudan a ajustar el vocabulario, la frecuencia de actualización, el nivel de detalle y la forma de presentar las recomendaciones. Esta participación no sustituye la validación técnica, pero reduce el riesgo de construir un sistema correcto desde el punto de vista informático y poco útil en la práctica (Lindblom et al., 2017; Rose et al., 2016).</w:t>
      </w:r>
    </w:p>
    <w:p>
      <w:pPr>
        <w:jc w:val="both"/>
      </w:pPr>
      <w:r>
        <w:t>La evaluación de un DSS debe abarcar dimensiones distintas. En el plano predictivo se analizan los errores y la generalización fuera de muestra; en el plano agronómico se comprueba la coherencia de las recomendaciones y el cumplimiento de restricciones; en el plano operativo se valoran disponibilidad, latencia, trazabilidad y tolerancia a fallos; y en el plano de uso se estudian comprensión, esfuerzo requerido y capacidad para apoyar una decisión real. La historia de los DSS agrícolas muestra que la sofisticación de los modelos no asegura su adopción cuando el sistema no encaja en el contexto sociotécnico de la explotación (McCown, 2002; Rose et al., 2016).</w:t>
      </w:r>
    </w:p>
    <w:p>
      <w:pPr>
        <w:jc w:val="both"/>
      </w:pPr>
      <w:r>
        <w:t>En este TFM, el sistema de apoyo a la decisión conectará las fuentes meteorológicas, agrometeorológicas e hidrológicas definidas en el alcance con la referencia agronómica del apartado 2.1 y los modelos predictivos descritos en el apartado 2.2. La lógica de recomendación aplicará las restricciones que puedan justificarse con los datos disponibles y mostrará la estimación, las variables relevantes, la vigencia de las entradas y las advertencias necesarias. La interfaz permitirá seleccionar localización y cultivo y consultar el fundamento de la propuesta. El prototipo se considerará inteligente en la medida en que produzca recomendaciones contextualizadas y trazables mediante modelos y reglas; seguirá siendo un instrumento de apoyo, sin accionar infraestructuras ni sustituir el criterio agronómico y la decisión final del usuario (Lindblom et al., 2017; Navarro-Hellín et al., 2016; Zhai et al., 2020).</w:t>
      </w:r>
    </w:p>
    <w:p>
      <w:pPr>
        <w:pStyle w:val="Heading1"/>
      </w:pPr>
      <w:r>
        <w:t>3. Metodología y arquitectura del sistema</w:t>
      </w:r>
    </w:p>
    <w:p>
      <w:pPr>
        <w:pStyle w:val="Heading2"/>
      </w:pPr>
      <w:r>
        <w:t>3.1. Fuentes, variables y calidad de los datos</w:t>
      </w:r>
    </w:p>
    <w:p>
      <w:pPr>
        <w:spacing w:after="120"/>
      </w:pPr>
      <w:r>
        <w:t>La estrategia de datos distingue entre información observada, predicciones y referencias agronómicas. Esta separación es necesaria para no utilizar como entrada futura una variable que solo se conoce después de la fecha que se desea predecir. También permite explicar el origen de cada recomendación y conservar las respuestas originales para su auditoría.</w:t>
      </w:r>
    </w:p>
    <w:p>
      <w:pPr>
        <w:spacing w:after="120"/>
      </w:pPr>
      <w:r>
        <w:t xml:space="preserve">El producto se ha diseñado para que el usuario seleccione ubicación, cultivo y periodo. Esos parámetros determinan la estación SiAR, el municipio AEMET, el calendario de cultivo y los datos que se consultan. Para validar el flujo se fija un piloto reproducible de pimiento al aire libre en Almería, estación </w:t>
      </w:r>
      <w:r>
        <w:rPr>
          <w:rFonts w:ascii="Consolas" w:hAnsi="Consolas"/>
          <w:sz w:val="19"/>
        </w:rPr>
        <w:t>AL01</w:t>
      </w:r>
      <w:r>
        <w:t xml:space="preserve"> La Mojonera, entre mayo y septiembre de 2025. La web de SiAR identifica el cultivo como </w:t>
      </w:r>
      <w:r>
        <w:rPr>
          <w:rFonts w:ascii="Consolas" w:hAnsi="Consolas"/>
          <w:sz w:val="19"/>
        </w:rPr>
        <w:t>Pimiento</w:t>
      </w:r>
      <w:r>
        <w:t xml:space="preserve"> sin declarar el sistema productivo; su tratamiento como aire libre es una decisión de alcance del piloto, coherente con el uso de meteorología y precipitación exterior.</w:t>
      </w:r>
    </w:p>
    <w:p>
      <w:pPr>
        <w:pStyle w:val="Heading3"/>
        <w:keepNext/>
      </w:pPr>
      <w:r>
        <w:rPr>
          <w:rFonts w:ascii="Times New Roman" w:hAnsi="Times New Roman"/>
          <w:color w:val="000000"/>
          <w:sz w:val="24"/>
        </w:rPr>
        <w:t>3.1.1. Fuentes incorporadas</w:t>
      </w:r>
    </w:p>
    <w:p>
      <w:pPr>
        <w:keepNext/>
        <w:spacing w:after="120"/>
      </w:pPr>
      <w:r>
        <w:rPr>
          <w:b/>
        </w:rPr>
        <w:t>Tabla 3.1. Fuentes de datos incorporadas y estado de integración.</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5"/>
        <w:gridCol w:w="1805"/>
        <w:gridCol w:w="1805"/>
        <w:gridCol w:w="1805"/>
        <w:gridCol w:w="1805"/>
      </w:tblGrid>
      <w:tr>
        <w:trPr>
          <w:tblHeader w:val="true"/>
          <w:cantSplit/>
        </w:trPr>
        <w:tc>
          <w:tcPr>
            <w:tcW w:type="dxa" w:w="1805"/>
            <w:vAlign w:val="center"/>
            <w:tcMar>
              <w:top w:w="90" w:type="dxa"/>
              <w:start w:w="100" w:type="dxa"/>
              <w:bottom w:w="90" w:type="dxa"/>
              <w:end w:w="100" w:type="dxa"/>
            </w:tcMar>
            <w:shd w:fill="1F4E78"/>
          </w:tcPr>
          <w:p>
            <w:pPr>
              <w:jc w:val="left"/>
            </w:pPr>
            <w:r>
              <w:rPr>
                <w:rFonts w:ascii="Times New Roman" w:hAnsi="Times New Roman"/>
                <w:b/>
                <w:color w:val="FFFFFF"/>
                <w:sz w:val="16"/>
              </w:rPr>
              <w:t>Fuente y producto</w:t>
            </w:r>
          </w:p>
        </w:tc>
        <w:tc>
          <w:tcPr>
            <w:tcW w:type="dxa" w:w="1805"/>
            <w:vAlign w:val="center"/>
            <w:tcMar>
              <w:top w:w="90" w:type="dxa"/>
              <w:start w:w="100" w:type="dxa"/>
              <w:bottom w:w="90" w:type="dxa"/>
              <w:end w:w="100" w:type="dxa"/>
            </w:tcMar>
            <w:shd w:fill="1F4E78"/>
          </w:tcPr>
          <w:p>
            <w:pPr>
              <w:jc w:val="center"/>
            </w:pPr>
            <w:r>
              <w:rPr>
                <w:rFonts w:ascii="Times New Roman" w:hAnsi="Times New Roman"/>
                <w:b/>
                <w:color w:val="FFFFFF"/>
                <w:sz w:val="16"/>
              </w:rPr>
              <w:t>Naturaleza</w:t>
            </w:r>
          </w:p>
        </w:tc>
        <w:tc>
          <w:tcPr>
            <w:tcW w:type="dxa" w:w="1805"/>
            <w:vAlign w:val="center"/>
            <w:tcMar>
              <w:top w:w="90" w:type="dxa"/>
              <w:start w:w="100" w:type="dxa"/>
              <w:bottom w:w="90" w:type="dxa"/>
              <w:end w:w="100" w:type="dxa"/>
            </w:tcMar>
            <w:shd w:fill="1F4E78"/>
          </w:tcPr>
          <w:p>
            <w:pPr>
              <w:jc w:val="center"/>
            </w:pPr>
            <w:r>
              <w:rPr>
                <w:rFonts w:ascii="Times New Roman" w:hAnsi="Times New Roman"/>
                <w:b/>
                <w:color w:val="FFFFFF"/>
                <w:sz w:val="16"/>
              </w:rPr>
              <w:t>Información principal</w:t>
            </w:r>
          </w:p>
        </w:tc>
        <w:tc>
          <w:tcPr>
            <w:tcW w:type="dxa" w:w="1805"/>
            <w:vAlign w:val="center"/>
            <w:tcMar>
              <w:top w:w="90" w:type="dxa"/>
              <w:start w:w="100" w:type="dxa"/>
              <w:bottom w:w="90" w:type="dxa"/>
              <w:end w:w="100" w:type="dxa"/>
            </w:tcMar>
            <w:shd w:fill="1F4E78"/>
          </w:tcPr>
          <w:p>
            <w:pPr>
              <w:jc w:val="center"/>
            </w:pPr>
            <w:r>
              <w:rPr>
                <w:rFonts w:ascii="Times New Roman" w:hAnsi="Times New Roman"/>
                <w:b/>
                <w:color w:val="FFFFFF"/>
                <w:sz w:val="16"/>
              </w:rPr>
              <w:t>Función en el sistema</w:t>
            </w:r>
          </w:p>
        </w:tc>
        <w:tc>
          <w:tcPr>
            <w:tcW w:type="dxa" w:w="1805"/>
            <w:vAlign w:val="center"/>
            <w:tcMar>
              <w:top w:w="90" w:type="dxa"/>
              <w:start w:w="100" w:type="dxa"/>
              <w:bottom w:w="90" w:type="dxa"/>
              <w:end w:w="100" w:type="dxa"/>
            </w:tcMar>
            <w:shd w:fill="1F4E78"/>
          </w:tcPr>
          <w:p>
            <w:pPr>
              <w:jc w:val="center"/>
            </w:pPr>
            <w:r>
              <w:rPr>
                <w:rFonts w:ascii="Times New Roman" w:hAnsi="Times New Roman"/>
                <w:b/>
                <w:color w:val="FFFFFF"/>
                <w:sz w:val="16"/>
              </w:rPr>
              <w:t>Estado</w:t>
            </w:r>
          </w:p>
        </w:tc>
      </w:tr>
      <w:tr>
        <w:trPr>
          <w:cantSplit/>
        </w:trPr>
        <w:tc>
          <w:tcPr>
            <w:tcW w:type="dxa" w:w="1805"/>
            <w:vAlign w:val="center"/>
            <w:tcMar>
              <w:top w:w="90" w:type="dxa"/>
              <w:start w:w="100" w:type="dxa"/>
              <w:bottom w:w="90" w:type="dxa"/>
              <w:end w:w="100" w:type="dxa"/>
            </w:tcMar>
          </w:tcPr>
          <w:p>
            <w:pPr>
              <w:jc w:val="left"/>
            </w:pPr>
            <w:r>
              <w:rPr>
                <w:rFonts w:ascii="Times New Roman" w:hAnsi="Times New Roman"/>
                <w:color w:val="000000"/>
                <w:sz w:val="16"/>
              </w:rPr>
              <w:t>SiAR Web API</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Observada</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Estaciones, temperatura, humedad, viento, radiación, precipitación, ET0 y precipitación efectiva</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Histórico agroclimático y trazabilidad espacial</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Integrada y probada.</w:t>
            </w:r>
          </w:p>
        </w:tc>
      </w:tr>
      <w:tr>
        <w:trPr>
          <w:cantSplit/>
        </w:trPr>
        <w:tc>
          <w:tcPr>
            <w:tcW w:type="dxa" w:w="1805"/>
            <w:vAlign w:val="center"/>
            <w:tcMar>
              <w:top w:w="90" w:type="dxa"/>
              <w:start w:w="100" w:type="dxa"/>
              <w:bottom w:w="90" w:type="dxa"/>
              <w:end w:w="100" w:type="dxa"/>
            </w:tcMar>
            <w:shd w:fill="EAF2F8"/>
          </w:tcPr>
          <w:p>
            <w:pPr>
              <w:jc w:val="left"/>
            </w:pPr>
            <w:r>
              <w:rPr>
                <w:rFonts w:ascii="Times New Roman" w:hAnsi="Times New Roman"/>
                <w:color w:val="000000"/>
                <w:sz w:val="16"/>
              </w:rPr>
              <w:t>SiAR, cálculo de necesidades hídricas</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Referencia agronómica</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Kc, ET0, ETc, precipitación efectiva y necesidad neta por cultivo y zona</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Baseline agronómico y etiqueta de referencia del piloto</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Incorporada mediante CSV oficial.</w:t>
            </w:r>
          </w:p>
        </w:tc>
      </w:tr>
      <w:tr>
        <w:trPr>
          <w:cantSplit/>
        </w:trPr>
        <w:tc>
          <w:tcPr>
            <w:tcW w:type="dxa" w:w="1805"/>
            <w:vAlign w:val="center"/>
            <w:tcMar>
              <w:top w:w="90" w:type="dxa"/>
              <w:start w:w="100" w:type="dxa"/>
              <w:bottom w:w="90" w:type="dxa"/>
              <w:end w:w="100" w:type="dxa"/>
            </w:tcMar>
          </w:tcPr>
          <w:p>
            <w:pPr>
              <w:jc w:val="left"/>
            </w:pPr>
            <w:r>
              <w:rPr>
                <w:rFonts w:ascii="Times New Roman" w:hAnsi="Times New Roman"/>
                <w:color w:val="000000"/>
                <w:sz w:val="16"/>
              </w:rPr>
              <w:t>AEMET OpenData</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Predictiva</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Predicción municipal diaria y horaria, temperatura, humedad, lluvia, probabilidad, viento y horizonte</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Anticipación meteorológica y futura recomendación</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Integrada y normalizada; todavía no alineada con el histórico 2025.</w:t>
            </w:r>
          </w:p>
        </w:tc>
      </w:tr>
      <w:tr>
        <w:trPr>
          <w:cantSplit/>
        </w:trPr>
        <w:tc>
          <w:tcPr>
            <w:tcW w:type="dxa" w:w="1805"/>
            <w:vAlign w:val="center"/>
            <w:tcMar>
              <w:top w:w="90" w:type="dxa"/>
              <w:start w:w="100" w:type="dxa"/>
              <w:bottom w:w="90" w:type="dxa"/>
              <w:end w:w="100" w:type="dxa"/>
            </w:tcMar>
            <w:shd w:fill="EAF2F8"/>
          </w:tcPr>
          <w:p>
            <w:pPr>
              <w:jc w:val="left"/>
            </w:pPr>
            <w:r>
              <w:rPr>
                <w:rFonts w:ascii="Times New Roman" w:hAnsi="Times New Roman"/>
                <w:color w:val="000000"/>
                <w:sz w:val="16"/>
              </w:rPr>
              <w:t>MITECO y datos de parcela</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Contextual</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Disponibilidad de agua, restricciones, suelo, instalación y riego aplicado</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Restricciones operativas y validación real</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Evolución prevista; no forma parte del conjunto actual.</w:t>
            </w:r>
          </w:p>
        </w:tc>
      </w:tr>
    </w:tbl>
    <w:p>
      <w:pPr>
        <w:spacing w:after="40"/>
      </w:pPr>
    </w:p>
    <w:p>
      <w:pPr>
        <w:spacing w:after="120"/>
      </w:pPr>
      <w:r>
        <w:t xml:space="preserve">Los inventarios completos de campos, endpoints, significado y prioridad ya se mantienen en </w:t>
      </w:r>
      <w:r>
        <w:rPr>
          <w:rFonts w:ascii="Consolas" w:hAnsi="Consolas"/>
          <w:sz w:val="19"/>
        </w:rPr>
        <w:t>docs/FUENTE_DATOS_SIAR.md</w:t>
      </w:r>
      <w:r>
        <w:t xml:space="preserve"> y </w:t>
      </w:r>
      <w:r>
        <w:rPr>
          <w:rFonts w:ascii="Consolas" w:hAnsi="Consolas"/>
          <w:sz w:val="19"/>
        </w:rPr>
        <w:t>docs/FUENTE_DATOS_AEMET.md</w:t>
      </w:r>
      <w:r>
        <w:t xml:space="preserve">. La estrategia de combinación se documenta en </w:t>
      </w:r>
      <w:r>
        <w:rPr>
          <w:rFonts w:ascii="Consolas" w:hAnsi="Consolas"/>
          <w:sz w:val="19"/>
        </w:rPr>
        <w:t>docs/ESTRATEGIA_DATOS_DSS.md</w:t>
      </w:r>
      <w:r>
        <w:t>; por tanto, este apartado resume las decisiones metodológicas sin duplicar esos diccionarios técnicos.</w:t>
      </w:r>
    </w:p>
    <w:p>
      <w:pPr>
        <w:pStyle w:val="Heading3"/>
        <w:keepNext/>
      </w:pPr>
      <w:r>
        <w:rPr>
          <w:rFonts w:ascii="Times New Roman" w:hAnsi="Times New Roman"/>
          <w:color w:val="000000"/>
          <w:sz w:val="24"/>
        </w:rPr>
        <w:t>3.1.2. Familias de variables</w:t>
      </w:r>
    </w:p>
    <w:p>
      <w:pPr>
        <w:keepNext/>
        <w:spacing w:after="120"/>
      </w:pPr>
      <w:r>
        <w:rPr>
          <w:b/>
        </w:rPr>
        <w:t>Tabla 3.2. Familias de variables según su disponibilidad y uso.</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56"/>
        <w:gridCol w:w="2256"/>
        <w:gridCol w:w="2256"/>
        <w:gridCol w:w="2256"/>
      </w:tblGrid>
      <w:tr>
        <w:trPr>
          <w:tblHeader w:val="true"/>
          <w:cantSplit/>
        </w:trPr>
        <w:tc>
          <w:tcPr>
            <w:tcW w:type="dxa" w:w="2256"/>
            <w:vAlign w:val="center"/>
            <w:tcMar>
              <w:top w:w="90" w:type="dxa"/>
              <w:start w:w="100" w:type="dxa"/>
              <w:bottom w:w="90" w:type="dxa"/>
              <w:end w:w="100" w:type="dxa"/>
            </w:tcMar>
            <w:shd w:fill="1F4E78"/>
          </w:tcPr>
          <w:p>
            <w:pPr>
              <w:jc w:val="left"/>
            </w:pPr>
            <w:r>
              <w:rPr>
                <w:rFonts w:ascii="Times New Roman" w:hAnsi="Times New Roman"/>
                <w:b/>
                <w:color w:val="FFFFFF"/>
                <w:sz w:val="16"/>
              </w:rPr>
              <w:t>Familia</w:t>
            </w:r>
          </w:p>
        </w:tc>
        <w:tc>
          <w:tcPr>
            <w:tcW w:type="dxa" w:w="2256"/>
            <w:vAlign w:val="center"/>
            <w:tcMar>
              <w:top w:w="90" w:type="dxa"/>
              <w:start w:w="100" w:type="dxa"/>
              <w:bottom w:w="90" w:type="dxa"/>
              <w:end w:w="100" w:type="dxa"/>
            </w:tcMar>
            <w:shd w:fill="1F4E78"/>
          </w:tcPr>
          <w:p>
            <w:pPr>
              <w:jc w:val="center"/>
            </w:pPr>
            <w:r>
              <w:rPr>
                <w:rFonts w:ascii="Times New Roman" w:hAnsi="Times New Roman"/>
                <w:b/>
                <w:color w:val="FFFFFF"/>
                <w:sz w:val="16"/>
              </w:rPr>
              <w:t>Ejemplos</w:t>
            </w:r>
          </w:p>
        </w:tc>
        <w:tc>
          <w:tcPr>
            <w:tcW w:type="dxa" w:w="2256"/>
            <w:vAlign w:val="center"/>
            <w:tcMar>
              <w:top w:w="90" w:type="dxa"/>
              <w:start w:w="100" w:type="dxa"/>
              <w:bottom w:w="90" w:type="dxa"/>
              <w:end w:w="100" w:type="dxa"/>
            </w:tcMar>
            <w:shd w:fill="1F4E78"/>
          </w:tcPr>
          <w:p>
            <w:pPr>
              <w:jc w:val="center"/>
            </w:pPr>
            <w:r>
              <w:rPr>
                <w:rFonts w:ascii="Times New Roman" w:hAnsi="Times New Roman"/>
                <w:b/>
                <w:color w:val="FFFFFF"/>
                <w:sz w:val="16"/>
              </w:rPr>
              <w:t>Disponibilidad</w:t>
            </w:r>
          </w:p>
        </w:tc>
        <w:tc>
          <w:tcPr>
            <w:tcW w:type="dxa" w:w="2256"/>
            <w:vAlign w:val="center"/>
            <w:tcMar>
              <w:top w:w="90" w:type="dxa"/>
              <w:start w:w="100" w:type="dxa"/>
              <w:bottom w:w="90" w:type="dxa"/>
              <w:end w:w="100" w:type="dxa"/>
            </w:tcMar>
            <w:shd w:fill="1F4E78"/>
          </w:tcPr>
          <w:p>
            <w:pPr>
              <w:jc w:val="center"/>
            </w:pPr>
            <w:r>
              <w:rPr>
                <w:rFonts w:ascii="Times New Roman" w:hAnsi="Times New Roman"/>
                <w:b/>
                <w:color w:val="FFFFFF"/>
                <w:sz w:val="16"/>
              </w:rPr>
              <w:t>Uso</w:t>
            </w:r>
          </w:p>
        </w:tc>
      </w:tr>
      <w:tr>
        <w:trPr>
          <w:cantSplit/>
        </w:trPr>
        <w:tc>
          <w:tcPr>
            <w:tcW w:type="dxa" w:w="2256"/>
            <w:vAlign w:val="center"/>
            <w:tcMar>
              <w:top w:w="90" w:type="dxa"/>
              <w:start w:w="100" w:type="dxa"/>
              <w:bottom w:w="90" w:type="dxa"/>
              <w:end w:w="100" w:type="dxa"/>
            </w:tcMar>
          </w:tcPr>
          <w:p>
            <w:pPr>
              <w:jc w:val="left"/>
            </w:pPr>
            <w:r>
              <w:rPr>
                <w:rFonts w:ascii="Times New Roman" w:hAnsi="Times New Roman"/>
                <w:color w:val="000000"/>
                <w:sz w:val="16"/>
              </w:rPr>
              <w:t>Identificación y contexto</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fuente, estación, municipio, cultivo, fecha y periodo</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Conocida antes del cálculo</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Claves, selección dinámica y segmentación.</w:t>
            </w:r>
          </w:p>
        </w:tc>
      </w:tr>
      <w:tr>
        <w:trPr>
          <w:cantSplit/>
        </w:trPr>
        <w:tc>
          <w:tcPr>
            <w:tcW w:type="dxa" w:w="2256"/>
            <w:vAlign w:val="center"/>
            <w:tcMar>
              <w:top w:w="90" w:type="dxa"/>
              <w:start w:w="100" w:type="dxa"/>
              <w:bottom w:w="90" w:type="dxa"/>
              <w:end w:w="100" w:type="dxa"/>
            </w:tcMar>
            <w:shd w:fill="EAF2F8"/>
          </w:tcPr>
          <w:p>
            <w:pPr>
              <w:jc w:val="left"/>
            </w:pPr>
            <w:r>
              <w:rPr>
                <w:rFonts w:ascii="Times New Roman" w:hAnsi="Times New Roman"/>
                <w:color w:val="000000"/>
                <w:sz w:val="16"/>
              </w:rPr>
              <w:t>Meteorología observada</w:t>
            </w:r>
          </w:p>
        </w:tc>
        <w:tc>
          <w:tcPr>
            <w:tcW w:type="dxa" w:w="2256"/>
            <w:vAlign w:val="center"/>
            <w:tcMar>
              <w:top w:w="90" w:type="dxa"/>
              <w:start w:w="100" w:type="dxa"/>
              <w:bottom w:w="90" w:type="dxa"/>
              <w:end w:w="100" w:type="dxa"/>
            </w:tcMar>
            <w:shd w:fill="EAF2F8"/>
          </w:tcPr>
          <w:p>
            <w:pPr>
              <w:jc w:val="center"/>
            </w:pPr>
            <w:r>
              <w:rPr>
                <w:rFonts w:ascii="Times New Roman" w:hAnsi="Times New Roman"/>
                <w:color w:val="000000"/>
                <w:sz w:val="16"/>
              </w:rPr>
              <w:t>temperatura, humedad, viento, radiación, precipitación y ET0</w:t>
            </w:r>
          </w:p>
        </w:tc>
        <w:tc>
          <w:tcPr>
            <w:tcW w:type="dxa" w:w="2256"/>
            <w:vAlign w:val="center"/>
            <w:tcMar>
              <w:top w:w="90" w:type="dxa"/>
              <w:start w:w="100" w:type="dxa"/>
              <w:bottom w:w="90" w:type="dxa"/>
              <w:end w:w="100" w:type="dxa"/>
            </w:tcMar>
            <w:shd w:fill="EAF2F8"/>
          </w:tcPr>
          <w:p>
            <w:pPr>
              <w:jc w:val="center"/>
            </w:pPr>
            <w:r>
              <w:rPr>
                <w:rFonts w:ascii="Times New Roman" w:hAnsi="Times New Roman"/>
                <w:color w:val="000000"/>
                <w:sz w:val="16"/>
              </w:rPr>
              <w:t>Disponible después de observar el día</w:t>
            </w:r>
          </w:p>
        </w:tc>
        <w:tc>
          <w:tcPr>
            <w:tcW w:type="dxa" w:w="2256"/>
            <w:vAlign w:val="center"/>
            <w:tcMar>
              <w:top w:w="90" w:type="dxa"/>
              <w:start w:w="100" w:type="dxa"/>
              <w:bottom w:w="90" w:type="dxa"/>
              <w:end w:w="100" w:type="dxa"/>
            </w:tcMar>
            <w:shd w:fill="EAF2F8"/>
          </w:tcPr>
          <w:p>
            <w:pPr>
              <w:jc w:val="center"/>
            </w:pPr>
            <w:r>
              <w:rPr>
                <w:rFonts w:ascii="Times New Roman" w:hAnsi="Times New Roman"/>
                <w:color w:val="000000"/>
                <w:sz w:val="16"/>
              </w:rPr>
              <w:t>Análisis histórico, retardos y validación.</w:t>
            </w:r>
          </w:p>
        </w:tc>
      </w:tr>
      <w:tr>
        <w:trPr>
          <w:cantSplit/>
        </w:trPr>
        <w:tc>
          <w:tcPr>
            <w:tcW w:type="dxa" w:w="2256"/>
            <w:vAlign w:val="center"/>
            <w:tcMar>
              <w:top w:w="90" w:type="dxa"/>
              <w:start w:w="100" w:type="dxa"/>
              <w:bottom w:w="90" w:type="dxa"/>
              <w:end w:w="100" w:type="dxa"/>
            </w:tcMar>
          </w:tcPr>
          <w:p>
            <w:pPr>
              <w:jc w:val="left"/>
            </w:pPr>
            <w:r>
              <w:rPr>
                <w:rFonts w:ascii="Times New Roman" w:hAnsi="Times New Roman"/>
                <w:color w:val="000000"/>
                <w:sz w:val="16"/>
              </w:rPr>
              <w:t>Predicción meteorológica</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fecha de emisión, fecha válida, horizonte, lluvia, temperatura, humedad y viento</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Disponible antes de la fecha válida</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Recomendación futura y análisis de incertidumbre.</w:t>
            </w:r>
          </w:p>
        </w:tc>
      </w:tr>
      <w:tr>
        <w:trPr>
          <w:cantSplit/>
        </w:trPr>
        <w:tc>
          <w:tcPr>
            <w:tcW w:type="dxa" w:w="2256"/>
            <w:vAlign w:val="center"/>
            <w:tcMar>
              <w:top w:w="90" w:type="dxa"/>
              <w:start w:w="100" w:type="dxa"/>
              <w:bottom w:w="90" w:type="dxa"/>
              <w:end w:w="100" w:type="dxa"/>
            </w:tcMar>
            <w:shd w:fill="EAF2F8"/>
          </w:tcPr>
          <w:p>
            <w:pPr>
              <w:jc w:val="left"/>
            </w:pPr>
            <w:r>
              <w:rPr>
                <w:rFonts w:ascii="Times New Roman" w:hAnsi="Times New Roman"/>
                <w:color w:val="000000"/>
                <w:sz w:val="16"/>
              </w:rPr>
              <w:t>Agronómicas</w:t>
            </w:r>
          </w:p>
        </w:tc>
        <w:tc>
          <w:tcPr>
            <w:tcW w:type="dxa" w:w="2256"/>
            <w:vAlign w:val="center"/>
            <w:tcMar>
              <w:top w:w="90" w:type="dxa"/>
              <w:start w:w="100" w:type="dxa"/>
              <w:bottom w:w="90" w:type="dxa"/>
              <w:end w:w="100" w:type="dxa"/>
            </w:tcMar>
            <w:shd w:fill="EAF2F8"/>
          </w:tcPr>
          <w:p>
            <w:pPr>
              <w:jc w:val="center"/>
            </w:pPr>
            <w:r>
              <w:rPr>
                <w:rFonts w:ascii="Times New Roman" w:hAnsi="Times New Roman"/>
                <w:color w:val="000000"/>
                <w:sz w:val="16"/>
              </w:rPr>
              <w:t>Kc, ETc, precipitación efectiva y necesidad neta</w:t>
            </w:r>
          </w:p>
        </w:tc>
        <w:tc>
          <w:tcPr>
            <w:tcW w:type="dxa" w:w="2256"/>
            <w:vAlign w:val="center"/>
            <w:tcMar>
              <w:top w:w="90" w:type="dxa"/>
              <w:start w:w="100" w:type="dxa"/>
              <w:bottom w:w="90" w:type="dxa"/>
              <w:end w:w="100" w:type="dxa"/>
            </w:tcMar>
            <w:shd w:fill="EAF2F8"/>
          </w:tcPr>
          <w:p>
            <w:pPr>
              <w:jc w:val="center"/>
            </w:pPr>
            <w:r>
              <w:rPr>
                <w:rFonts w:ascii="Times New Roman" w:hAnsi="Times New Roman"/>
                <w:color w:val="000000"/>
                <w:sz w:val="16"/>
              </w:rPr>
              <w:t>Kc planificado; el resto se calcula u observa</w:t>
            </w:r>
          </w:p>
        </w:tc>
        <w:tc>
          <w:tcPr>
            <w:tcW w:type="dxa" w:w="2256"/>
            <w:vAlign w:val="center"/>
            <w:tcMar>
              <w:top w:w="90" w:type="dxa"/>
              <w:start w:w="100" w:type="dxa"/>
              <w:bottom w:w="90" w:type="dxa"/>
              <w:end w:w="100" w:type="dxa"/>
            </w:tcMar>
            <w:shd w:fill="EAF2F8"/>
          </w:tcPr>
          <w:p>
            <w:pPr>
              <w:jc w:val="center"/>
            </w:pPr>
            <w:r>
              <w:rPr>
                <w:rFonts w:ascii="Times New Roman" w:hAnsi="Times New Roman"/>
                <w:color w:val="000000"/>
                <w:sz w:val="16"/>
              </w:rPr>
              <w:t>Baseline, diagnóstico y variable objetivo.</w:t>
            </w:r>
          </w:p>
        </w:tc>
      </w:tr>
      <w:tr>
        <w:trPr>
          <w:cantSplit/>
        </w:trPr>
        <w:tc>
          <w:tcPr>
            <w:tcW w:type="dxa" w:w="2256"/>
            <w:vAlign w:val="center"/>
            <w:tcMar>
              <w:top w:w="90" w:type="dxa"/>
              <w:start w:w="100" w:type="dxa"/>
              <w:bottom w:w="90" w:type="dxa"/>
              <w:end w:w="100" w:type="dxa"/>
            </w:tcMar>
          </w:tcPr>
          <w:p>
            <w:pPr>
              <w:jc w:val="left"/>
            </w:pPr>
            <w:r>
              <w:rPr>
                <w:rFonts w:ascii="Times New Roman" w:hAnsi="Times New Roman"/>
                <w:color w:val="000000"/>
                <w:sz w:val="16"/>
              </w:rPr>
              <w:t>Temporales y derivadas</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día del año, codificación cíclica, retardos y ventanas móviles</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Calculadas de forma reproducible</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Predictores sin utilizar información futura.</w:t>
            </w:r>
          </w:p>
        </w:tc>
      </w:tr>
      <w:tr>
        <w:trPr>
          <w:cantSplit/>
        </w:trPr>
        <w:tc>
          <w:tcPr>
            <w:tcW w:type="dxa" w:w="2256"/>
            <w:vAlign w:val="center"/>
            <w:tcMar>
              <w:top w:w="90" w:type="dxa"/>
              <w:start w:w="100" w:type="dxa"/>
              <w:bottom w:w="90" w:type="dxa"/>
              <w:end w:w="100" w:type="dxa"/>
            </w:tcMar>
            <w:shd w:fill="EAF2F8"/>
          </w:tcPr>
          <w:p>
            <w:pPr>
              <w:jc w:val="left"/>
            </w:pPr>
            <w:r>
              <w:rPr>
                <w:rFonts w:ascii="Times New Roman" w:hAnsi="Times New Roman"/>
                <w:color w:val="000000"/>
                <w:sz w:val="16"/>
              </w:rPr>
              <w:t>Calidad y trazabilidad</w:t>
            </w:r>
          </w:p>
        </w:tc>
        <w:tc>
          <w:tcPr>
            <w:tcW w:type="dxa" w:w="2256"/>
            <w:vAlign w:val="center"/>
            <w:tcMar>
              <w:top w:w="90" w:type="dxa"/>
              <w:start w:w="100" w:type="dxa"/>
              <w:bottom w:w="90" w:type="dxa"/>
              <w:end w:w="100" w:type="dxa"/>
            </w:tcMar>
            <w:shd w:fill="EAF2F8"/>
          </w:tcPr>
          <w:p>
            <w:pPr>
              <w:jc w:val="center"/>
            </w:pPr>
            <w:r>
              <w:rPr>
                <w:rFonts w:ascii="Times New Roman" w:hAnsi="Times New Roman"/>
                <w:color w:val="000000"/>
                <w:sz w:val="16"/>
              </w:rPr>
              <w:t>estado, incidencias, fecha de ingesta y archivo de origen</w:t>
            </w:r>
          </w:p>
        </w:tc>
        <w:tc>
          <w:tcPr>
            <w:tcW w:type="dxa" w:w="2256"/>
            <w:vAlign w:val="center"/>
            <w:tcMar>
              <w:top w:w="90" w:type="dxa"/>
              <w:start w:w="100" w:type="dxa"/>
              <w:bottom w:w="90" w:type="dxa"/>
              <w:end w:w="100" w:type="dxa"/>
            </w:tcMar>
            <w:shd w:fill="EAF2F8"/>
          </w:tcPr>
          <w:p>
            <w:pPr>
              <w:jc w:val="center"/>
            </w:pPr>
            <w:r>
              <w:rPr>
                <w:rFonts w:ascii="Times New Roman" w:hAnsi="Times New Roman"/>
                <w:color w:val="000000"/>
                <w:sz w:val="16"/>
              </w:rPr>
              <w:t>Generadas durante la ETL</w:t>
            </w:r>
          </w:p>
        </w:tc>
        <w:tc>
          <w:tcPr>
            <w:tcW w:type="dxa" w:w="2256"/>
            <w:vAlign w:val="center"/>
            <w:tcMar>
              <w:top w:w="90" w:type="dxa"/>
              <w:start w:w="100" w:type="dxa"/>
              <w:bottom w:w="90" w:type="dxa"/>
              <w:end w:w="100" w:type="dxa"/>
            </w:tcMar>
            <w:shd w:fill="EAF2F8"/>
          </w:tcPr>
          <w:p>
            <w:pPr>
              <w:jc w:val="center"/>
            </w:pPr>
            <w:r>
              <w:rPr>
                <w:rFonts w:ascii="Times New Roman" w:hAnsi="Times New Roman"/>
                <w:color w:val="000000"/>
                <w:sz w:val="16"/>
              </w:rPr>
              <w:t>Auditoría; no se emplean como predictores.</w:t>
            </w:r>
          </w:p>
        </w:tc>
      </w:tr>
    </w:tbl>
    <w:p>
      <w:pPr>
        <w:spacing w:after="40"/>
      </w:pPr>
    </w:p>
    <w:p>
      <w:pPr>
        <w:spacing w:after="120"/>
      </w:pPr>
      <w:r>
        <w:t xml:space="preserve">La variable objetivo del experimento es </w:t>
      </w:r>
      <w:r>
        <w:rPr>
          <w:rFonts w:ascii="Consolas" w:hAnsi="Consolas"/>
          <w:sz w:val="19"/>
        </w:rPr>
        <w:t>target_net_irrigation_need_mm</w:t>
      </w:r>
      <w:r>
        <w:t xml:space="preserve">, correspondiente a la necesidad neta diaria publicada por SiAR. No representa el riego aplicado ni una respuesta medida de la planta. Los campos contemporáneos que permiten reconstruirla directamente, como ETc y precipitación efectiva del mismo día, se reservan para diagnóstico y se excluyen del entrenamiento predictivo. El catálogo </w:t>
      </w:r>
      <w:r>
        <w:rPr>
          <w:rFonts w:ascii="Consolas" w:hAnsi="Consolas"/>
          <w:sz w:val="19"/>
        </w:rPr>
        <w:t>docs/data_samples/feature_catalog_4_2.csv</w:t>
      </w:r>
      <w:r>
        <w:t xml:space="preserve"> documenta las 88 columnas de la tabla analítica, su tipo, disponibilidad, porcentaje de ausencias, función y riesgo de fuga de información.</w:t>
      </w:r>
    </w:p>
    <w:p>
      <w:pPr>
        <w:pStyle w:val="Heading3"/>
        <w:keepNext/>
      </w:pPr>
      <w:r>
        <w:rPr>
          <w:rFonts w:ascii="Times New Roman" w:hAnsi="Times New Roman"/>
          <w:color w:val="000000"/>
          <w:sz w:val="24"/>
        </w:rPr>
        <w:t>3.1.3. Calidad y trazabilidad</w:t>
      </w:r>
    </w:p>
    <w:p>
      <w:pPr>
        <w:spacing w:after="120"/>
      </w:pPr>
      <w:r>
        <w:t xml:space="preserve">Los controles se aplican sin destruir la respuesta original. La capa </w:t>
      </w:r>
      <w:r>
        <w:rPr>
          <w:rFonts w:ascii="Consolas" w:hAnsi="Consolas"/>
          <w:sz w:val="19"/>
        </w:rPr>
        <w:t>raw</w:t>
      </w:r>
      <w:r>
        <w:t xml:space="preserve"> permanece inmutable; las tablas </w:t>
      </w:r>
      <w:r>
        <w:rPr>
          <w:rFonts w:ascii="Consolas" w:hAnsi="Consolas"/>
          <w:sz w:val="19"/>
        </w:rPr>
        <w:t>interim</w:t>
      </w:r>
      <w:r>
        <w:t xml:space="preserve"> añaden tipos, unidades, indicadores de calidad y procedencia; y la capa </w:t>
      </w:r>
      <w:r>
        <w:rPr>
          <w:rFonts w:ascii="Consolas" w:hAnsi="Consolas"/>
          <w:sz w:val="19"/>
        </w:rPr>
        <w:t>processed</w:t>
      </w:r>
      <w:r>
        <w:t xml:space="preserve"> contiene las variables preparadas para análisis y modelado. Los registros con incidencias se conservan y se marcan, en lugar de convertir automáticamente una ausencia en cero.</w:t>
      </w:r>
    </w:p>
    <w:p>
      <w:pPr>
        <w:spacing w:after="120"/>
      </w:pPr>
      <w:r>
        <w:t>Se comprueban, al menos, los siguientes aspectos:</w:t>
      </w:r>
    </w:p>
    <w:p>
      <w:pPr>
        <w:spacing w:after="60"/>
        <w:ind w:left="360" w:hanging="259"/>
      </w:pPr>
      <w:r>
        <w:t>1. presencia de variables críticas y validez de tipos;</w:t>
      </w:r>
    </w:p>
    <w:p>
      <w:pPr>
        <w:spacing w:after="60"/>
        <w:ind w:left="360" w:hanging="259"/>
      </w:pPr>
      <w:r>
        <w:t>2. unicidad de las claves lógicas y ausencia de duplicados;</w:t>
      </w:r>
    </w:p>
    <w:p>
      <w:pPr>
        <w:spacing w:after="60"/>
        <w:ind w:left="360" w:hanging="259"/>
      </w:pPr>
      <w:r>
        <w:t>3. continuidad del calendario y cobertura temporal;</w:t>
      </w:r>
    </w:p>
    <w:p>
      <w:pPr>
        <w:spacing w:after="60"/>
        <w:ind w:left="360" w:hanging="259"/>
      </w:pPr>
      <w:r>
        <w:t>4. rangos físicos de temperatura, humedad, viento, radiación y precipitación;</w:t>
      </w:r>
    </w:p>
    <w:p>
      <w:pPr>
        <w:spacing w:after="60"/>
        <w:ind w:left="360" w:hanging="259"/>
      </w:pPr>
      <w:r>
        <w:t>5. coherencia entre temperatura mínima, media y máxima;</w:t>
      </w:r>
    </w:p>
    <w:p>
      <w:pPr>
        <w:spacing w:after="60"/>
        <w:ind w:left="360" w:hanging="259"/>
      </w:pPr>
      <w:r>
        <w:t>6. no negatividad de ET0, precipitación y necesidad hídrica;</w:t>
      </w:r>
    </w:p>
    <w:p>
      <w:pPr>
        <w:spacing w:after="60"/>
        <w:ind w:left="360" w:hanging="259"/>
      </w:pPr>
      <w:r>
        <w:t xml:space="preserve">7. identidades aproximadas </w:t>
      </w:r>
      <w:r>
        <w:rPr>
          <w:rFonts w:ascii="Consolas" w:hAnsi="Consolas"/>
          <w:sz w:val="19"/>
        </w:rPr>
        <w:t>ETc = ET0 × Kc</w:t>
      </w:r>
      <w:r>
        <w:t xml:space="preserve"> y </w:t>
      </w:r>
      <w:r>
        <w:rPr>
          <w:rFonts w:ascii="Consolas" w:hAnsi="Consolas"/>
          <w:sz w:val="19"/>
        </w:rPr>
        <w:t>necesidad_neta = max(ETc − Pe, 0)</w:t>
      </w:r>
      <w:r>
        <w:t>;</w:t>
      </w:r>
    </w:p>
    <w:p>
      <w:pPr>
        <w:spacing w:after="60"/>
        <w:ind w:left="360" w:hanging="259"/>
      </w:pPr>
      <w:r>
        <w:t>8. disponibilidad de cada predictor en el instante de predicción;</w:t>
      </w:r>
    </w:p>
    <w:p>
      <w:pPr>
        <w:spacing w:after="60"/>
        <w:ind w:left="360" w:hanging="259"/>
      </w:pPr>
      <w:r>
        <w:t>9. conservación de fuente, fecha de ingesta y archivo original.</w:t>
      </w:r>
    </w:p>
    <w:p>
      <w:pPr>
        <w:spacing w:after="120"/>
      </w:pPr>
      <w:r>
        <w:t xml:space="preserve">La auditoría reproducible se genera mediante </w:t>
      </w:r>
      <w:r>
        <w:rPr>
          <w:rFonts w:ascii="Consolas" w:hAnsi="Consolas"/>
          <w:sz w:val="19"/>
        </w:rPr>
        <w:t>src/analysis/build_etl_audit_4_1.py</w:t>
      </w:r>
      <w:r>
        <w:t xml:space="preserve"> y queda registrada en </w:t>
      </w:r>
      <w:r>
        <w:rPr>
          <w:rFonts w:ascii="Consolas" w:hAnsi="Consolas"/>
          <w:sz w:val="19"/>
        </w:rPr>
        <w:t>docs/data_samples/etl_volume_summary_4_1.csv</w:t>
      </w:r>
      <w:r>
        <w:t>. Los resultados cuantitativos de la extracción y la limpieza se presentan en el apartado 4.1, mientras que el análisis de distribuciones, ausencias y relaciones entre variables se desarrolla en el apartado 4.2.</w:t>
      </w:r>
    </w:p>
    <w:p>
      <w:pPr>
        <w:pStyle w:val="Heading3"/>
        <w:keepNext/>
      </w:pPr>
      <w:r>
        <w:rPr>
          <w:rFonts w:ascii="Times New Roman" w:hAnsi="Times New Roman"/>
          <w:color w:val="000000"/>
          <w:sz w:val="24"/>
        </w:rPr>
        <w:t>3.1.4. Gobierno, seguridad y limitaciones</w:t>
      </w:r>
    </w:p>
    <w:p>
      <w:pPr>
        <w:spacing w:after="120"/>
      </w:pPr>
      <w:r>
        <w:t>Las credenciales se leen desde variables de entorno y no se incluyen en Git, los datos ni los mensajes de error. Cada extracción guarda los parámetros de la consulta, la fecha de ingesta y el número de registros. Los archivos raw y las tablas completas generadas se mantienen fuera del control de versiones; se versionan código, esquemas, metadatos, muestras ligeras, métricas y figuras reproducibles.</w:t>
      </w:r>
    </w:p>
    <w:p>
      <w:pPr>
        <w:spacing w:after="120"/>
      </w:pPr>
      <w:r>
        <w:t>El conjunto actual permite validar el recorrido técnico, pero no demostrar una optimización agronómica generalizable. Solo contiene una estación, un cultivo y una campaña; la referencia SiAR es calculada; y no se dispone todavía de riego real, humedad del suelo, eficiencia de la instalación ni respuesta productiva. Estas limitaciones condicionan la evaluación del capítulo 4 y el alcance de las recomendaciones posteriores.</w:t>
      </w:r>
    </w:p>
    <w:p>
      <w:pPr>
        <w:pStyle w:val="Heading2"/>
      </w:pPr>
      <w:r>
        <w:t>3.2. Arquitectura, tecnologías y flujo de información</w:t>
      </w:r>
    </w:p>
    <w:p>
      <w:pPr>
        <w:spacing w:after="120"/>
      </w:pPr>
      <w:r>
        <w:t>La arquitectura separa adquisición, almacenamiento, transformación, análisis y presentación. Esta división evita que los clientes de las APIs, las reglas de calidad y los modelos queden acoplados a una única interfaz. También permite repetir una fase sin volver a descargar datos ni sobrescribir la evidencia original.</w:t>
      </w:r>
    </w:p>
    <w:p>
      <w:pPr>
        <w:keepNext w:val="0"/>
        <w:jc w:val="center"/>
      </w:pPr>
      <w:r>
        <w:drawing>
          <wp:inline xmlns:wp="http://schemas.openxmlformats.org/drawingml/2006/wordprocessingDrawing" xmlns:a="http://schemas.openxmlformats.org/drawingml/2006/main" xmlns:pic="http://schemas.openxmlformats.org/drawingml/2006/picture">
            <wp:extent cx="5577840" cy="3150254"/>
            <wp:docPr id="21" name="Picture 21"/>
            <wp:cNvGraphicFramePr>
              <a:graphicFrameLocks noChangeAspect="1"/>
            </wp:cNvGraphicFramePr>
            <a:graphic>
              <a:graphicData uri="http://schemas.openxmlformats.org/drawingml/2006/picture">
                <pic:pic>
                  <pic:nvPicPr>
                    <pic:cNvPr id="0" name="image.png"/>
                    <pic:cNvPicPr/>
                  </pic:nvPicPr>
                  <pic:blipFill>
                    <a:blip ns1:embed="rId17"/>
                    <a:stretch>
                      <a:fillRect/>
                    </a:stretch>
                  </pic:blipFill>
                  <pic:spPr>
                    <a:xfrm>
                      <a:off x="0" y="0"/>
                      <a:ext cx="5577840" cy="3150254"/>
                    </a:xfrm>
                    <a:prstGeom prst="rect"/>
                  </pic:spPr>
                </pic:pic>
              </a:graphicData>
            </a:graphic>
          </wp:inline>
        </w:drawing>
      </w:r>
    </w:p>
    <w:p>
      <w:pPr>
        <w:spacing w:after="120"/>
      </w:pPr>
      <w:r>
        <w:rPr>
          <w:i/>
        </w:rPr>
        <w:t>Figura 3.1. Arquitectura del prototipo. Las cajas azules representan componentes implementados y las cajas discontinuas identifican extensiones previstas.</w:t>
      </w:r>
    </w:p>
    <w:p>
      <w:pPr>
        <w:pStyle w:val="Heading3"/>
        <w:keepNext/>
      </w:pPr>
      <w:r>
        <w:rPr>
          <w:rFonts w:ascii="Times New Roman" w:hAnsi="Times New Roman"/>
          <w:color w:val="000000"/>
          <w:sz w:val="24"/>
        </w:rPr>
        <w:t>3.2.1. Capas de la arquitectura</w:t>
      </w:r>
    </w:p>
    <w:p>
      <w:pPr>
        <w:spacing w:after="60"/>
        <w:ind w:left="360" w:hanging="259"/>
      </w:pPr>
      <w:r>
        <w:t xml:space="preserve">1. </w:t>
      </w:r>
      <w:r>
        <w:rPr>
          <w:b/>
        </w:rPr>
        <w:t>Configuración.</w:t>
      </w:r>
      <w:r>
        <w:t xml:space="preserve"> La ubicación, el cultivo y el periodo se proporcionan como parámetros de ejecución. En la aplicación del DSS el usuario introduce además la fecha de emisión, el horizonte y los datos de la parcela; el cultivo y la estación quedan fijados por el caso piloto.</w:t>
      </w:r>
    </w:p>
    <w:p>
      <w:pPr>
        <w:spacing w:after="60"/>
        <w:ind w:left="360" w:hanging="259"/>
      </w:pPr>
      <w:r>
        <w:t xml:space="preserve">2. </w:t>
      </w:r>
      <w:r>
        <w:rPr>
          <w:b/>
        </w:rPr>
        <w:t>Fuentes.</w:t>
      </w:r>
      <w:r>
        <w:t xml:space="preserve"> SiAR aporta observaciones y la referencia agronómica; AEMET aporta predicción meteorológica. Cada cliente mantiene autenticación, validación de respuestas y tratamiento de cuotas de forma independiente.</w:t>
      </w:r>
    </w:p>
    <w:p>
      <w:pPr>
        <w:spacing w:after="60"/>
        <w:ind w:left="360" w:hanging="259"/>
      </w:pPr>
      <w:r>
        <w:t xml:space="preserve">3. </w:t>
      </w:r>
      <w:r>
        <w:rPr>
          <w:b/>
        </w:rPr>
        <w:t>Ingesta.</w:t>
      </w:r>
      <w:r>
        <w:t xml:space="preserve"> Los procesos Python descargan los productos y escriben un sobre de trazabilidad con esquema, fuente, parámetros, fecha de ingesta y número de registros.</w:t>
      </w:r>
    </w:p>
    <w:p>
      <w:pPr>
        <w:spacing w:after="60"/>
        <w:ind w:left="360" w:hanging="259"/>
      </w:pPr>
      <w:r>
        <w:t xml:space="preserve">4. </w:t>
      </w:r>
      <w:r>
        <w:rPr>
          <w:b/>
        </w:rPr>
        <w:t>Almacenamiento por capas.</w:t>
      </w:r>
      <w:r>
        <w:t xml:space="preserve"> </w:t>
      </w:r>
      <w:r>
        <w:rPr>
          <w:rFonts w:ascii="Consolas" w:hAnsi="Consolas"/>
          <w:sz w:val="19"/>
        </w:rPr>
        <w:t>raw</w:t>
      </w:r>
      <w:r>
        <w:t xml:space="preserve"> conserva las respuestas; </w:t>
      </w:r>
      <w:r>
        <w:rPr>
          <w:rFonts w:ascii="Consolas" w:hAnsi="Consolas"/>
          <w:sz w:val="19"/>
        </w:rPr>
        <w:t>external</w:t>
      </w:r>
      <w:r>
        <w:t xml:space="preserve"> contiene el CSV agronómico; </w:t>
      </w:r>
      <w:r>
        <w:rPr>
          <w:rFonts w:ascii="Consolas" w:hAnsi="Consolas"/>
          <w:sz w:val="19"/>
        </w:rPr>
        <w:t>interim</w:t>
      </w:r>
      <w:r>
        <w:t xml:space="preserve"> almacena tablas normalizadas y controles de calidad; </w:t>
      </w:r>
      <w:r>
        <w:rPr>
          <w:rFonts w:ascii="Consolas" w:hAnsi="Consolas"/>
          <w:sz w:val="19"/>
        </w:rPr>
        <w:t>processed</w:t>
      </w:r>
      <w:r>
        <w:t xml:space="preserve"> contiene la tabla analítica y las variables derivadas.</w:t>
      </w:r>
    </w:p>
    <w:p>
      <w:pPr>
        <w:spacing w:after="60"/>
        <w:ind w:left="360" w:hanging="259"/>
      </w:pPr>
      <w:r>
        <w:t xml:space="preserve">5. </w:t>
      </w:r>
      <w:r>
        <w:rPr>
          <w:b/>
        </w:rPr>
        <w:t>Análisis y modelado.</w:t>
      </w:r>
      <w:r>
        <w:t xml:space="preserve"> Los módulos de características, análisis exploratorio y evaluación consumen la capa </w:t>
      </w:r>
      <w:r>
        <w:rPr>
          <w:rFonts w:ascii="Consolas" w:hAnsi="Consolas"/>
          <w:sz w:val="19"/>
        </w:rPr>
        <w:t>processed</w:t>
      </w:r>
      <w:r>
        <w:t>. Los modelos se comparan mediante validación temporal y generan métricas, predicciones y figuras.</w:t>
      </w:r>
    </w:p>
    <w:p>
      <w:pPr>
        <w:spacing w:after="60"/>
        <w:ind w:left="360" w:hanging="259"/>
      </w:pPr>
      <w:r>
        <w:t xml:space="preserve">6. </w:t>
      </w:r>
      <w:r>
        <w:rPr>
          <w:b/>
        </w:rPr>
        <w:t>DSS y presentación.</w:t>
      </w:r>
      <w:r>
        <w:t xml:space="preserve"> El motor de recomendación combina la referencia agronómica, la ET0 reciente, el calendario del cultivo y los parámetros de la parcela, aplica un conjunto de reglas explícitas y genera una recomendación diaria y semanal con su explicación. Se consulta mediante una aplicación de demostración en Streamlit o desde la línea de comandos. Su diseño, su funcionamiento y su validación se desarrollan en el capítulo 5.</w:t>
      </w:r>
    </w:p>
    <w:p>
      <w:pPr>
        <w:spacing w:after="120"/>
      </w:pPr>
      <w:r>
        <w:t>El flujo principal es unidireccional y reproducible:</w:t>
      </w:r>
    </w:p>
    <w:p>
      <w:pPr>
        <w:spacing w:before="80" w:after="140"/>
        <w:ind w:left="360" w:right="216"/>
        <w:jc w:val="left"/>
        <w:shd w:fill="F2F2F2"/>
      </w:pPr>
      <w:r>
        <w:rPr>
          <w:rFonts w:ascii="Consolas" w:hAnsi="Consolas"/>
          <w:sz w:val="17"/>
        </w:rPr>
        <w:t>parámetros -&gt; fuentes -&gt; raw/external -&gt; interim -&gt; processed</w:t>
        <w:br/>
        <w:t xml:space="preserve">           -&gt; análisis/modelos -&gt; evidencias -&gt; motor DSS -&gt; aplicación</w:t>
      </w:r>
    </w:p>
    <w:p>
      <w:pPr>
        <w:spacing w:after="120"/>
      </w:pPr>
      <w:r>
        <w:t>La procedencia se conserva en sentido inverso: una predicción puede relacionarse con la fila analítica, las tablas normalizadas y el archivo original que la generó.</w:t>
      </w:r>
    </w:p>
    <w:p>
      <w:pPr>
        <w:pStyle w:val="Heading3"/>
        <w:keepNext/>
      </w:pPr>
      <w:r>
        <w:rPr>
          <w:rFonts w:ascii="Times New Roman" w:hAnsi="Times New Roman"/>
          <w:color w:val="000000"/>
          <w:sz w:val="24"/>
        </w:rPr>
        <w:t>3.2.2. Tecnologías y grado de implementación</w:t>
      </w:r>
    </w:p>
    <w:p>
      <w:pPr>
        <w:keepNext/>
        <w:spacing w:after="120"/>
      </w:pPr>
      <w:r>
        <w:rPr>
          <w:b/>
        </w:rPr>
        <w:t>Tabla 3.3. Tecnologías del proyecto y grado de implementación.</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9"/>
        <w:gridCol w:w="3009"/>
        <w:gridCol w:w="3009"/>
      </w:tblGrid>
      <w:tr>
        <w:trPr>
          <w:tblHeader w:val="true"/>
          <w:cantSplit/>
        </w:trPr>
        <w:tc>
          <w:tcPr>
            <w:tcW w:type="dxa" w:w="3009"/>
            <w:vAlign w:val="center"/>
            <w:tcMar>
              <w:top w:w="90" w:type="dxa"/>
              <w:start w:w="100" w:type="dxa"/>
              <w:bottom w:w="90" w:type="dxa"/>
              <w:end w:w="100" w:type="dxa"/>
            </w:tcMar>
            <w:shd w:fill="1F4E78"/>
          </w:tcPr>
          <w:p>
            <w:pPr>
              <w:jc w:val="left"/>
            </w:pPr>
            <w:r>
              <w:rPr>
                <w:rFonts w:ascii="Times New Roman" w:hAnsi="Times New Roman"/>
                <w:b/>
                <w:color w:val="FFFFFF"/>
                <w:sz w:val="16"/>
              </w:rPr>
              <w:t>Tecnología</w:t>
            </w:r>
          </w:p>
        </w:tc>
        <w:tc>
          <w:tcPr>
            <w:tcW w:type="dxa" w:w="3009"/>
            <w:vAlign w:val="center"/>
            <w:tcMar>
              <w:top w:w="90" w:type="dxa"/>
              <w:start w:w="100" w:type="dxa"/>
              <w:bottom w:w="90" w:type="dxa"/>
              <w:end w:w="100" w:type="dxa"/>
            </w:tcMar>
            <w:shd w:fill="1F4E78"/>
          </w:tcPr>
          <w:p>
            <w:pPr>
              <w:jc w:val="center"/>
            </w:pPr>
            <w:r>
              <w:rPr>
                <w:rFonts w:ascii="Times New Roman" w:hAnsi="Times New Roman"/>
                <w:b/>
                <w:color w:val="FFFFFF"/>
                <w:sz w:val="16"/>
              </w:rPr>
              <w:t>Función</w:t>
            </w:r>
          </w:p>
        </w:tc>
        <w:tc>
          <w:tcPr>
            <w:tcW w:type="dxa" w:w="3009"/>
            <w:vAlign w:val="center"/>
            <w:tcMar>
              <w:top w:w="90" w:type="dxa"/>
              <w:start w:w="100" w:type="dxa"/>
              <w:bottom w:w="90" w:type="dxa"/>
              <w:end w:w="100" w:type="dxa"/>
            </w:tcMar>
            <w:shd w:fill="1F4E78"/>
          </w:tcPr>
          <w:p>
            <w:pPr>
              <w:jc w:val="center"/>
            </w:pPr>
            <w:r>
              <w:rPr>
                <w:rFonts w:ascii="Times New Roman" w:hAnsi="Times New Roman"/>
                <w:b/>
                <w:color w:val="FFFFFF"/>
                <w:sz w:val="16"/>
              </w:rPr>
              <w:t>Estado en el proyecto</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Python</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Clientes de APIs, transformación, calidad, características y automatización</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Implementado.</w:t>
            </w:r>
          </w:p>
        </w:tc>
      </w:tr>
      <w:tr>
        <w:trPr>
          <w:cantSplit/>
        </w:trPr>
        <w:tc>
          <w:tcPr>
            <w:tcW w:type="dxa" w:w="3009"/>
            <w:vAlign w:val="center"/>
            <w:tcMar>
              <w:top w:w="90" w:type="dxa"/>
              <w:start w:w="100" w:type="dxa"/>
              <w:bottom w:w="90" w:type="dxa"/>
              <w:end w:w="100" w:type="dxa"/>
            </w:tcMar>
            <w:shd w:fill="EAF2F8"/>
          </w:tcPr>
          <w:p>
            <w:pPr>
              <w:jc w:val="left"/>
            </w:pPr>
            <w:r>
              <w:rPr>
                <w:rFonts w:ascii="Times New Roman" w:hAnsi="Times New Roman"/>
                <w:color w:val="000000"/>
                <w:sz w:val="16"/>
              </w:rPr>
              <w:t>pandas y NumPy</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Tablas, limpieza, agregación y preparación de variables</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Implementado.</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scikit-learn y XGBoost</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Pipelines, validación temporal y comparación de modelos</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Implementado.</w:t>
            </w:r>
          </w:p>
        </w:tc>
      </w:tr>
      <w:tr>
        <w:trPr>
          <w:cantSplit/>
        </w:trPr>
        <w:tc>
          <w:tcPr>
            <w:tcW w:type="dxa" w:w="3009"/>
            <w:vAlign w:val="center"/>
            <w:tcMar>
              <w:top w:w="90" w:type="dxa"/>
              <w:start w:w="100" w:type="dxa"/>
              <w:bottom w:w="90" w:type="dxa"/>
              <w:end w:w="100" w:type="dxa"/>
            </w:tcMar>
            <w:shd w:fill="EAF2F8"/>
          </w:tcPr>
          <w:p>
            <w:pPr>
              <w:jc w:val="left"/>
            </w:pPr>
            <w:r>
              <w:rPr>
                <w:rFonts w:ascii="Times New Roman" w:hAnsi="Times New Roman"/>
                <w:color w:val="000000"/>
                <w:sz w:val="16"/>
              </w:rPr>
              <w:t>Matplotlib</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Figuras reproducibles para análisis y memoria</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Implementado.</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Streamlit</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Aplicación de demostración del sistema de recomendación</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Implementado.</w:t>
            </w:r>
          </w:p>
        </w:tc>
      </w:tr>
      <w:tr>
        <w:trPr>
          <w:cantSplit/>
        </w:trPr>
        <w:tc>
          <w:tcPr>
            <w:tcW w:type="dxa" w:w="3009"/>
            <w:vAlign w:val="center"/>
            <w:tcMar>
              <w:top w:w="90" w:type="dxa"/>
              <w:start w:w="100" w:type="dxa"/>
              <w:bottom w:w="90" w:type="dxa"/>
              <w:end w:w="100" w:type="dxa"/>
            </w:tcMar>
            <w:shd w:fill="EAF2F8"/>
          </w:tcPr>
          <w:p>
            <w:pPr>
              <w:jc w:val="left"/>
            </w:pPr>
            <w:r>
              <w:rPr>
                <w:rFonts w:ascii="Times New Roman" w:hAnsi="Times New Roman"/>
                <w:color w:val="000000"/>
                <w:sz w:val="16"/>
              </w:rPr>
              <w:t>Jupyter y Visual Studio Code</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Exploración, demostración y desarrollo local</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Implementado.</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Git y GitHub</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Versionado, ramas, revisión e integración del trabajo</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Implementado.</w:t>
            </w:r>
          </w:p>
        </w:tc>
      </w:tr>
      <w:tr>
        <w:trPr>
          <w:cantSplit/>
        </w:trPr>
        <w:tc>
          <w:tcPr>
            <w:tcW w:type="dxa" w:w="3009"/>
            <w:vAlign w:val="center"/>
            <w:tcMar>
              <w:top w:w="90" w:type="dxa"/>
              <w:start w:w="100" w:type="dxa"/>
              <w:bottom w:w="90" w:type="dxa"/>
              <w:end w:w="100" w:type="dxa"/>
            </w:tcMar>
            <w:shd w:fill="EAF2F8"/>
          </w:tcPr>
          <w:p>
            <w:pPr>
              <w:jc w:val="left"/>
            </w:pPr>
            <w:r>
              <w:rPr>
                <w:rFonts w:ascii="Times New Roman" w:hAnsi="Times New Roman"/>
                <w:color w:val="000000"/>
                <w:sz w:val="16"/>
              </w:rPr>
              <w:t>MySQL</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Persistencia relacional de catálogos, recomendaciones y metadatos</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Diseñado, pendiente de implementación.</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Apache Hop</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Orquestación visual de cargas ETL</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Propuesto; el flujo actual se ejecuta con módulos Python.</w:t>
            </w:r>
          </w:p>
        </w:tc>
      </w:tr>
      <w:tr>
        <w:trPr>
          <w:cantSplit/>
        </w:trPr>
        <w:tc>
          <w:tcPr>
            <w:tcW w:type="dxa" w:w="3009"/>
            <w:vAlign w:val="center"/>
            <w:tcMar>
              <w:top w:w="90" w:type="dxa"/>
              <w:start w:w="100" w:type="dxa"/>
              <w:bottom w:w="90" w:type="dxa"/>
              <w:end w:w="100" w:type="dxa"/>
            </w:tcMar>
            <w:shd w:fill="EAF2F8"/>
          </w:tcPr>
          <w:p>
            <w:pPr>
              <w:jc w:val="left"/>
            </w:pPr>
            <w:r>
              <w:rPr>
                <w:rFonts w:ascii="Times New Roman" w:hAnsi="Times New Roman"/>
                <w:color w:val="000000"/>
                <w:sz w:val="16"/>
              </w:rPr>
              <w:t>Power BI o Tableau</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Análisis agregado de las recomendaciones archivadas</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Opcional; la consulta del prototipo se resuelve con Streamlit.</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Docker</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Entorno reproducible de servicios y despliegue</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Previsto.</w:t>
            </w:r>
          </w:p>
        </w:tc>
      </w:tr>
      <w:tr>
        <w:trPr>
          <w:cantSplit/>
        </w:trPr>
        <w:tc>
          <w:tcPr>
            <w:tcW w:type="dxa" w:w="3009"/>
            <w:vAlign w:val="center"/>
            <w:tcMar>
              <w:top w:w="90" w:type="dxa"/>
              <w:start w:w="100" w:type="dxa"/>
              <w:bottom w:w="90" w:type="dxa"/>
              <w:end w:w="100" w:type="dxa"/>
            </w:tcMar>
            <w:shd w:fill="EAF2F8"/>
          </w:tcPr>
          <w:p>
            <w:pPr>
              <w:jc w:val="left"/>
            </w:pPr>
            <w:r>
              <w:rPr>
                <w:rFonts w:ascii="Times New Roman" w:hAnsi="Times New Roman"/>
                <w:color w:val="000000"/>
                <w:sz w:val="16"/>
              </w:rPr>
              <w:t>PySpark</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Procesamiento distribuido si el volumen nacional lo justifica</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Condicional; no necesario para el piloto actual.</w:t>
            </w:r>
          </w:p>
        </w:tc>
      </w:tr>
    </w:tbl>
    <w:p>
      <w:pPr>
        <w:spacing w:after="40"/>
      </w:pPr>
    </w:p>
    <w:p>
      <w:pPr>
        <w:spacing w:after="120"/>
      </w:pPr>
      <w:r>
        <w:t>Esta clasificación actualiza el planteamiento del anteproyecto. MySQL, Apache Hop, Docker, PySpark y un cuadro de mando en Power BI o Tableau forman parte de la arquitectura objetivo, pero no se consideran evidencias terminadas. En el estado actual, el prototipo reproducible se apoya en módulos Python, almacenamiento local por capas y una aplicación en Streamlit para consultar el sistema de recomendación.</w:t>
      </w:r>
    </w:p>
    <w:p>
      <w:pPr>
        <w:pStyle w:val="Heading3"/>
        <w:keepNext/>
      </w:pPr>
      <w:r>
        <w:rPr>
          <w:rFonts w:ascii="Times New Roman" w:hAnsi="Times New Roman"/>
          <w:color w:val="000000"/>
          <w:sz w:val="24"/>
        </w:rPr>
        <w:t>3.2.3. Contratos de datos e integración</w:t>
      </w:r>
    </w:p>
    <w:p>
      <w:pPr>
        <w:spacing w:after="120"/>
      </w:pPr>
      <w:r>
        <w:t>Cada conjunto dispone de una granularidad y una clave lógica. Las observaciones SiAR se identifican por estación y fecha; las necesidades por estación, cultivo y fecha; y las predicciones AEMET por municipio, fecha de emisión, horizonte y fecha válida. Las tablas normalizadas utilizan unidades explícitas en los nombres de columnas y fechas ISO 8601.</w:t>
      </w:r>
    </w:p>
    <w:p>
      <w:pPr>
        <w:spacing w:after="120"/>
      </w:pPr>
      <w:r>
        <w:t>La unión no se realiza únicamente por coincidencia de nombres. Se conservan los identificadores espaciales y, cuando se incorporen más estaciones, se tendrá en cuenta distancia, altitud, vigencia y cobertura. Una observación y una predicción tampoco se consideran equivalentes: la evaluación futura debe relacionarlas mediante fecha de emisión, fecha válida y horizonte.</w:t>
      </w:r>
    </w:p>
    <w:p>
      <w:pPr>
        <w:pStyle w:val="Heading3"/>
        <w:keepNext/>
      </w:pPr>
      <w:r>
        <w:rPr>
          <w:rFonts w:ascii="Times New Roman" w:hAnsi="Times New Roman"/>
          <w:color w:val="000000"/>
          <w:sz w:val="24"/>
        </w:rPr>
        <w:t>3.2.4. Reproducibilidad y escalabilidad</w:t>
      </w:r>
    </w:p>
    <w:p>
      <w:pPr>
        <w:spacing w:after="120"/>
      </w:pPr>
      <w:r>
        <w:t xml:space="preserve">Los procesos se ejecutan mediante módulos independientes y generan salidas deterministas a partir de datos y parámetros conocidos. Las pruebas automáticas cubren construcción de consultas, protección de credenciales, escritura raw, normalización, calidad, características, evaluación temporal y reglas del motor de recomendación, incluida la comprobación de que la planificación no utiliza información posterior a la fecha de emisión. En total, el proyecto dispone de cincuenta y cinco pruebas. Las figuras y resúmenes de la memoria se regeneran desde los mismos archivos que consume el modelado.</w:t>
      </w:r>
    </w:p>
    <w:p>
      <w:pPr>
        <w:spacing w:after="120"/>
      </w:pPr>
      <w:r>
        <w:t>La separación por capas permite sustituir progresivamente el almacenamiento local por Parquet, almacenamiento de objetos o MySQL sin cambiar el significado de las variables. La escalabilidad se abordará cuando exista un histórico de varias campañas y estaciones. Para el volumen del piloto, pandas es suficiente y añadir procesamiento distribuido aumentaría la complejidad sin aportar una mejora demostrable.</w:t>
      </w:r>
    </w:p>
    <w:p>
      <w:pPr>
        <w:pStyle w:val="Heading2"/>
      </w:pPr>
      <w:r>
        <w:t>3.3. Planificación y organización del proyecto</w:t>
      </w:r>
    </w:p>
    <w:p>
      <w:pPr>
        <w:spacing w:after="120"/>
      </w:pPr>
      <w:r>
        <w:t>El trabajo sigue un proceso incremental. Cada iteración parte de una necesidad del DSS, identifica los datos requeridos, implementa una transformación o modelo, genera evidencias y revisa las limitaciones antes de integrar el cambio. Esta secuencia permite avanzar desde un piloto acotado sin confundir un prototipo técnico con una solución validada en campo.</w:t>
      </w:r>
    </w:p>
    <w:p>
      <w:pPr>
        <w:spacing w:after="120"/>
      </w:pPr>
      <w:r>
        <w:t>Las fases de trabajo son:</w:t>
      </w:r>
    </w:p>
    <w:p>
      <w:pPr>
        <w:keepNext/>
        <w:spacing w:after="120"/>
      </w:pPr>
      <w:r>
        <w:rPr>
          <w:b/>
        </w:rPr>
        <w:t>Tabla 3.4. Fases de trabajo y evidencias de salida.</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9"/>
        <w:gridCol w:w="3009"/>
        <w:gridCol w:w="3009"/>
      </w:tblGrid>
      <w:tr>
        <w:trPr>
          <w:tblHeader w:val="true"/>
          <w:cantSplit/>
        </w:trPr>
        <w:tc>
          <w:tcPr>
            <w:tcW w:type="dxa" w:w="3009"/>
            <w:vAlign w:val="center"/>
            <w:tcMar>
              <w:top w:w="90" w:type="dxa"/>
              <w:start w:w="100" w:type="dxa"/>
              <w:bottom w:w="90" w:type="dxa"/>
              <w:end w:w="100" w:type="dxa"/>
            </w:tcMar>
            <w:shd w:fill="1F4E78"/>
          </w:tcPr>
          <w:p>
            <w:pPr>
              <w:jc w:val="left"/>
            </w:pPr>
            <w:r>
              <w:rPr>
                <w:rFonts w:ascii="Times New Roman" w:hAnsi="Times New Roman"/>
                <w:b/>
                <w:color w:val="FFFFFF"/>
                <w:sz w:val="16"/>
              </w:rPr>
              <w:t>Fase</w:t>
            </w:r>
          </w:p>
        </w:tc>
        <w:tc>
          <w:tcPr>
            <w:tcW w:type="dxa" w:w="3009"/>
            <w:vAlign w:val="center"/>
            <w:tcMar>
              <w:top w:w="90" w:type="dxa"/>
              <w:start w:w="100" w:type="dxa"/>
              <w:bottom w:w="90" w:type="dxa"/>
              <w:end w:w="100" w:type="dxa"/>
            </w:tcMar>
            <w:shd w:fill="1F4E78"/>
          </w:tcPr>
          <w:p>
            <w:pPr>
              <w:jc w:val="center"/>
            </w:pPr>
            <w:r>
              <w:rPr>
                <w:rFonts w:ascii="Times New Roman" w:hAnsi="Times New Roman"/>
                <w:b/>
                <w:color w:val="FFFFFF"/>
                <w:sz w:val="16"/>
              </w:rPr>
              <w:t>Actividades</w:t>
            </w:r>
          </w:p>
        </w:tc>
        <w:tc>
          <w:tcPr>
            <w:tcW w:type="dxa" w:w="3009"/>
            <w:vAlign w:val="center"/>
            <w:tcMar>
              <w:top w:w="90" w:type="dxa"/>
              <w:start w:w="100" w:type="dxa"/>
              <w:bottom w:w="90" w:type="dxa"/>
              <w:end w:w="100" w:type="dxa"/>
            </w:tcMar>
            <w:shd w:fill="1F4E78"/>
          </w:tcPr>
          <w:p>
            <w:pPr>
              <w:jc w:val="center"/>
            </w:pPr>
            <w:r>
              <w:rPr>
                <w:rFonts w:ascii="Times New Roman" w:hAnsi="Times New Roman"/>
                <w:b/>
                <w:color w:val="FFFFFF"/>
                <w:sz w:val="16"/>
              </w:rPr>
              <w:t>Evidencia de salida</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Comprensión y alcance</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Necesidad de negocio, usuario, decisión y restricciones</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Objetivos, alcance del piloto y criterios de evaluación.</w:t>
            </w:r>
          </w:p>
        </w:tc>
      </w:tr>
      <w:tr>
        <w:trPr>
          <w:cantSplit/>
        </w:trPr>
        <w:tc>
          <w:tcPr>
            <w:tcW w:type="dxa" w:w="3009"/>
            <w:vAlign w:val="center"/>
            <w:tcMar>
              <w:top w:w="90" w:type="dxa"/>
              <w:start w:w="100" w:type="dxa"/>
              <w:bottom w:w="90" w:type="dxa"/>
              <w:end w:w="100" w:type="dxa"/>
            </w:tcMar>
            <w:shd w:fill="EAF2F8"/>
          </w:tcPr>
          <w:p>
            <w:pPr>
              <w:jc w:val="left"/>
            </w:pPr>
            <w:r>
              <w:rPr>
                <w:rFonts w:ascii="Times New Roman" w:hAnsi="Times New Roman"/>
                <w:color w:val="000000"/>
                <w:sz w:val="16"/>
              </w:rPr>
              <w:t>Adquisición y comprensión de datos</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Inventario de fuentes, extracción y análisis de cobertura</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Archivos raw, metadatos, inventarios y controles iniciales.</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Preparación</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Normalización, calidad, integración y características</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Tablas interim y processed, catálogo de variables y auditoría.</w:t>
            </w:r>
          </w:p>
        </w:tc>
      </w:tr>
      <w:tr>
        <w:trPr>
          <w:cantSplit/>
        </w:trPr>
        <w:tc>
          <w:tcPr>
            <w:tcW w:type="dxa" w:w="3009"/>
            <w:vAlign w:val="center"/>
            <w:tcMar>
              <w:top w:w="90" w:type="dxa"/>
              <w:start w:w="100" w:type="dxa"/>
              <w:bottom w:w="90" w:type="dxa"/>
              <w:end w:w="100" w:type="dxa"/>
            </w:tcMar>
            <w:shd w:fill="EAF2F8"/>
          </w:tcPr>
          <w:p>
            <w:pPr>
              <w:jc w:val="left"/>
            </w:pPr>
            <w:r>
              <w:rPr>
                <w:rFonts w:ascii="Times New Roman" w:hAnsi="Times New Roman"/>
                <w:color w:val="000000"/>
                <w:sz w:val="16"/>
              </w:rPr>
              <w:t>Modelado y evaluación</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Baselines, modelos, validación temporal y prueba reservada</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Métricas, predicciones, figuras y decisión técnica.</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Sistema de recomendación</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Reglas agronómicas, parámetros de parcela y explicación</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Prototipo del DSS y salidas diaria y semanal.</w:t>
            </w:r>
          </w:p>
        </w:tc>
      </w:tr>
      <w:tr>
        <w:trPr>
          <w:cantSplit/>
        </w:trPr>
        <w:tc>
          <w:tcPr>
            <w:tcW w:type="dxa" w:w="3009"/>
            <w:vAlign w:val="center"/>
            <w:tcMar>
              <w:top w:w="90" w:type="dxa"/>
              <w:start w:w="100" w:type="dxa"/>
              <w:bottom w:w="90" w:type="dxa"/>
              <w:end w:w="100" w:type="dxa"/>
            </w:tcMar>
            <w:shd w:fill="EAF2F8"/>
          </w:tcPr>
          <w:p>
            <w:pPr>
              <w:jc w:val="left"/>
            </w:pPr>
            <w:r>
              <w:rPr>
                <w:rFonts w:ascii="Times New Roman" w:hAnsi="Times New Roman"/>
                <w:color w:val="000000"/>
                <w:sz w:val="16"/>
              </w:rPr>
              <w:t>Validación y documentación</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Revisión funcional, limitaciones y reproducibilidad</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Pruebas, memoria, manual de ejecución y conclusiones.</w:t>
            </w:r>
          </w:p>
        </w:tc>
      </w:tr>
    </w:tbl>
    <w:p>
      <w:pPr>
        <w:spacing w:after="40"/>
      </w:pPr>
    </w:p>
    <w:p>
      <w:pPr>
        <w:spacing w:after="120"/>
      </w:pPr>
      <w:r>
        <w:t xml:space="preserve">El desarrollo se organiza mediante Git y GitHub para mantener trazabilidad sobre el código, la documentación y las evidencias reproducibles. La rama </w:t>
      </w:r>
      <w:r>
        <w:rPr>
          <w:rFonts w:ascii="Consolas" w:hAnsi="Consolas"/>
          <w:sz w:val="19"/>
        </w:rPr>
        <w:t>main</w:t>
      </w:r>
      <w:r>
        <w:t xml:space="preserve"> representa la versión integrada del proyecto. Cada bloque de trabajo se desarrolla en una rama independiente creada desde </w:t>
      </w:r>
      <w:r>
        <w:rPr>
          <w:rFonts w:ascii="Consolas" w:hAnsi="Consolas"/>
          <w:sz w:val="19"/>
        </w:rPr>
        <w:t>main</w:t>
      </w:r>
      <w:r>
        <w:t xml:space="preserve">, con un nombre que identifica a la persona y la tarea, por ejemplo </w:t>
      </w:r>
      <w:r>
        <w:rPr>
          <w:rFonts w:ascii="Consolas" w:hAnsi="Consolas"/>
          <w:sz w:val="19"/>
        </w:rPr>
        <w:t>adrian/procesamiento-ml</w:t>
      </w:r>
      <w:r>
        <w:t>.</w:t>
      </w:r>
    </w:p>
    <w:p>
      <w:pPr>
        <w:spacing w:after="120"/>
      </w:pPr>
      <w:r>
        <w:t xml:space="preserve">El ciclo habitual comienza actualizando </w:t>
      </w:r>
      <w:r>
        <w:rPr>
          <w:rFonts w:ascii="Consolas" w:hAnsi="Consolas"/>
          <w:sz w:val="19"/>
        </w:rPr>
        <w:t>main</w:t>
      </w:r>
      <w:r>
        <w:t xml:space="preserve"> y creando o recuperando la rama de trabajo. Durante el desarrollo se revisan los archivos modificados, se ejecutan las pruebas asociadas y se crean commits pequeños con mensajes descriptivos. La rama se publica mediante </w:t>
      </w:r>
      <w:r>
        <w:rPr>
          <w:rFonts w:ascii="Consolas" w:hAnsi="Consolas"/>
          <w:sz w:val="19"/>
        </w:rPr>
        <w:t>push</w:t>
      </w:r>
      <w:r>
        <w:t xml:space="preserve"> y se abre una pull request hacia </w:t>
      </w:r>
      <w:r>
        <w:rPr>
          <w:rFonts w:ascii="Consolas" w:hAnsi="Consolas"/>
          <w:sz w:val="19"/>
        </w:rPr>
        <w:t>main</w:t>
      </w:r>
      <w:r>
        <w:t xml:space="preserve">. Esta solicitud permite revisar el código, las cifras y la documentación antes de la fusión. Después del merge, el resto del equipo actualiza su copia local de </w:t>
      </w:r>
      <w:r>
        <w:rPr>
          <w:rFonts w:ascii="Consolas" w:hAnsi="Consolas"/>
          <w:sz w:val="19"/>
        </w:rPr>
        <w:t>main</w:t>
      </w:r>
      <w:r>
        <w:t xml:space="preserve"> antes de comenzar una nueva tarea.</w:t>
      </w:r>
    </w:p>
    <w:p>
      <w:pPr>
        <w:spacing w:before="80" w:after="140"/>
        <w:ind w:left="360" w:right="216"/>
        <w:jc w:val="left"/>
        <w:shd w:fill="F2F2F2"/>
      </w:pPr>
      <w:r>
        <w:rPr>
          <w:rFonts w:ascii="Consolas" w:hAnsi="Consolas"/>
          <w:sz w:val="17"/>
        </w:rPr>
        <w:t>main actualizada</w:t>
        <w:br/>
        <w:t xml:space="preserve">    -&gt; rama persona/tarea</w:t>
        <w:br/>
        <w:t xml:space="preserve">    -&gt; cambios y pruebas locales</w:t>
        <w:br/>
        <w:t xml:space="preserve">    -&gt; commit</w:t>
        <w:br/>
        <w:t xml:space="preserve">    -&gt; push a GitHub</w:t>
        <w:br/>
        <w:t xml:space="preserve">    -&gt; pull request y revisión</w:t>
        <w:br/>
        <w:t xml:space="preserve">    -&gt; merge en main</w:t>
      </w:r>
    </w:p>
    <w:p>
      <w:pPr>
        <w:spacing w:after="120"/>
      </w:pPr>
      <w:r>
        <w:t>Este flujo separa el trabajo en curso de la versión estable y conserva el histórico de decisiones. Las pull requests indican el apartado del TFM afectado, los archivos modificados, las evidencias generadas, las pruebas ejecutadas y las limitaciones conocidas. En los cambios de datos se comprueban volúmenes, duplicados, ausencias y trazabilidad. En los cambios de modelado se mantienen la división temporal y el baseline para que las métricas sean comparables.</w:t>
      </w:r>
    </w:p>
    <w:p>
      <w:pPr>
        <w:spacing w:after="120"/>
      </w:pPr>
      <w:r>
        <w:t>Antes de integrar una tarea se comprueba que el código se ejecuta desde un entorno limpio, que las pruebas relacionadas finalizan correctamente, que las cifras de la documentación proceden de archivos reproducibles y que no se han incluido credenciales. Los cambios que afecten a la memoria deben mantener la correspondencia entre texto, tablas, figuras y evidencias del repositorio.</w:t>
      </w:r>
    </w:p>
    <w:p>
      <w:pPr>
        <w:spacing w:after="120"/>
      </w:pPr>
      <w:r>
        <w:t xml:space="preserve">Las credenciales se almacenan únicamente en </w:t>
      </w:r>
      <w:r>
        <w:rPr>
          <w:rFonts w:ascii="Consolas" w:hAnsi="Consolas"/>
          <w:sz w:val="19"/>
        </w:rPr>
        <w:t>.env</w:t>
      </w:r>
      <w:r>
        <w:t xml:space="preserve">, excluido de Git. Los datos raw, las tablas completas generadas y los modelos serializados también quedan fuera del control de versiones. Se versionan el código, los esquemas, las muestras ligeras, las métricas, las figuras y los datos públicos que el equipo haya aprobado expresamente. Las instrucciones operativas completas se mantienen en </w:t>
      </w:r>
      <w:r>
        <w:rPr>
          <w:rFonts w:ascii="Consolas" w:hAnsi="Consolas"/>
          <w:sz w:val="19"/>
        </w:rPr>
        <w:t>CONTRIBUTING.md</w:t>
      </w:r>
      <w:r>
        <w:t xml:space="preserve"> y </w:t>
      </w:r>
      <w:r>
        <w:rPr>
          <w:rFonts w:ascii="Consolas" w:hAnsi="Consolas"/>
          <w:sz w:val="19"/>
        </w:rPr>
        <w:t>ORGANIZACION_Y_VERSIONADO.md</w:t>
      </w:r>
      <w:r>
        <w:t>.</w:t>
      </w:r>
    </w:p>
    <w:p>
      <w:pPr>
        <w:pStyle w:val="Heading1"/>
      </w:pPr>
      <w:r>
        <w:t>4. Procesamiento de datos y Machine Learning</w:t>
      </w:r>
    </w:p>
    <w:p>
      <w:pPr>
        <w:pStyle w:val="Heading2"/>
      </w:pPr>
      <w:r>
        <w:t>4.1. Extracción, transformación y almacenamiento de datos</w:t>
      </w:r>
    </w:p>
    <w:p>
      <w:pPr>
        <w:spacing w:after="120"/>
      </w:pPr>
      <w:r>
        <w:t>El sistema de apoyo a la decisión necesita combinar observaciones agroclimáticas históricas con predicciones meteorológicas. Para ello se ha diseñado un proceso reproducible de extracción, transformación y almacenamiento que mantiene separadas las respuestas originales de las tablas preparadas para el análisis. Esta separación permite auditar cada recomendación, repetir el procesamiento cuando cambien las reglas y evitar que una corrección destruya el contenido recibido de la fuente.</w:t>
      </w:r>
    </w:p>
    <w:p>
      <w:pPr>
        <w:spacing w:after="120"/>
      </w:pPr>
      <w:r>
        <w:t xml:space="preserve">El piloto utiliza como referencia el pimiento al aire libre en Almería. Se ha extraído un ciclo completo del 1 de mayo al 30 de septiembre de 2025 para la estación SiAR </w:t>
      </w:r>
      <w:r>
        <w:rPr>
          <w:rFonts w:ascii="Consolas" w:hAnsi="Consolas"/>
          <w:sz w:val="19"/>
        </w:rPr>
        <w:t>AL01</w:t>
      </w:r>
      <w:r>
        <w:t xml:space="preserve"> La Mojonera, junto con las necesidades hídricas del pimiento en esa misma estación y periodo. Las predicciones se obtienen para el municipio AEMET </w:t>
      </w:r>
      <w:r>
        <w:rPr>
          <w:rFonts w:ascii="Consolas" w:hAnsi="Consolas"/>
          <w:sz w:val="19"/>
        </w:rPr>
        <w:t>04013</w:t>
      </w:r>
      <w:r>
        <w:t xml:space="preserve"> Almería. Esta configuración es un caso de validación y no una restricción fija del producto. El diseño conserva identificadores de fuente, estación, municipio, cultivo y tiempo para que la selección del usuario determine qué datos se consultan en cada ejecución.</w:t>
      </w:r>
    </w:p>
    <w:p>
      <w:pPr>
        <w:keepNext w:val="0"/>
        <w:jc w:val="center"/>
      </w:pPr>
      <w:r>
        <w:drawing>
          <wp:inline xmlns:wp="http://schemas.openxmlformats.org/drawingml/2006/wordprocessingDrawing" xmlns:a="http://schemas.openxmlformats.org/drawingml/2006/main" xmlns:pic="http://schemas.openxmlformats.org/drawingml/2006/picture">
            <wp:extent cx="5577840" cy="3236939"/>
            <wp:docPr id="22" name="Picture 22"/>
            <wp:cNvGraphicFramePr>
              <a:graphicFrameLocks noChangeAspect="1"/>
            </wp:cNvGraphicFramePr>
            <a:graphic>
              <a:graphicData uri="http://schemas.openxmlformats.org/drawingml/2006/picture">
                <pic:pic>
                  <pic:nvPicPr>
                    <pic:cNvPr id="0" name="image.png"/>
                    <pic:cNvPicPr/>
                  </pic:nvPicPr>
                  <pic:blipFill>
                    <a:blip ns1:embed="rId14"/>
                    <a:stretch>
                      <a:fillRect/>
                    </a:stretch>
                  </pic:blipFill>
                  <pic:spPr>
                    <a:xfrm>
                      <a:off x="0" y="0"/>
                      <a:ext cx="5577840" cy="3236939"/>
                    </a:xfrm>
                    <a:prstGeom prst="rect"/>
                  </pic:spPr>
                </pic:pic>
              </a:graphicData>
            </a:graphic>
          </wp:inline>
        </w:drawing>
      </w:r>
    </w:p>
    <w:p>
      <w:pPr>
        <w:spacing w:after="120"/>
      </w:pPr>
      <w:r>
        <w:rPr>
          <w:i/>
        </w:rPr>
        <w:t>Figura 4.1. ETL parametrizable desde la selección del usuario hasta la tabla analítica del piloto. Los gráficos inferiores utilizan datos reales de la extracción del 24 de septiembre de 2026.</w:t>
      </w:r>
    </w:p>
    <w:p>
      <w:pPr>
        <w:pStyle w:val="Heading3"/>
        <w:keepNext/>
      </w:pPr>
      <w:r>
        <w:rPr>
          <w:rFonts w:ascii="Times New Roman" w:hAnsi="Times New Roman"/>
          <w:color w:val="000000"/>
          <w:sz w:val="24"/>
        </w:rPr>
        <w:t>4.1.1. Fuentes utilizadas</w:t>
      </w:r>
    </w:p>
    <w:p>
      <w:pPr>
        <w:keepNext/>
        <w:spacing w:after="120"/>
      </w:pPr>
      <w:r>
        <w:rPr>
          <w:b/>
        </w:rPr>
        <w:t>Tabla 4.1. Fuentes oficiales utilizadas y función en el DSS.</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56"/>
        <w:gridCol w:w="2256"/>
        <w:gridCol w:w="2256"/>
        <w:gridCol w:w="2256"/>
      </w:tblGrid>
      <w:tr>
        <w:trPr>
          <w:tblHeader w:val="true"/>
          <w:cantSplit/>
        </w:trPr>
        <w:tc>
          <w:tcPr>
            <w:tcW w:type="dxa" w:w="2256"/>
            <w:vAlign w:val="center"/>
            <w:tcMar>
              <w:top w:w="90" w:type="dxa"/>
              <w:start w:w="100" w:type="dxa"/>
              <w:bottom w:w="90" w:type="dxa"/>
              <w:end w:w="100" w:type="dxa"/>
            </w:tcMar>
            <w:shd w:fill="1F4E78"/>
          </w:tcPr>
          <w:p>
            <w:pPr>
              <w:jc w:val="left"/>
            </w:pPr>
            <w:r>
              <w:rPr>
                <w:rFonts w:ascii="Times New Roman" w:hAnsi="Times New Roman"/>
                <w:b/>
                <w:color w:val="FFFFFF"/>
                <w:sz w:val="16"/>
              </w:rPr>
              <w:t>Organismo y producto</w:t>
            </w:r>
          </w:p>
        </w:tc>
        <w:tc>
          <w:tcPr>
            <w:tcW w:type="dxa" w:w="2256"/>
            <w:vAlign w:val="center"/>
            <w:tcMar>
              <w:top w:w="90" w:type="dxa"/>
              <w:start w:w="100" w:type="dxa"/>
              <w:bottom w:w="90" w:type="dxa"/>
              <w:end w:w="100" w:type="dxa"/>
            </w:tcMar>
            <w:shd w:fill="1F4E78"/>
          </w:tcPr>
          <w:p>
            <w:pPr>
              <w:jc w:val="center"/>
            </w:pPr>
            <w:r>
              <w:rPr>
                <w:rFonts w:ascii="Times New Roman" w:hAnsi="Times New Roman"/>
                <w:b/>
                <w:color w:val="FFFFFF"/>
                <w:sz w:val="16"/>
              </w:rPr>
              <w:t>Acceso oficial</w:t>
            </w:r>
          </w:p>
        </w:tc>
        <w:tc>
          <w:tcPr>
            <w:tcW w:type="dxa" w:w="2256"/>
            <w:vAlign w:val="center"/>
            <w:tcMar>
              <w:top w:w="90" w:type="dxa"/>
              <w:start w:w="100" w:type="dxa"/>
              <w:bottom w:w="90" w:type="dxa"/>
              <w:end w:w="100" w:type="dxa"/>
            </w:tcMar>
            <w:shd w:fill="1F4E78"/>
          </w:tcPr>
          <w:p>
            <w:pPr>
              <w:jc w:val="center"/>
            </w:pPr>
            <w:r>
              <w:rPr>
                <w:rFonts w:ascii="Times New Roman" w:hAnsi="Times New Roman"/>
                <w:b/>
                <w:color w:val="FFFFFF"/>
                <w:sz w:val="16"/>
              </w:rPr>
              <w:t>Datos utilizados</w:t>
            </w:r>
          </w:p>
        </w:tc>
        <w:tc>
          <w:tcPr>
            <w:tcW w:type="dxa" w:w="2256"/>
            <w:vAlign w:val="center"/>
            <w:tcMar>
              <w:top w:w="90" w:type="dxa"/>
              <w:start w:w="100" w:type="dxa"/>
              <w:bottom w:w="90" w:type="dxa"/>
              <w:end w:w="100" w:type="dxa"/>
            </w:tcMar>
            <w:shd w:fill="1F4E78"/>
          </w:tcPr>
          <w:p>
            <w:pPr>
              <w:jc w:val="center"/>
            </w:pPr>
            <w:r>
              <w:rPr>
                <w:rFonts w:ascii="Times New Roman" w:hAnsi="Times New Roman"/>
                <w:b/>
                <w:color w:val="FFFFFF"/>
                <w:sz w:val="16"/>
              </w:rPr>
              <w:t>Función en el DSS</w:t>
            </w:r>
          </w:p>
        </w:tc>
      </w:tr>
      <w:tr>
        <w:trPr>
          <w:cantSplit/>
        </w:trPr>
        <w:tc>
          <w:tcPr>
            <w:tcW w:type="dxa" w:w="2256"/>
            <w:vAlign w:val="center"/>
            <w:tcMar>
              <w:top w:w="90" w:type="dxa"/>
              <w:start w:w="100" w:type="dxa"/>
              <w:bottom w:w="90" w:type="dxa"/>
              <w:end w:w="100" w:type="dxa"/>
            </w:tcMar>
          </w:tcPr>
          <w:p>
            <w:pPr>
              <w:jc w:val="left"/>
            </w:pPr>
            <w:r>
              <w:rPr>
                <w:rFonts w:ascii="Times New Roman" w:hAnsi="Times New Roman"/>
                <w:color w:val="000000"/>
                <w:sz w:val="16"/>
              </w:rPr>
              <w:t>Ministerio de Agricultura, Pesca y Alimentación, SiAR</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 xml:space="preserve">Web API SiAR v1, https://servicio.mapa.gob.es/siarapi/API/V1</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Observaciones por estación, ET0, precipitación efectiva y catálogos</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Histórico agroclimático y trazabilidad espacial.</w:t>
            </w:r>
          </w:p>
        </w:tc>
      </w:tr>
      <w:tr>
        <w:trPr>
          <w:cantSplit/>
        </w:trPr>
        <w:tc>
          <w:tcPr>
            <w:tcW w:type="dxa" w:w="2256"/>
            <w:vAlign w:val="center"/>
            <w:tcMar>
              <w:top w:w="90" w:type="dxa"/>
              <w:start w:w="100" w:type="dxa"/>
              <w:bottom w:w="90" w:type="dxa"/>
              <w:end w:w="100" w:type="dxa"/>
            </w:tcMar>
            <w:shd w:fill="EAF2F8"/>
          </w:tcPr>
          <w:p>
            <w:pPr>
              <w:jc w:val="left"/>
            </w:pPr>
            <w:r>
              <w:rPr>
                <w:rFonts w:ascii="Times New Roman" w:hAnsi="Times New Roman"/>
                <w:color w:val="000000"/>
                <w:sz w:val="16"/>
              </w:rPr>
              <w:t>Ministerio de Agricultura, Pesca y Alimentación, SiAR</w:t>
            </w:r>
          </w:p>
        </w:tc>
        <w:tc>
          <w:tcPr>
            <w:tcW w:type="dxa" w:w="2256"/>
            <w:vAlign w:val="center"/>
            <w:tcMar>
              <w:top w:w="90" w:type="dxa"/>
              <w:start w:w="100" w:type="dxa"/>
              <w:bottom w:w="90" w:type="dxa"/>
              <w:end w:w="100" w:type="dxa"/>
            </w:tcMar>
            <w:shd w:fill="EAF2F8"/>
          </w:tcPr>
          <w:p>
            <w:pPr>
              <w:jc w:val="center"/>
            </w:pPr>
            <w:r>
              <w:rPr>
                <w:rFonts w:ascii="Times New Roman" w:hAnsi="Times New Roman"/>
                <w:color w:val="000000"/>
                <w:sz w:val="16"/>
              </w:rPr>
              <w:t xml:space="preserve">Web de cálculo de necesidades hídricas, https://servicio.mapa.gob.es/siarweb/necesidadesHidricas/calculo</w:t>
            </w:r>
          </w:p>
        </w:tc>
        <w:tc>
          <w:tcPr>
            <w:tcW w:type="dxa" w:w="2256"/>
            <w:vAlign w:val="center"/>
            <w:tcMar>
              <w:top w:w="90" w:type="dxa"/>
              <w:start w:w="100" w:type="dxa"/>
              <w:bottom w:w="90" w:type="dxa"/>
              <w:end w:w="100" w:type="dxa"/>
            </w:tcMar>
            <w:shd w:fill="EAF2F8"/>
          </w:tcPr>
          <w:p>
            <w:pPr>
              <w:jc w:val="center"/>
            </w:pPr>
            <w:r>
              <w:rPr>
                <w:rFonts w:ascii="Times New Roman" w:hAnsi="Times New Roman"/>
                <w:color w:val="000000"/>
                <w:sz w:val="16"/>
              </w:rPr>
              <w:t>Kc, ET0, ETc, Pe y necesidad neta por cultivo, estación y periodo</w:t>
            </w:r>
          </w:p>
        </w:tc>
        <w:tc>
          <w:tcPr>
            <w:tcW w:type="dxa" w:w="2256"/>
            <w:vAlign w:val="center"/>
            <w:tcMar>
              <w:top w:w="90" w:type="dxa"/>
              <w:start w:w="100" w:type="dxa"/>
              <w:bottom w:w="90" w:type="dxa"/>
              <w:end w:w="100" w:type="dxa"/>
            </w:tcMar>
            <w:shd w:fill="EAF2F8"/>
          </w:tcPr>
          <w:p>
            <w:pPr>
              <w:jc w:val="center"/>
            </w:pPr>
            <w:r>
              <w:rPr>
                <w:rFonts w:ascii="Times New Roman" w:hAnsi="Times New Roman"/>
                <w:color w:val="000000"/>
                <w:sz w:val="16"/>
              </w:rPr>
              <w:t>Referencia agronómica y variable objetivo del piloto.</w:t>
            </w:r>
          </w:p>
        </w:tc>
      </w:tr>
      <w:tr>
        <w:trPr>
          <w:cantSplit/>
        </w:trPr>
        <w:tc>
          <w:tcPr>
            <w:tcW w:type="dxa" w:w="2256"/>
            <w:vAlign w:val="center"/>
            <w:tcMar>
              <w:top w:w="90" w:type="dxa"/>
              <w:start w:w="100" w:type="dxa"/>
              <w:bottom w:w="90" w:type="dxa"/>
              <w:end w:w="100" w:type="dxa"/>
            </w:tcMar>
          </w:tcPr>
          <w:p>
            <w:pPr>
              <w:jc w:val="left"/>
            </w:pPr>
            <w:r>
              <w:rPr>
                <w:rFonts w:ascii="Times New Roman" w:hAnsi="Times New Roman"/>
                <w:color w:val="000000"/>
                <w:sz w:val="16"/>
              </w:rPr>
              <w:t>Agencia Estatal de Meteorología</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 xml:space="preserve">AEMET OpenData, https://opendata.aemet.es/opendata/api</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Predicción municipal diaria y horaria</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Anticipación meteorológica para recomendaciones futuras.</w:t>
            </w:r>
          </w:p>
        </w:tc>
      </w:tr>
    </w:tbl>
    <w:p>
      <w:pPr>
        <w:spacing w:after="40"/>
      </w:pPr>
    </w:p>
    <w:p>
      <w:pPr>
        <w:spacing w:after="120"/>
      </w:pPr>
      <w:r>
        <w:t>Las respuestas de la Web API SiAR y AEMET se conservan con su fecha de ingestión, parámetros y archivo de procedencia. El CSV agronómico se acompaña de un fichero de metadatos que identifica organismo, URL, estación, comarca, cultivo, periodo y fecha de descarga.</w:t>
      </w:r>
    </w:p>
    <w:p>
      <w:pPr>
        <w:pStyle w:val="Heading4"/>
        <w:keepNext/>
      </w:pPr>
      <w:r>
        <w:rPr>
          <w:rFonts w:ascii="Times New Roman" w:hAnsi="Times New Roman"/>
          <w:color w:val="000000"/>
          <w:sz w:val="24"/>
        </w:rPr>
        <w:t>SiAR</w:t>
      </w:r>
    </w:p>
    <w:p>
      <w:pPr>
        <w:spacing w:after="120"/>
      </w:pPr>
      <w:r>
        <w:t>La API del Sistema de Información Agroclimática para el Regadío constituye la fuente histórica principal. Se han incorporado:</w:t>
      </w:r>
    </w:p>
    <w:p>
      <w:pPr>
        <w:spacing w:after="60"/>
        <w:ind w:left="360" w:hanging="259"/>
      </w:pPr>
      <w:r>
        <w:t>• catálogo de estaciones y sus coordenadas, altitud y vigencia;</w:t>
      </w:r>
    </w:p>
    <w:p>
      <w:pPr>
        <w:spacing w:after="60"/>
        <w:ind w:left="360" w:hanging="259"/>
      </w:pPr>
      <w:r>
        <w:t>• catálogo de códigos de validación;</w:t>
      </w:r>
    </w:p>
    <w:p>
      <w:pPr>
        <w:spacing w:after="60"/>
        <w:ind w:left="360" w:hanging="259"/>
      </w:pPr>
      <w:r>
        <w:t>• datos diarios por estación;</w:t>
      </w:r>
    </w:p>
    <w:p>
      <w:pPr>
        <w:spacing w:after="60"/>
        <w:ind w:left="360" w:hanging="259"/>
      </w:pPr>
      <w:r>
        <w:t>• temperatura, humedad, viento, radiación y precipitación;</w:t>
      </w:r>
    </w:p>
    <w:p>
      <w:pPr>
        <w:spacing w:after="60"/>
        <w:ind w:left="360" w:hanging="259"/>
      </w:pPr>
      <w:r>
        <w:t>• evapotranspiración de referencia Penman-Monteith (</w:t>
      </w:r>
      <w:r>
        <w:rPr>
          <w:rFonts w:ascii="Consolas" w:hAnsi="Consolas"/>
          <w:sz w:val="19"/>
        </w:rPr>
        <w:t>EtPMon</w:t>
      </w:r>
      <w:r>
        <w:t>);</w:t>
      </w:r>
    </w:p>
    <w:p>
      <w:pPr>
        <w:spacing w:after="60"/>
        <w:ind w:left="360" w:hanging="259"/>
      </w:pPr>
      <w:r>
        <w:t>• precipitación efectiva calculada (</w:t>
      </w:r>
      <w:r>
        <w:rPr>
          <w:rFonts w:ascii="Consolas" w:hAnsi="Consolas"/>
          <w:sz w:val="19"/>
        </w:rPr>
        <w:t>PePMon</w:t>
      </w:r>
      <w:r>
        <w:t>).</w:t>
      </w:r>
    </w:p>
    <w:p>
      <w:pPr>
        <w:spacing w:after="120"/>
      </w:pPr>
      <w:r>
        <w:t xml:space="preserve">La consulta diaria se realiza con </w:t>
      </w:r>
      <w:r>
        <w:rPr>
          <w:rFonts w:ascii="Consolas" w:hAnsi="Consolas"/>
          <w:sz w:val="19"/>
        </w:rPr>
        <w:t>DatosCalculados=true</w:t>
      </w:r>
      <w:r>
        <w:t xml:space="preserve"> para obtener ET0 y precipitación efectiva junto con las variables meteorológicas observadas. Estos datos representan el entorno de la estación y no una medición directa de la parcela concreta.</w:t>
      </w:r>
    </w:p>
    <w:p>
      <w:pPr>
        <w:pStyle w:val="Heading4"/>
        <w:keepNext/>
      </w:pPr>
      <w:r>
        <w:rPr>
          <w:rFonts w:ascii="Times New Roman" w:hAnsi="Times New Roman"/>
          <w:color w:val="000000"/>
          <w:sz w:val="24"/>
        </w:rPr>
        <w:t>AEMET OpenData</w:t>
      </w:r>
    </w:p>
    <w:p>
      <w:pPr>
        <w:spacing w:after="120"/>
      </w:pPr>
      <w:r>
        <w:t>AEMET se utiliza como fuente predictiva. Se han incorporado:</w:t>
      </w:r>
    </w:p>
    <w:p>
      <w:pPr>
        <w:spacing w:after="60"/>
        <w:ind w:left="360" w:hanging="259"/>
      </w:pPr>
      <w:r>
        <w:t>• catálogo nacional de municipios;</w:t>
      </w:r>
    </w:p>
    <w:p>
      <w:pPr>
        <w:spacing w:after="60"/>
        <w:ind w:left="360" w:hanging="259"/>
      </w:pPr>
      <w:r>
        <w:t>• inventario de estaciones climatológicas;</w:t>
      </w:r>
    </w:p>
    <w:p>
      <w:pPr>
        <w:spacing w:after="60"/>
        <w:ind w:left="360" w:hanging="259"/>
      </w:pPr>
      <w:r>
        <w:t>• predicción municipal diaria para siete días;</w:t>
      </w:r>
    </w:p>
    <w:p>
      <w:pPr>
        <w:spacing w:after="60"/>
        <w:ind w:left="360" w:hanging="259"/>
      </w:pPr>
      <w:r>
        <w:t>• predicción municipal horaria para aproximadamente 48 horas;</w:t>
      </w:r>
    </w:p>
    <w:p>
      <w:pPr>
        <w:spacing w:after="60"/>
        <w:ind w:left="360" w:hanging="259"/>
      </w:pPr>
      <w:r>
        <w:t>• fecha de elaboración, fecha válida y horizonte de cada predicción;</w:t>
      </w:r>
    </w:p>
    <w:p>
      <w:pPr>
        <w:spacing w:after="60"/>
        <w:ind w:left="360" w:hanging="259"/>
      </w:pPr>
      <w:r>
        <w:t>• temperatura, humedad, precipitación, probabilidad de precipitación, viento, rachas y estado del cielo.</w:t>
      </w:r>
    </w:p>
    <w:p>
      <w:pPr>
        <w:spacing w:after="120"/>
      </w:pPr>
      <w:r>
        <w:t>La API de AEMET funciona mediante una descarga en dos pasos. La primera respuesta proporciona una URL temporal oficial y la segunda contiene el JSON meteorológico. El cliente valida el dominio antes de seguir la URL y no transmite la clave en la segunda petición.</w:t>
      </w:r>
    </w:p>
    <w:p>
      <w:pPr>
        <w:pStyle w:val="Heading4"/>
        <w:keepNext/>
      </w:pPr>
      <w:r>
        <w:rPr>
          <w:rFonts w:ascii="Times New Roman" w:hAnsi="Times New Roman"/>
          <w:color w:val="000000"/>
          <w:sz w:val="24"/>
        </w:rPr>
        <w:t>Necesidades hídricas de SiAR</w:t>
      </w:r>
    </w:p>
    <w:p>
      <w:pPr>
        <w:spacing w:after="120"/>
      </w:pPr>
      <w:r>
        <w:t xml:space="preserve">La web de SiAR permite descargar CSV con </w:t>
      </w:r>
      <w:r>
        <w:rPr>
          <w:rFonts w:ascii="Consolas" w:hAnsi="Consolas"/>
          <w:sz w:val="19"/>
        </w:rPr>
        <w:t>Kc</w:t>
      </w:r>
      <w:r>
        <w:t xml:space="preserve">, ET0, ETc, precipitación efectiva y necesidad neta por cultivo y zona. Este producto no dispone de un endpoint público estable en la API documentada. Se ha incorporado el ciclo del pimiento para </w:t>
      </w:r>
      <w:r>
        <w:rPr>
          <w:rFonts w:ascii="Consolas" w:hAnsi="Consolas"/>
          <w:sz w:val="19"/>
        </w:rPr>
        <w:t>AL01</w:t>
      </w:r>
      <w:r>
        <w:t>, con 150 registros entre mayo y septiembre de 2025. El fichero se acompaña de metadatos con la consulta, procedencia, estación, comarca, cultivo y fecha de descarga. Su resultado se utiliza como baseline agronómico y referencia de validación, no como una medición del riego óptimo real.</w:t>
      </w:r>
    </w:p>
    <w:p>
      <w:pPr>
        <w:pStyle w:val="Heading3"/>
        <w:keepNext/>
      </w:pPr>
      <w:r>
        <w:rPr>
          <w:rFonts w:ascii="Times New Roman" w:hAnsi="Times New Roman"/>
          <w:color w:val="000000"/>
          <w:sz w:val="24"/>
        </w:rPr>
        <w:t>4.1.2. Configuración dinámica y alcance del piloto</w:t>
      </w:r>
    </w:p>
    <w:p>
      <w:pPr>
        <w:spacing w:after="120"/>
      </w:pPr>
      <w:r>
        <w:t>El flujo se ha planteado como una ETL parametrizable. En el producto final, el usuario seleccionará la ubicación de la explotación, el cultivo, el periodo y el horizonte de recomendación. Estos valores determinan las consultas y tablas que se generan:</w:t>
      </w:r>
    </w:p>
    <w:p>
      <w:pPr>
        <w:keepNext/>
        <w:spacing w:after="120"/>
      </w:pPr>
      <w:r>
        <w:rPr>
          <w:b/>
        </w:rPr>
        <w:t>Tabla 4.2. Parámetros de configuración del caso y datos que dependen de ellos.</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9"/>
        <w:gridCol w:w="3009"/>
        <w:gridCol w:w="3009"/>
      </w:tblGrid>
      <w:tr>
        <w:trPr>
          <w:tblHeader w:val="true"/>
          <w:cantSplit/>
        </w:trPr>
        <w:tc>
          <w:tcPr>
            <w:tcW w:type="dxa" w:w="3009"/>
            <w:vAlign w:val="center"/>
            <w:tcMar>
              <w:top w:w="90" w:type="dxa"/>
              <w:start w:w="100" w:type="dxa"/>
              <w:bottom w:w="90" w:type="dxa"/>
              <w:end w:w="100" w:type="dxa"/>
            </w:tcMar>
            <w:shd w:fill="1F4E78"/>
          </w:tcPr>
          <w:p>
            <w:pPr>
              <w:jc w:val="left"/>
            </w:pPr>
            <w:r>
              <w:rPr>
                <w:rFonts w:ascii="Times New Roman" w:hAnsi="Times New Roman"/>
                <w:b/>
                <w:color w:val="FFFFFF"/>
                <w:sz w:val="16"/>
              </w:rPr>
              <w:t>Selección</w:t>
            </w:r>
          </w:p>
        </w:tc>
        <w:tc>
          <w:tcPr>
            <w:tcW w:type="dxa" w:w="3009"/>
            <w:vAlign w:val="center"/>
            <w:tcMar>
              <w:top w:w="90" w:type="dxa"/>
              <w:start w:w="100" w:type="dxa"/>
              <w:bottom w:w="90" w:type="dxa"/>
              <w:end w:w="100" w:type="dxa"/>
            </w:tcMar>
            <w:shd w:fill="1F4E78"/>
          </w:tcPr>
          <w:p>
            <w:pPr>
              <w:jc w:val="center"/>
            </w:pPr>
            <w:r>
              <w:rPr>
                <w:rFonts w:ascii="Times New Roman" w:hAnsi="Times New Roman"/>
                <w:b/>
                <w:color w:val="FFFFFF"/>
                <w:sz w:val="16"/>
              </w:rPr>
              <w:t>Parámetros derivados</w:t>
            </w:r>
          </w:p>
        </w:tc>
        <w:tc>
          <w:tcPr>
            <w:tcW w:type="dxa" w:w="3009"/>
            <w:vAlign w:val="center"/>
            <w:tcMar>
              <w:top w:w="90" w:type="dxa"/>
              <w:start w:w="100" w:type="dxa"/>
              <w:bottom w:w="90" w:type="dxa"/>
              <w:end w:w="100" w:type="dxa"/>
            </w:tcMar>
            <w:shd w:fill="1F4E78"/>
          </w:tcPr>
          <w:p>
            <w:pPr>
              <w:jc w:val="center"/>
            </w:pPr>
            <w:r>
              <w:rPr>
                <w:rFonts w:ascii="Times New Roman" w:hAnsi="Times New Roman"/>
                <w:b/>
                <w:color w:val="FFFFFF"/>
                <w:sz w:val="16"/>
              </w:rPr>
              <w:t>Datos que cambian</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Ubicación</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estación SiAR y municipio AEMET</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Observaciones agroclimáticas y predicciones locales.</w:t>
            </w:r>
          </w:p>
        </w:tc>
      </w:tr>
      <w:tr>
        <w:trPr>
          <w:cantSplit/>
        </w:trPr>
        <w:tc>
          <w:tcPr>
            <w:tcW w:type="dxa" w:w="3009"/>
            <w:vAlign w:val="center"/>
            <w:tcMar>
              <w:top w:w="90" w:type="dxa"/>
              <w:start w:w="100" w:type="dxa"/>
              <w:bottom w:w="90" w:type="dxa"/>
              <w:end w:w="100" w:type="dxa"/>
            </w:tcMar>
            <w:shd w:fill="EAF2F8"/>
          </w:tcPr>
          <w:p>
            <w:pPr>
              <w:jc w:val="left"/>
            </w:pPr>
            <w:r>
              <w:rPr>
                <w:rFonts w:ascii="Times New Roman" w:hAnsi="Times New Roman"/>
                <w:color w:val="000000"/>
                <w:sz w:val="16"/>
              </w:rPr>
              <w:t>Cultivo</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comarca, calendario y curva Kc</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ETc y necesidad hídrica de referencia.</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Periodo</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fecha inicial y final</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Volumen y campaña histórica descargada.</w:t>
            </w:r>
          </w:p>
        </w:tc>
      </w:tr>
      <w:tr>
        <w:trPr>
          <w:cantSplit/>
        </w:trPr>
        <w:tc>
          <w:tcPr>
            <w:tcW w:type="dxa" w:w="3009"/>
            <w:vAlign w:val="center"/>
            <w:tcMar>
              <w:top w:w="90" w:type="dxa"/>
              <w:start w:w="100" w:type="dxa"/>
              <w:bottom w:w="90" w:type="dxa"/>
              <w:end w:w="100" w:type="dxa"/>
            </w:tcMar>
            <w:shd w:fill="EAF2F8"/>
          </w:tcPr>
          <w:p>
            <w:pPr>
              <w:jc w:val="left"/>
            </w:pPr>
            <w:r>
              <w:rPr>
                <w:rFonts w:ascii="Times New Roman" w:hAnsi="Times New Roman"/>
                <w:color w:val="000000"/>
                <w:sz w:val="16"/>
              </w:rPr>
              <w:t>Horizonte</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diario o detalle horario</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Producto AEMET y granularidad de la recomendación.</w:t>
            </w:r>
          </w:p>
        </w:tc>
      </w:tr>
    </w:tbl>
    <w:p>
      <w:pPr>
        <w:spacing w:after="40"/>
      </w:pPr>
    </w:p>
    <w:p>
      <w:pPr>
        <w:spacing w:after="120"/>
      </w:pPr>
      <w:r>
        <w:t xml:space="preserve">La extracción Python ya admite estación, municipio y fechas mediante parámetros de línea de comandos. La transformación identifica el cultivo, la estación y el periodo a partir del CSV agronómico y sus metadatos. En la configuración actual se fijan </w:t>
      </w:r>
      <w:r>
        <w:rPr>
          <w:rFonts w:ascii="Consolas" w:hAnsi="Consolas"/>
          <w:sz w:val="19"/>
        </w:rPr>
        <w:t>Pimiento</w:t>
      </w:r>
      <w:r>
        <w:t xml:space="preserve">, </w:t>
      </w:r>
      <w:r>
        <w:rPr>
          <w:rFonts w:ascii="Consolas" w:hAnsi="Consolas"/>
          <w:sz w:val="19"/>
        </w:rPr>
        <w:t>Almería</w:t>
      </w:r>
      <w:r>
        <w:t xml:space="preserve">, </w:t>
      </w:r>
      <w:r>
        <w:rPr>
          <w:rFonts w:ascii="Consolas" w:hAnsi="Consolas"/>
          <w:sz w:val="19"/>
        </w:rPr>
        <w:t>AL01</w:t>
      </w:r>
      <w:r>
        <w:t xml:space="preserve">, </w:t>
      </w:r>
      <w:r>
        <w:rPr>
          <w:rFonts w:ascii="Consolas" w:hAnsi="Consolas"/>
          <w:sz w:val="19"/>
        </w:rPr>
        <w:t>04013</w:t>
      </w:r>
      <w:r>
        <w:t xml:space="preserve"> y el ciclo de mayo a septiembre de 2025 para disponer de un caso reproducible. La selección automática de todas las combinaciones cultivo-zona y su validación agronómica constituye una fase de ampliación; no se considera ya implementada para todo el territorio nacional.</w:t>
      </w:r>
    </w:p>
    <w:p>
      <w:pPr>
        <w:spacing w:after="120"/>
      </w:pPr>
      <w:r>
        <w:t>El flujo lógico es:</w:t>
      </w:r>
    </w:p>
    <w:p>
      <w:pPr>
        <w:spacing w:before="80" w:after="140"/>
        <w:ind w:left="360" w:right="216"/>
        <w:jc w:val="left"/>
        <w:shd w:fill="F2F2F2"/>
      </w:pPr>
      <w:r>
        <w:rPr>
          <w:rFonts w:ascii="Consolas" w:hAnsi="Consolas"/>
          <w:sz w:val="17"/>
        </w:rPr>
        <w:t>selección del usuario</w:t>
        <w:br/>
        <w:t xml:space="preserve">    -&gt; cultivo, ubicación, estación, municipio y fechas</w:t>
        <w:br/>
        <w:t xml:space="preserve">    -&gt; extracción de las fuentes correspondientes</w:t>
        <w:br/>
        <w:t xml:space="preserve">    -&gt; normalización y controles de calidad</w:t>
        <w:br/>
        <w:t xml:space="preserve">    -&gt; tabla analítica</w:t>
        <w:br/>
        <w:t xml:space="preserve">    -&gt; predicción y recomendación</w:t>
      </w:r>
    </w:p>
    <w:p>
      <w:pPr>
        <w:pStyle w:val="Heading3"/>
        <w:keepNext/>
      </w:pPr>
      <w:r>
        <w:rPr>
          <w:rFonts w:ascii="Times New Roman" w:hAnsi="Times New Roman"/>
          <w:color w:val="000000"/>
          <w:sz w:val="24"/>
        </w:rPr>
        <w:t>4.1.3. Extracción</w:t>
      </w:r>
    </w:p>
    <w:p>
      <w:pPr>
        <w:spacing w:after="120"/>
      </w:pPr>
      <w:r>
        <w:t>La extracción se implementa en Python mediante clientes independientes para SiAR y AEMET. Las credenciales se leen desde variables de entorno y nunca se escriben en los datos, los mensajes de error o el repositorio.</w:t>
      </w:r>
    </w:p>
    <w:p>
      <w:pPr>
        <w:spacing w:after="120"/>
      </w:pPr>
      <w:r>
        <w:t>Cada archivo extraído contiene un sobre de trazabilidad con:</w:t>
      </w:r>
    </w:p>
    <w:p>
      <w:pPr>
        <w:spacing w:after="60"/>
        <w:ind w:left="360" w:hanging="259"/>
      </w:pPr>
      <w:r>
        <w:t>• versión del esquema;</w:t>
      </w:r>
    </w:p>
    <w:p>
      <w:pPr>
        <w:spacing w:after="60"/>
        <w:ind w:left="360" w:hanging="259"/>
      </w:pPr>
      <w:r>
        <w:t>• fuente y conjunto de datos;</w:t>
      </w:r>
    </w:p>
    <w:p>
      <w:pPr>
        <w:spacing w:after="60"/>
        <w:ind w:left="360" w:hanging="259"/>
      </w:pPr>
      <w:r>
        <w:t>• fecha y hora de ingestión;</w:t>
      </w:r>
    </w:p>
    <w:p>
      <w:pPr>
        <w:spacing w:after="60"/>
        <w:ind w:left="360" w:hanging="259"/>
      </w:pPr>
      <w:r>
        <w:t>• parámetros de consulta sin credenciales;</w:t>
      </w:r>
    </w:p>
    <w:p>
      <w:pPr>
        <w:spacing w:after="60"/>
        <w:ind w:left="360" w:hanging="259"/>
      </w:pPr>
      <w:r>
        <w:t>• número de registros;</w:t>
      </w:r>
    </w:p>
    <w:p>
      <w:pPr>
        <w:spacing w:after="60"/>
        <w:ind w:left="360" w:hanging="259"/>
      </w:pPr>
      <w:r>
        <w:t>• respuesta de datos recibida.</w:t>
      </w:r>
    </w:p>
    <w:p>
      <w:pPr>
        <w:spacing w:after="120"/>
      </w:pPr>
      <w:r>
        <w:t>La escritura es atómica: primero se genera un archivo temporal y solo se sustituye el destino cuando el JSON está completo. Esto evita archivos parcialmente escritos si se interrumpe el proceso.</w:t>
      </w:r>
    </w:p>
    <w:p>
      <w:pPr>
        <w:spacing w:after="120"/>
      </w:pPr>
      <w:r>
        <w:t>La primera ejecución produjo:</w:t>
      </w:r>
    </w:p>
    <w:p>
      <w:pPr>
        <w:keepNext/>
        <w:spacing w:after="120"/>
      </w:pPr>
      <w:r>
        <w:rPr>
          <w:b/>
        </w:rPr>
        <w:t>Tabla 4.3. Registros obtenidos en la primera extracción.</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9"/>
        <w:gridCol w:w="3009"/>
        <w:gridCol w:w="3009"/>
      </w:tblGrid>
      <w:tr>
        <w:trPr>
          <w:tblHeader w:val="true"/>
          <w:cantSplit/>
        </w:trPr>
        <w:tc>
          <w:tcPr>
            <w:tcW w:type="dxa" w:w="3009"/>
            <w:vAlign w:val="center"/>
            <w:tcMar>
              <w:top w:w="90" w:type="dxa"/>
              <w:start w:w="100" w:type="dxa"/>
              <w:bottom w:w="90" w:type="dxa"/>
              <w:end w:w="100" w:type="dxa"/>
            </w:tcMar>
            <w:shd w:fill="1F4E78"/>
          </w:tcPr>
          <w:p>
            <w:pPr>
              <w:jc w:val="left"/>
            </w:pPr>
            <w:r>
              <w:rPr>
                <w:rFonts w:ascii="Times New Roman" w:hAnsi="Times New Roman"/>
                <w:b/>
                <w:color w:val="FFFFFF"/>
                <w:sz w:val="16"/>
              </w:rPr>
              <w:t>Fuente</w:t>
            </w:r>
          </w:p>
        </w:tc>
        <w:tc>
          <w:tcPr>
            <w:tcW w:type="dxa" w:w="3009"/>
            <w:vAlign w:val="center"/>
            <w:tcMar>
              <w:top w:w="90" w:type="dxa"/>
              <w:start w:w="100" w:type="dxa"/>
              <w:bottom w:w="90" w:type="dxa"/>
              <w:end w:w="100" w:type="dxa"/>
            </w:tcMar>
            <w:shd w:fill="1F4E78"/>
          </w:tcPr>
          <w:p>
            <w:pPr>
              <w:jc w:val="center"/>
            </w:pPr>
            <w:r>
              <w:rPr>
                <w:rFonts w:ascii="Times New Roman" w:hAnsi="Times New Roman"/>
                <w:b/>
                <w:color w:val="FFFFFF"/>
                <w:sz w:val="16"/>
              </w:rPr>
              <w:t>Conjunto</w:t>
            </w:r>
          </w:p>
        </w:tc>
        <w:tc>
          <w:tcPr>
            <w:tcW w:type="dxa" w:w="3009"/>
            <w:vAlign w:val="center"/>
            <w:tcMar>
              <w:top w:w="90" w:type="dxa"/>
              <w:start w:w="100" w:type="dxa"/>
              <w:bottom w:w="90" w:type="dxa"/>
              <w:end w:w="100" w:type="dxa"/>
            </w:tcMar>
            <w:shd w:fill="1F4E78"/>
          </w:tcPr>
          <w:p>
            <w:pPr>
              <w:jc w:val="center"/>
            </w:pPr>
            <w:r>
              <w:rPr>
                <w:rFonts w:ascii="Times New Roman" w:hAnsi="Times New Roman"/>
                <w:b/>
                <w:color w:val="FFFFFF"/>
                <w:sz w:val="16"/>
              </w:rPr>
              <w:t>Registros</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SiAR</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Estaciones</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635</w:t>
            </w:r>
          </w:p>
        </w:tc>
      </w:tr>
      <w:tr>
        <w:trPr>
          <w:cantSplit/>
        </w:trPr>
        <w:tc>
          <w:tcPr>
            <w:tcW w:type="dxa" w:w="3009"/>
            <w:vAlign w:val="center"/>
            <w:tcMar>
              <w:top w:w="90" w:type="dxa"/>
              <w:start w:w="100" w:type="dxa"/>
              <w:bottom w:w="90" w:type="dxa"/>
              <w:end w:w="100" w:type="dxa"/>
            </w:tcMar>
            <w:shd w:fill="EAF2F8"/>
          </w:tcPr>
          <w:p>
            <w:pPr>
              <w:jc w:val="left"/>
            </w:pPr>
            <w:r>
              <w:rPr>
                <w:rFonts w:ascii="Times New Roman" w:hAnsi="Times New Roman"/>
                <w:color w:val="000000"/>
                <w:sz w:val="16"/>
              </w:rPr>
              <w:t>SiAR</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Códigos de validación</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53</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SiAR</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 xml:space="preserve">Histórico diario de AL01, ciclo 2025</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150</w:t>
            </w:r>
          </w:p>
        </w:tc>
      </w:tr>
      <w:tr>
        <w:trPr>
          <w:cantSplit/>
        </w:trPr>
        <w:tc>
          <w:tcPr>
            <w:tcW w:type="dxa" w:w="3009"/>
            <w:vAlign w:val="center"/>
            <w:tcMar>
              <w:top w:w="90" w:type="dxa"/>
              <w:start w:w="100" w:type="dxa"/>
              <w:bottom w:w="90" w:type="dxa"/>
              <w:end w:w="100" w:type="dxa"/>
            </w:tcMar>
            <w:shd w:fill="EAF2F8"/>
          </w:tcPr>
          <w:p>
            <w:pPr>
              <w:jc w:val="left"/>
            </w:pPr>
            <w:r>
              <w:rPr>
                <w:rFonts w:ascii="Times New Roman" w:hAnsi="Times New Roman"/>
                <w:color w:val="000000"/>
                <w:sz w:val="16"/>
              </w:rPr>
              <w:t>SiAR web</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 xml:space="preserve">Necesidades hídricas de pimiento en AL01</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150</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AEMET</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Municipios</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8.122</w:t>
            </w:r>
          </w:p>
        </w:tc>
      </w:tr>
      <w:tr>
        <w:trPr>
          <w:cantSplit/>
        </w:trPr>
        <w:tc>
          <w:tcPr>
            <w:tcW w:type="dxa" w:w="3009"/>
            <w:vAlign w:val="center"/>
            <w:tcMar>
              <w:top w:w="90" w:type="dxa"/>
              <w:start w:w="100" w:type="dxa"/>
              <w:bottom w:w="90" w:type="dxa"/>
              <w:end w:w="100" w:type="dxa"/>
            </w:tcMar>
            <w:shd w:fill="EAF2F8"/>
          </w:tcPr>
          <w:p>
            <w:pPr>
              <w:jc w:val="left"/>
            </w:pPr>
            <w:r>
              <w:rPr>
                <w:rFonts w:ascii="Times New Roman" w:hAnsi="Times New Roman"/>
                <w:color w:val="000000"/>
                <w:sz w:val="16"/>
              </w:rPr>
              <w:t>AEMET</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Estaciones</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926</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AEMET</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Predicción diaria</w:t>
            </w:r>
          </w:p>
        </w:tc>
        <w:tc>
          <w:tcPr>
            <w:tcW w:type="dxa" w:w="3009"/>
            <w:vAlign w:val="center"/>
            <w:tcMar>
              <w:top w:w="90" w:type="dxa"/>
              <w:start w:w="100" w:type="dxa"/>
              <w:bottom w:w="90" w:type="dxa"/>
              <w:end w:w="100" w:type="dxa"/>
            </w:tcMar>
          </w:tcPr>
          <w:p>
            <w:pPr>
              <w:jc w:val="center"/>
            </w:pPr>
            <w:r>
              <w:rPr>
                <w:rFonts w:ascii="Times New Roman" w:hAnsi="Times New Roman"/>
                <w:color w:val="000000"/>
                <w:sz w:val="16"/>
              </w:rPr>
              <w:t>7 días</w:t>
            </w:r>
          </w:p>
        </w:tc>
      </w:tr>
      <w:tr>
        <w:trPr>
          <w:cantSplit/>
        </w:trPr>
        <w:tc>
          <w:tcPr>
            <w:tcW w:type="dxa" w:w="3009"/>
            <w:vAlign w:val="center"/>
            <w:tcMar>
              <w:top w:w="90" w:type="dxa"/>
              <w:start w:w="100" w:type="dxa"/>
              <w:bottom w:w="90" w:type="dxa"/>
              <w:end w:w="100" w:type="dxa"/>
            </w:tcMar>
            <w:shd w:fill="EAF2F8"/>
          </w:tcPr>
          <w:p>
            <w:pPr>
              <w:jc w:val="left"/>
            </w:pPr>
            <w:r>
              <w:rPr>
                <w:rFonts w:ascii="Times New Roman" w:hAnsi="Times New Roman"/>
                <w:color w:val="000000"/>
                <w:sz w:val="16"/>
              </w:rPr>
              <w:t>AEMET</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Predicción horaria</w:t>
            </w:r>
          </w:p>
        </w:tc>
        <w:tc>
          <w:tcPr>
            <w:tcW w:type="dxa" w:w="3009"/>
            <w:vAlign w:val="center"/>
            <w:tcMar>
              <w:top w:w="90" w:type="dxa"/>
              <w:start w:w="100" w:type="dxa"/>
              <w:bottom w:w="90" w:type="dxa"/>
              <w:end w:w="100" w:type="dxa"/>
            </w:tcMar>
            <w:shd w:fill="EAF2F8"/>
          </w:tcPr>
          <w:p>
            <w:pPr>
              <w:jc w:val="center"/>
            </w:pPr>
            <w:r>
              <w:rPr>
                <w:rFonts w:ascii="Times New Roman" w:hAnsi="Times New Roman"/>
                <w:color w:val="000000"/>
                <w:sz w:val="16"/>
              </w:rPr>
              <w:t>48 horas</w:t>
            </w:r>
          </w:p>
        </w:tc>
      </w:tr>
    </w:tbl>
    <w:p>
      <w:pPr>
        <w:spacing w:after="40"/>
      </w:pPr>
    </w:p>
    <w:p>
      <w:pPr>
        <w:spacing w:after="120"/>
      </w:pPr>
      <w:r>
        <w:t>Durante la ejecución se comprobó que el token de SiAR permite un máximo de 100 registros por minuto. Una consulta directa del ciclo completo fue rechazada por superar la cuota. El histórico se divide por ello en bloques máximos de 90 días, con una pausa de 60 segundos entre peticiones. Después se ordenan y deduplican los registros y se escribe un único archivo raw. Los catálogos se descargan de forma independiente y con una frecuencia inferior a las series meteorológicas.</w:t>
      </w:r>
    </w:p>
    <w:p>
      <w:pPr>
        <w:pStyle w:val="Heading3"/>
        <w:keepNext/>
      </w:pPr>
      <w:r>
        <w:rPr>
          <w:rFonts w:ascii="Times New Roman" w:hAnsi="Times New Roman"/>
          <w:color w:val="000000"/>
          <w:sz w:val="24"/>
        </w:rPr>
        <w:t>4.1.4. Capa raw</w:t>
      </w:r>
    </w:p>
    <w:p>
      <w:pPr>
        <w:spacing w:after="120"/>
      </w:pPr>
      <w:r>
        <w:t xml:space="preserve">La capa </w:t>
      </w:r>
      <w:r>
        <w:rPr>
          <w:rFonts w:ascii="Consolas" w:hAnsi="Consolas"/>
          <w:sz w:val="19"/>
        </w:rPr>
        <w:t>data/raw</w:t>
      </w:r>
      <w:r>
        <w:t xml:space="preserve"> conserva los JSON sin modificar su estructura interna:</w:t>
      </w:r>
    </w:p>
    <w:p>
      <w:pPr>
        <w:spacing w:before="80" w:after="140"/>
        <w:ind w:left="360" w:right="216"/>
        <w:jc w:val="left"/>
        <w:shd w:fill="F2F2F2"/>
      </w:pPr>
      <w:r>
        <w:rPr>
          <w:rFonts w:ascii="Consolas" w:hAnsi="Consolas"/>
          <w:sz w:val="17"/>
        </w:rPr>
        <w:t>data/raw/</w:t>
        <w:br/>
        <w:t>├── siar/</w:t>
        <w:br/>
        <w:t>│   ├── catalogs/date=AAAA-MM-DD/</w:t>
        <w:br/>
        <w:t>│   └── weather/daily/station=AL01/year=AAAA/month=MM/</w:t>
        <w:br/>
        <w:t>└── aemet/</w:t>
        <w:br/>
        <w:t xml:space="preserve">    ├── catalogs/date=AAAA-MM-DD/</w:t>
        <w:br/>
        <w:t xml:space="preserve">    └── forecast/</w:t>
        <w:br/>
        <w:t xml:space="preserve">        ├── daily/municipality=04013/ingestion_date=AAAA-MM-DD/</w:t>
        <w:br/>
        <w:t xml:space="preserve">        └── hourly/municipality=04013/ingestion_date=AAAA-MM-DD/</w:t>
        <w:br/>
        <w:t>data/external/</w:t>
        <w:br/>
        <w:t>└── siar_necesidades_pimiento_AL01_2025.csv</w:t>
      </w:r>
    </w:p>
    <w:p>
      <w:pPr>
        <w:spacing w:after="120"/>
      </w:pPr>
      <w:r>
        <w:t>La partición por fuente, producto, estación o municipio y fecha permite realizar cargas incrementales sin sobrescribir ejecuciones anteriores. Los archivos raw no se almacenan en Git debido a su volumen. El repositorio conserva el código, las pruebas, los esquemas y la documentación necesarios para reproducirlos.</w:t>
      </w:r>
    </w:p>
    <w:p>
      <w:pPr>
        <w:pStyle w:val="Heading3"/>
        <w:keepNext/>
      </w:pPr>
      <w:r>
        <w:rPr>
          <w:rFonts w:ascii="Times New Roman" w:hAnsi="Times New Roman"/>
          <w:color w:val="000000"/>
          <w:sz w:val="24"/>
        </w:rPr>
        <w:t>4.1.5. Transformación y normalización</w:t>
      </w:r>
    </w:p>
    <w:p>
      <w:pPr>
        <w:spacing w:after="120"/>
      </w:pPr>
      <w:r>
        <w:t>El segundo proceso selecciona la extracción más reciente de cada producto y genera tablas planas. Las reglas implementadas son:</w:t>
      </w:r>
    </w:p>
    <w:p>
      <w:pPr>
        <w:spacing w:after="60"/>
        <w:ind w:left="360" w:hanging="259"/>
      </w:pPr>
      <w:r>
        <w:t xml:space="preserve">1. Normalizar nombres en inglés técnico y formato </w:t>
      </w:r>
      <w:r>
        <w:rPr>
          <w:rFonts w:ascii="Consolas" w:hAnsi="Consolas"/>
          <w:sz w:val="19"/>
        </w:rPr>
        <w:t>snake_case</w:t>
      </w:r>
      <w:r>
        <w:t>.</w:t>
      </w:r>
    </w:p>
    <w:p>
      <w:pPr>
        <w:spacing w:after="60"/>
        <w:ind w:left="360" w:hanging="259"/>
      </w:pPr>
      <w:r>
        <w:t>2. Mantener unidades explícitas en los nombres de las columnas.</w:t>
      </w:r>
    </w:p>
    <w:p>
      <w:pPr>
        <w:spacing w:after="60"/>
        <w:ind w:left="360" w:hanging="259"/>
      </w:pPr>
      <w:r>
        <w:t>3. Convertir textos numéricos a valores numéricos sin convertir ausencias en ceros.</w:t>
      </w:r>
    </w:p>
    <w:p>
      <w:pPr>
        <w:spacing w:after="60"/>
        <w:ind w:left="360" w:hanging="259"/>
      </w:pPr>
      <w:r>
        <w:t>4. Transformar fechas a ISO 8601.</w:t>
      </w:r>
    </w:p>
    <w:p>
      <w:pPr>
        <w:spacing w:after="60"/>
        <w:ind w:left="360" w:hanging="259"/>
      </w:pPr>
      <w:r>
        <w:t>5. Normalizar los códigos municipales a cinco posiciones.</w:t>
      </w:r>
    </w:p>
    <w:p>
      <w:pPr>
        <w:spacing w:after="60"/>
        <w:ind w:left="360" w:hanging="259"/>
      </w:pPr>
      <w:r>
        <w:t xml:space="preserve">6. Conservar el código original cuando AEMET devuelve </w:t>
      </w:r>
      <w:r>
        <w:rPr>
          <w:rFonts w:ascii="Consolas" w:hAnsi="Consolas"/>
          <w:sz w:val="19"/>
        </w:rPr>
        <w:t>4013</w:t>
      </w:r>
      <w:r>
        <w:t xml:space="preserve"> en un producto y </w:t>
      </w:r>
      <w:r>
        <w:rPr>
          <w:rFonts w:ascii="Consolas" w:hAnsi="Consolas"/>
          <w:sz w:val="19"/>
        </w:rPr>
        <w:t>04013</w:t>
      </w:r>
      <w:r>
        <w:t xml:space="preserve"> en otro.</w:t>
      </w:r>
    </w:p>
    <w:p>
      <w:pPr>
        <w:spacing w:after="60"/>
        <w:ind w:left="360" w:hanging="259"/>
      </w:pPr>
      <w:r>
        <w:t>7. Aplanar las listas horarias para obtener una fila por instante válido.</w:t>
      </w:r>
    </w:p>
    <w:p>
      <w:pPr>
        <w:spacing w:after="60"/>
        <w:ind w:left="360" w:hanging="259"/>
      </w:pPr>
      <w:r>
        <w:t xml:space="preserve">8. Separar dirección, velocidad y racha del campo heterogéneo </w:t>
      </w:r>
      <w:r>
        <w:rPr>
          <w:rFonts w:ascii="Consolas" w:hAnsi="Consolas"/>
          <w:sz w:val="19"/>
        </w:rPr>
        <w:t>vientoAndRachaMax</w:t>
      </w:r>
      <w:r>
        <w:t>.</w:t>
      </w:r>
    </w:p>
    <w:p>
      <w:pPr>
        <w:spacing w:after="60"/>
        <w:ind w:left="360" w:hanging="259"/>
      </w:pPr>
      <w:r>
        <w:t>9. Asignar las probabilidades por intervalo a cada hora incluida en el periodo.</w:t>
      </w:r>
    </w:p>
    <w:p>
      <w:pPr>
        <w:spacing w:after="60"/>
        <w:ind w:left="360" w:hanging="259"/>
      </w:pPr>
      <w:r>
        <w:t xml:space="preserve">10. Calcular </w:t>
      </w:r>
      <w:r>
        <w:rPr>
          <w:rFonts w:ascii="Consolas" w:hAnsi="Consolas"/>
          <w:sz w:val="19"/>
        </w:rPr>
        <w:t>horizon_days</w:t>
      </w:r>
      <w:r>
        <w:t xml:space="preserve"> y </w:t>
      </w:r>
      <w:r>
        <w:rPr>
          <w:rFonts w:ascii="Consolas" w:hAnsi="Consolas"/>
          <w:sz w:val="19"/>
        </w:rPr>
        <w:t>horizon_hours</w:t>
      </w:r>
      <w:r>
        <w:t xml:space="preserve"> a partir de la fecha de elaboración.</w:t>
      </w:r>
    </w:p>
    <w:p>
      <w:pPr>
        <w:spacing w:after="60"/>
        <w:ind w:left="360" w:hanging="259"/>
      </w:pPr>
      <w:r>
        <w:t>11. Marcar si una hora seguía siendo futura en el momento de publicación.</w:t>
      </w:r>
    </w:p>
    <w:p>
      <w:pPr>
        <w:spacing w:after="60"/>
        <w:ind w:left="360" w:hanging="259"/>
      </w:pPr>
      <w:r>
        <w:t>12. Conservar archivo y fecha de ingestión como columnas de procedencia.</w:t>
      </w:r>
    </w:p>
    <w:p>
      <w:pPr>
        <w:spacing w:after="60"/>
        <w:ind w:left="360" w:hanging="259"/>
      </w:pPr>
      <w:r>
        <w:t xml:space="preserve">13. Convertir el CSV agronómico con separador </w:t>
      </w:r>
      <w:r>
        <w:rPr>
          <w:rFonts w:ascii="Consolas" w:hAnsi="Consolas"/>
          <w:sz w:val="19"/>
        </w:rPr>
        <w:t>;</w:t>
      </w:r>
      <w:r>
        <w:t xml:space="preserve"> y coma decimal sin perder los valores ausentes.</w:t>
      </w:r>
    </w:p>
    <w:p>
      <w:pPr>
        <w:spacing w:after="60"/>
        <w:ind w:left="360" w:hanging="259"/>
      </w:pPr>
      <w:r>
        <w:t xml:space="preserve">14. Comprobar las identidades </w:t>
      </w:r>
      <w:r>
        <w:rPr>
          <w:rFonts w:ascii="Consolas" w:hAnsi="Consolas"/>
          <w:sz w:val="19"/>
        </w:rPr>
        <w:t>ETc ≈ Kc × ET0</w:t>
      </w:r>
      <w:r>
        <w:t xml:space="preserve"> y </w:t>
      </w:r>
      <w:r>
        <w:rPr>
          <w:rFonts w:ascii="Consolas" w:hAnsi="Consolas"/>
          <w:sz w:val="19"/>
        </w:rPr>
        <w:t>necesidad neta ≈ max(ETc − Pe, 0)</w:t>
      </w:r>
      <w:r>
        <w:t xml:space="preserve"> con tolerancia de redondeo.</w:t>
      </w:r>
    </w:p>
    <w:p>
      <w:pPr>
        <w:spacing w:after="120"/>
      </w:pPr>
      <w:r>
        <w:t>No se combinan todavía las observaciones SiAR con las predicciones AEMET. Una observación describe lo que ocurrió y una predicción describe lo que se esperaba en un momento concreto. La unión para evaluación se realizará posteriormente mediante fecha válida, fecha de emisión y horizonte.</w:t>
      </w:r>
    </w:p>
    <w:p>
      <w:pPr>
        <w:pStyle w:val="Heading3"/>
        <w:keepNext/>
      </w:pPr>
      <w:r>
        <w:rPr>
          <w:rFonts w:ascii="Times New Roman" w:hAnsi="Times New Roman"/>
          <w:color w:val="000000"/>
          <w:sz w:val="24"/>
        </w:rPr>
        <w:t>4.1.6. Tablas interim</w:t>
      </w:r>
    </w:p>
    <w:p>
      <w:pPr>
        <w:spacing w:after="120"/>
      </w:pPr>
      <w:r>
        <w:t>El proceso genera cinco CSV codificados en UTF-8:</w:t>
      </w:r>
    </w:p>
    <w:p>
      <w:pPr>
        <w:keepNext/>
        <w:spacing w:after="120"/>
      </w:pPr>
      <w:r>
        <w:rPr>
          <w:b/>
        </w:rPr>
        <w:t>Tabla 4.4. Tablas generadas en la capa interim.</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56"/>
        <w:gridCol w:w="2256"/>
        <w:gridCol w:w="2256"/>
        <w:gridCol w:w="2256"/>
      </w:tblGrid>
      <w:tr>
        <w:trPr>
          <w:tblHeader w:val="true"/>
          <w:cantSplit/>
        </w:trPr>
        <w:tc>
          <w:tcPr>
            <w:tcW w:type="dxa" w:w="2256"/>
            <w:vAlign w:val="center"/>
            <w:tcMar>
              <w:top w:w="90" w:type="dxa"/>
              <w:start w:w="100" w:type="dxa"/>
              <w:bottom w:w="90" w:type="dxa"/>
              <w:end w:w="100" w:type="dxa"/>
            </w:tcMar>
            <w:shd w:fill="1F4E78"/>
          </w:tcPr>
          <w:p>
            <w:pPr>
              <w:jc w:val="left"/>
            </w:pPr>
            <w:r>
              <w:rPr>
                <w:rFonts w:ascii="Times New Roman" w:hAnsi="Times New Roman"/>
                <w:b/>
                <w:color w:val="FFFFFF"/>
                <w:sz w:val="16"/>
              </w:rPr>
              <w:t>Tabla</w:t>
            </w:r>
          </w:p>
        </w:tc>
        <w:tc>
          <w:tcPr>
            <w:tcW w:type="dxa" w:w="2256"/>
            <w:vAlign w:val="center"/>
            <w:tcMar>
              <w:top w:w="90" w:type="dxa"/>
              <w:start w:w="100" w:type="dxa"/>
              <w:bottom w:w="90" w:type="dxa"/>
              <w:end w:w="100" w:type="dxa"/>
            </w:tcMar>
            <w:shd w:fill="1F4E78"/>
          </w:tcPr>
          <w:p>
            <w:pPr>
              <w:jc w:val="center"/>
            </w:pPr>
            <w:r>
              <w:rPr>
                <w:rFonts w:ascii="Times New Roman" w:hAnsi="Times New Roman"/>
                <w:b/>
                <w:color w:val="FFFFFF"/>
                <w:sz w:val="16"/>
              </w:rPr>
              <w:t>Granularidad</w:t>
            </w:r>
          </w:p>
        </w:tc>
        <w:tc>
          <w:tcPr>
            <w:tcW w:type="dxa" w:w="2256"/>
            <w:vAlign w:val="center"/>
            <w:tcMar>
              <w:top w:w="90" w:type="dxa"/>
              <w:start w:w="100" w:type="dxa"/>
              <w:bottom w:w="90" w:type="dxa"/>
              <w:end w:w="100" w:type="dxa"/>
            </w:tcMar>
            <w:shd w:fill="1F4E78"/>
          </w:tcPr>
          <w:p>
            <w:pPr>
              <w:jc w:val="center"/>
            </w:pPr>
            <w:r>
              <w:rPr>
                <w:rFonts w:ascii="Times New Roman" w:hAnsi="Times New Roman"/>
                <w:b/>
                <w:color w:val="FFFFFF"/>
                <w:sz w:val="16"/>
              </w:rPr>
              <w:t>Filas iniciales</w:t>
            </w:r>
          </w:p>
        </w:tc>
        <w:tc>
          <w:tcPr>
            <w:tcW w:type="dxa" w:w="2256"/>
            <w:vAlign w:val="center"/>
            <w:tcMar>
              <w:top w:w="90" w:type="dxa"/>
              <w:start w:w="100" w:type="dxa"/>
              <w:bottom w:w="90" w:type="dxa"/>
              <w:end w:w="100" w:type="dxa"/>
            </w:tcMar>
            <w:shd w:fill="1F4E78"/>
          </w:tcPr>
          <w:p>
            <w:pPr>
              <w:jc w:val="center"/>
            </w:pPr>
            <w:r>
              <w:rPr>
                <w:rFonts w:ascii="Times New Roman" w:hAnsi="Times New Roman"/>
                <w:b/>
                <w:color w:val="FFFFFF"/>
                <w:sz w:val="16"/>
              </w:rPr>
              <w:t>Uso previsto</w:t>
            </w:r>
          </w:p>
        </w:tc>
      </w:tr>
      <w:tr>
        <w:trPr>
          <w:cantSplit/>
        </w:trPr>
        <w:tc>
          <w:tcPr>
            <w:tcW w:type="dxa" w:w="2256"/>
            <w:vAlign w:val="center"/>
            <w:tcMar>
              <w:top w:w="90" w:type="dxa"/>
              <w:start w:w="100" w:type="dxa"/>
              <w:bottom w:w="90" w:type="dxa"/>
              <w:end w:w="100" w:type="dxa"/>
            </w:tcMar>
          </w:tcPr>
          <w:p>
            <w:pPr>
              <w:jc w:val="left"/>
            </w:pPr>
            <w:r>
              <w:rPr>
                <w:rFonts w:ascii="Times New Roman" w:hAnsi="Times New Roman"/>
                <w:color w:val="000000"/>
                <w:sz w:val="16"/>
              </w:rPr>
              <w:t>siar_weather_daily.csv</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Estación y fecha observada</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150</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Histórico agroclimático.</w:t>
            </w:r>
          </w:p>
        </w:tc>
      </w:tr>
      <w:tr>
        <w:trPr>
          <w:cantSplit/>
        </w:trPr>
        <w:tc>
          <w:tcPr>
            <w:tcW w:type="dxa" w:w="2256"/>
            <w:vAlign w:val="center"/>
            <w:tcMar>
              <w:top w:w="90" w:type="dxa"/>
              <w:start w:w="100" w:type="dxa"/>
              <w:bottom w:w="90" w:type="dxa"/>
              <w:end w:w="100" w:type="dxa"/>
            </w:tcMar>
            <w:shd w:fill="EAF2F8"/>
          </w:tcPr>
          <w:p>
            <w:pPr>
              <w:jc w:val="left"/>
            </w:pPr>
            <w:r>
              <w:rPr>
                <w:rFonts w:ascii="Times New Roman" w:hAnsi="Times New Roman"/>
                <w:color w:val="000000"/>
                <w:sz w:val="16"/>
              </w:rPr>
              <w:t>siar_crop_water_needs_daily.csv</w:t>
            </w:r>
          </w:p>
        </w:tc>
        <w:tc>
          <w:tcPr>
            <w:tcW w:type="dxa" w:w="2256"/>
            <w:vAlign w:val="center"/>
            <w:tcMar>
              <w:top w:w="90" w:type="dxa"/>
              <w:start w:w="100" w:type="dxa"/>
              <w:bottom w:w="90" w:type="dxa"/>
              <w:end w:w="100" w:type="dxa"/>
            </w:tcMar>
            <w:shd w:fill="EAF2F8"/>
          </w:tcPr>
          <w:p>
            <w:pPr>
              <w:jc w:val="center"/>
            </w:pPr>
            <w:r>
              <w:rPr>
                <w:rFonts w:ascii="Times New Roman" w:hAnsi="Times New Roman"/>
                <w:color w:val="000000"/>
                <w:sz w:val="16"/>
              </w:rPr>
              <w:t>Estación, cultivo y fecha</w:t>
            </w:r>
          </w:p>
        </w:tc>
        <w:tc>
          <w:tcPr>
            <w:tcW w:type="dxa" w:w="2256"/>
            <w:vAlign w:val="center"/>
            <w:tcMar>
              <w:top w:w="90" w:type="dxa"/>
              <w:start w:w="100" w:type="dxa"/>
              <w:bottom w:w="90" w:type="dxa"/>
              <w:end w:w="100" w:type="dxa"/>
            </w:tcMar>
            <w:shd w:fill="EAF2F8"/>
          </w:tcPr>
          <w:p>
            <w:pPr>
              <w:jc w:val="center"/>
            </w:pPr>
            <w:r>
              <w:rPr>
                <w:rFonts w:ascii="Times New Roman" w:hAnsi="Times New Roman"/>
                <w:color w:val="000000"/>
                <w:sz w:val="16"/>
              </w:rPr>
              <w:t>150</w:t>
            </w:r>
          </w:p>
        </w:tc>
        <w:tc>
          <w:tcPr>
            <w:tcW w:type="dxa" w:w="2256"/>
            <w:vAlign w:val="center"/>
            <w:tcMar>
              <w:top w:w="90" w:type="dxa"/>
              <w:start w:w="100" w:type="dxa"/>
              <w:bottom w:w="90" w:type="dxa"/>
              <w:end w:w="100" w:type="dxa"/>
            </w:tcMar>
            <w:shd w:fill="EAF2F8"/>
          </w:tcPr>
          <w:p>
            <w:pPr>
              <w:jc w:val="center"/>
            </w:pPr>
            <w:r>
              <w:rPr>
                <w:rFonts w:ascii="Times New Roman" w:hAnsi="Times New Roman"/>
                <w:color w:val="000000"/>
                <w:sz w:val="16"/>
              </w:rPr>
              <w:t>Baseline de necesidad neta de riego.</w:t>
            </w:r>
          </w:p>
        </w:tc>
      </w:tr>
      <w:tr>
        <w:trPr>
          <w:cantSplit/>
        </w:trPr>
        <w:tc>
          <w:tcPr>
            <w:tcW w:type="dxa" w:w="2256"/>
            <w:vAlign w:val="center"/>
            <w:tcMar>
              <w:top w:w="90" w:type="dxa"/>
              <w:start w:w="100" w:type="dxa"/>
              <w:bottom w:w="90" w:type="dxa"/>
              <w:end w:w="100" w:type="dxa"/>
            </w:tcMar>
          </w:tcPr>
          <w:p>
            <w:pPr>
              <w:jc w:val="left"/>
            </w:pPr>
            <w:r>
              <w:rPr>
                <w:rFonts w:ascii="Times New Roman" w:hAnsi="Times New Roman"/>
                <w:color w:val="000000"/>
                <w:sz w:val="16"/>
              </w:rPr>
              <w:t>aemet_forecast_daily.csv</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Municipio, emisión y fecha válida</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7</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Planificación de varios días.</w:t>
            </w:r>
          </w:p>
        </w:tc>
      </w:tr>
      <w:tr>
        <w:trPr>
          <w:cantSplit/>
        </w:trPr>
        <w:tc>
          <w:tcPr>
            <w:tcW w:type="dxa" w:w="2256"/>
            <w:vAlign w:val="center"/>
            <w:tcMar>
              <w:top w:w="90" w:type="dxa"/>
              <w:start w:w="100" w:type="dxa"/>
              <w:bottom w:w="90" w:type="dxa"/>
              <w:end w:w="100" w:type="dxa"/>
            </w:tcMar>
            <w:shd w:fill="EAF2F8"/>
          </w:tcPr>
          <w:p>
            <w:pPr>
              <w:jc w:val="left"/>
            </w:pPr>
            <w:r>
              <w:rPr>
                <w:rFonts w:ascii="Times New Roman" w:hAnsi="Times New Roman"/>
                <w:color w:val="000000"/>
                <w:sz w:val="16"/>
              </w:rPr>
              <w:t>aemet_forecast_hourly.csv</w:t>
            </w:r>
          </w:p>
        </w:tc>
        <w:tc>
          <w:tcPr>
            <w:tcW w:type="dxa" w:w="2256"/>
            <w:vAlign w:val="center"/>
            <w:tcMar>
              <w:top w:w="90" w:type="dxa"/>
              <w:start w:w="100" w:type="dxa"/>
              <w:bottom w:w="90" w:type="dxa"/>
              <w:end w:w="100" w:type="dxa"/>
            </w:tcMar>
            <w:shd w:fill="EAF2F8"/>
          </w:tcPr>
          <w:p>
            <w:pPr>
              <w:jc w:val="center"/>
            </w:pPr>
            <w:r>
              <w:rPr>
                <w:rFonts w:ascii="Times New Roman" w:hAnsi="Times New Roman"/>
                <w:color w:val="000000"/>
                <w:sz w:val="16"/>
              </w:rPr>
              <w:t>Municipio, emisión e instante válido</w:t>
            </w:r>
          </w:p>
        </w:tc>
        <w:tc>
          <w:tcPr>
            <w:tcW w:type="dxa" w:w="2256"/>
            <w:vAlign w:val="center"/>
            <w:tcMar>
              <w:top w:w="90" w:type="dxa"/>
              <w:start w:w="100" w:type="dxa"/>
              <w:bottom w:w="90" w:type="dxa"/>
              <w:end w:w="100" w:type="dxa"/>
            </w:tcMar>
            <w:shd w:fill="EAF2F8"/>
          </w:tcPr>
          <w:p>
            <w:pPr>
              <w:jc w:val="center"/>
            </w:pPr>
            <w:r>
              <w:rPr>
                <w:rFonts w:ascii="Times New Roman" w:hAnsi="Times New Roman"/>
                <w:color w:val="000000"/>
                <w:sz w:val="16"/>
              </w:rPr>
              <w:t>48</w:t>
            </w:r>
          </w:p>
        </w:tc>
        <w:tc>
          <w:tcPr>
            <w:tcW w:type="dxa" w:w="2256"/>
            <w:vAlign w:val="center"/>
            <w:tcMar>
              <w:top w:w="90" w:type="dxa"/>
              <w:start w:w="100" w:type="dxa"/>
              <w:bottom w:w="90" w:type="dxa"/>
              <w:end w:w="100" w:type="dxa"/>
            </w:tcMar>
            <w:shd w:fill="EAF2F8"/>
          </w:tcPr>
          <w:p>
            <w:pPr>
              <w:jc w:val="center"/>
            </w:pPr>
            <w:r>
              <w:rPr>
                <w:rFonts w:ascii="Times New Roman" w:hAnsi="Times New Roman"/>
                <w:color w:val="000000"/>
                <w:sz w:val="16"/>
              </w:rPr>
              <w:t>Decisiones de corto plazo.</w:t>
            </w:r>
          </w:p>
        </w:tc>
      </w:tr>
      <w:tr>
        <w:trPr>
          <w:cantSplit/>
        </w:trPr>
        <w:tc>
          <w:tcPr>
            <w:tcW w:type="dxa" w:w="2256"/>
            <w:vAlign w:val="center"/>
            <w:tcMar>
              <w:top w:w="90" w:type="dxa"/>
              <w:start w:w="100" w:type="dxa"/>
              <w:bottom w:w="90" w:type="dxa"/>
              <w:end w:w="100" w:type="dxa"/>
            </w:tcMar>
          </w:tcPr>
          <w:p>
            <w:pPr>
              <w:jc w:val="left"/>
            </w:pPr>
            <w:r>
              <w:rPr>
                <w:rFonts w:ascii="Times New Roman" w:hAnsi="Times New Roman"/>
                <w:color w:val="000000"/>
                <w:sz w:val="16"/>
              </w:rPr>
              <w:t>quality_summary.csv</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Conjunto de datos</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4</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Control de duplicados, cobertura y avisos.</w:t>
            </w:r>
          </w:p>
        </w:tc>
      </w:tr>
    </w:tbl>
    <w:p>
      <w:pPr>
        <w:spacing w:after="40"/>
      </w:pPr>
    </w:p>
    <w:p>
      <w:pPr>
        <w:spacing w:after="120"/>
      </w:pPr>
      <w:r>
        <w:t>Ejemplo de la tabla diaria SiAR:</w:t>
      </w:r>
    </w:p>
    <w:p>
      <w:pPr>
        <w:keepNext/>
        <w:spacing w:after="120"/>
      </w:pPr>
      <w:r>
        <w:rPr>
          <w:b/>
        </w:rPr>
        <w:t>Tabla 4.5. Ejemplo de la tabla diaria normalizada de SiAR.</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5"/>
        <w:gridCol w:w="1805"/>
        <w:gridCol w:w="1805"/>
        <w:gridCol w:w="1805"/>
        <w:gridCol w:w="1805"/>
      </w:tblGrid>
      <w:tr>
        <w:trPr>
          <w:tblHeader w:val="true"/>
          <w:cantSplit/>
        </w:trPr>
        <w:tc>
          <w:tcPr>
            <w:tcW w:type="dxa" w:w="1805"/>
            <w:vAlign w:val="center"/>
            <w:tcMar>
              <w:top w:w="90" w:type="dxa"/>
              <w:start w:w="100" w:type="dxa"/>
              <w:bottom w:w="90" w:type="dxa"/>
              <w:end w:w="100" w:type="dxa"/>
            </w:tcMar>
            <w:shd w:fill="1F4E78"/>
          </w:tcPr>
          <w:p>
            <w:pPr>
              <w:jc w:val="left"/>
            </w:pPr>
            <w:r>
              <w:rPr>
                <w:rFonts w:ascii="Times New Roman" w:hAnsi="Times New Roman"/>
                <w:b/>
                <w:color w:val="FFFFFF"/>
                <w:sz w:val="16"/>
              </w:rPr>
              <w:t>Fecha</w:t>
            </w:r>
          </w:p>
        </w:tc>
        <w:tc>
          <w:tcPr>
            <w:tcW w:type="dxa" w:w="1805"/>
            <w:vAlign w:val="center"/>
            <w:tcMar>
              <w:top w:w="90" w:type="dxa"/>
              <w:start w:w="100" w:type="dxa"/>
              <w:bottom w:w="90" w:type="dxa"/>
              <w:end w:w="100" w:type="dxa"/>
            </w:tcMar>
            <w:shd w:fill="1F4E78"/>
          </w:tcPr>
          <w:p>
            <w:pPr>
              <w:jc w:val="center"/>
            </w:pPr>
            <w:r>
              <w:rPr>
                <w:rFonts w:ascii="Times New Roman" w:hAnsi="Times New Roman"/>
                <w:b/>
                <w:color w:val="FFFFFF"/>
                <w:sz w:val="16"/>
              </w:rPr>
              <w:t>Temperatura media (°C)</w:t>
            </w:r>
          </w:p>
        </w:tc>
        <w:tc>
          <w:tcPr>
            <w:tcW w:type="dxa" w:w="1805"/>
            <w:vAlign w:val="center"/>
            <w:tcMar>
              <w:top w:w="90" w:type="dxa"/>
              <w:start w:w="100" w:type="dxa"/>
              <w:bottom w:w="90" w:type="dxa"/>
              <w:end w:w="100" w:type="dxa"/>
            </w:tcMar>
            <w:shd w:fill="1F4E78"/>
          </w:tcPr>
          <w:p>
            <w:pPr>
              <w:jc w:val="center"/>
            </w:pPr>
            <w:r>
              <w:rPr>
                <w:rFonts w:ascii="Times New Roman" w:hAnsi="Times New Roman"/>
                <w:b/>
                <w:color w:val="FFFFFF"/>
                <w:sz w:val="16"/>
              </w:rPr>
              <w:t>Humedad media (%)</w:t>
            </w:r>
          </w:p>
        </w:tc>
        <w:tc>
          <w:tcPr>
            <w:tcW w:type="dxa" w:w="1805"/>
            <w:vAlign w:val="center"/>
            <w:tcMar>
              <w:top w:w="90" w:type="dxa"/>
              <w:start w:w="100" w:type="dxa"/>
              <w:bottom w:w="90" w:type="dxa"/>
              <w:end w:w="100" w:type="dxa"/>
            </w:tcMar>
            <w:shd w:fill="1F4E78"/>
          </w:tcPr>
          <w:p>
            <w:pPr>
              <w:jc w:val="center"/>
            </w:pPr>
            <w:r>
              <w:rPr>
                <w:rFonts w:ascii="Times New Roman" w:hAnsi="Times New Roman"/>
                <w:b/>
                <w:color w:val="FFFFFF"/>
                <w:sz w:val="16"/>
              </w:rPr>
              <w:t>ET0 (mm/día)</w:t>
            </w:r>
          </w:p>
        </w:tc>
        <w:tc>
          <w:tcPr>
            <w:tcW w:type="dxa" w:w="1805"/>
            <w:vAlign w:val="center"/>
            <w:tcMar>
              <w:top w:w="90" w:type="dxa"/>
              <w:start w:w="100" w:type="dxa"/>
              <w:bottom w:w="90" w:type="dxa"/>
              <w:end w:w="100" w:type="dxa"/>
            </w:tcMar>
            <w:shd w:fill="1F4E78"/>
          </w:tcPr>
          <w:p>
            <w:pPr>
              <w:jc w:val="center"/>
            </w:pPr>
            <w:r>
              <w:rPr>
                <w:rFonts w:ascii="Times New Roman" w:hAnsi="Times New Roman"/>
                <w:b/>
                <w:color w:val="FFFFFF"/>
                <w:sz w:val="16"/>
              </w:rPr>
              <w:t>Calidad</w:t>
            </w:r>
          </w:p>
        </w:tc>
      </w:tr>
      <w:tr>
        <w:trPr>
          <w:cantSplit/>
        </w:trPr>
        <w:tc>
          <w:tcPr>
            <w:tcW w:type="dxa" w:w="1805"/>
            <w:vAlign w:val="center"/>
            <w:tcMar>
              <w:top w:w="90" w:type="dxa"/>
              <w:start w:w="100" w:type="dxa"/>
              <w:bottom w:w="90" w:type="dxa"/>
              <w:end w:w="100" w:type="dxa"/>
            </w:tcMar>
          </w:tcPr>
          <w:p>
            <w:pPr>
              <w:jc w:val="left"/>
            </w:pPr>
            <w:r>
              <w:rPr>
                <w:rFonts w:ascii="Times New Roman" w:hAnsi="Times New Roman"/>
                <w:color w:val="000000"/>
                <w:sz w:val="16"/>
              </w:rPr>
              <w:t>01/05/2025</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19,62</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75,60</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4,72</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PASS</w:t>
            </w:r>
          </w:p>
        </w:tc>
      </w:tr>
      <w:tr>
        <w:trPr>
          <w:cantSplit/>
        </w:trPr>
        <w:tc>
          <w:tcPr>
            <w:tcW w:type="dxa" w:w="1805"/>
            <w:vAlign w:val="center"/>
            <w:tcMar>
              <w:top w:w="90" w:type="dxa"/>
              <w:start w:w="100" w:type="dxa"/>
              <w:bottom w:w="90" w:type="dxa"/>
              <w:end w:w="100" w:type="dxa"/>
            </w:tcMar>
            <w:shd w:fill="EAF2F8"/>
          </w:tcPr>
          <w:p>
            <w:pPr>
              <w:jc w:val="left"/>
            </w:pPr>
            <w:r>
              <w:rPr>
                <w:rFonts w:ascii="Times New Roman" w:hAnsi="Times New Roman"/>
                <w:color w:val="000000"/>
                <w:sz w:val="16"/>
              </w:rPr>
              <w:t>02/05/2025</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21,47</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59,55</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5,57</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PASS</w:t>
            </w:r>
          </w:p>
        </w:tc>
      </w:tr>
      <w:tr>
        <w:trPr>
          <w:cantSplit/>
        </w:trPr>
        <w:tc>
          <w:tcPr>
            <w:tcW w:type="dxa" w:w="1805"/>
            <w:vAlign w:val="center"/>
            <w:tcMar>
              <w:top w:w="90" w:type="dxa"/>
              <w:start w:w="100" w:type="dxa"/>
              <w:bottom w:w="90" w:type="dxa"/>
              <w:end w:w="100" w:type="dxa"/>
            </w:tcMar>
          </w:tcPr>
          <w:p>
            <w:pPr>
              <w:jc w:val="left"/>
            </w:pPr>
            <w:r>
              <w:rPr>
                <w:rFonts w:ascii="Times New Roman" w:hAnsi="Times New Roman"/>
                <w:color w:val="000000"/>
                <w:sz w:val="16"/>
              </w:rPr>
              <w:t>03/05/2025</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19,93</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58,28</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5,27</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PASS</w:t>
            </w:r>
          </w:p>
        </w:tc>
      </w:tr>
    </w:tbl>
    <w:p>
      <w:pPr>
        <w:spacing w:after="40"/>
      </w:pPr>
    </w:p>
    <w:p>
      <w:pPr>
        <w:spacing w:after="120"/>
      </w:pPr>
      <w:r>
        <w:t>Ejemplo de necesidades hídricas del pimiento:</w:t>
      </w:r>
    </w:p>
    <w:p>
      <w:pPr>
        <w:keepNext/>
        <w:spacing w:after="120"/>
      </w:pPr>
      <w:r>
        <w:rPr>
          <w:b/>
        </w:rPr>
        <w:t>Tabla 4.6. Ejemplo de la tabla normalizada de necesidades hídricas del pimiento.</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04"/>
        <w:gridCol w:w="1504"/>
        <w:gridCol w:w="1504"/>
        <w:gridCol w:w="1504"/>
        <w:gridCol w:w="1504"/>
        <w:gridCol w:w="1504"/>
      </w:tblGrid>
      <w:tr>
        <w:trPr>
          <w:tblHeader w:val="true"/>
          <w:cantSplit/>
        </w:trPr>
        <w:tc>
          <w:tcPr>
            <w:tcW w:type="dxa" w:w="1504"/>
            <w:vAlign w:val="center"/>
            <w:tcMar>
              <w:top w:w="90" w:type="dxa"/>
              <w:start w:w="100" w:type="dxa"/>
              <w:bottom w:w="90" w:type="dxa"/>
              <w:end w:w="100" w:type="dxa"/>
            </w:tcMar>
            <w:shd w:fill="1F4E78"/>
          </w:tcPr>
          <w:p>
            <w:pPr>
              <w:jc w:val="left"/>
            </w:pPr>
            <w:r>
              <w:rPr>
                <w:rFonts w:ascii="Times New Roman" w:hAnsi="Times New Roman"/>
                <w:b/>
                <w:color w:val="FFFFFF"/>
                <w:sz w:val="16"/>
              </w:rPr>
              <w:t>Fecha</w:t>
            </w:r>
          </w:p>
        </w:tc>
        <w:tc>
          <w:tcPr>
            <w:tcW w:type="dxa" w:w="1504"/>
            <w:vAlign w:val="center"/>
            <w:tcMar>
              <w:top w:w="90" w:type="dxa"/>
              <w:start w:w="100" w:type="dxa"/>
              <w:bottom w:w="90" w:type="dxa"/>
              <w:end w:w="100" w:type="dxa"/>
            </w:tcMar>
            <w:shd w:fill="1F4E78"/>
          </w:tcPr>
          <w:p>
            <w:pPr>
              <w:jc w:val="center"/>
            </w:pPr>
            <w:r>
              <w:rPr>
                <w:rFonts w:ascii="Times New Roman" w:hAnsi="Times New Roman"/>
                <w:b/>
                <w:color w:val="FFFFFF"/>
                <w:sz w:val="16"/>
              </w:rPr>
              <w:t>Kc</w:t>
            </w:r>
          </w:p>
        </w:tc>
        <w:tc>
          <w:tcPr>
            <w:tcW w:type="dxa" w:w="1504"/>
            <w:vAlign w:val="center"/>
            <w:tcMar>
              <w:top w:w="90" w:type="dxa"/>
              <w:start w:w="100" w:type="dxa"/>
              <w:bottom w:w="90" w:type="dxa"/>
              <w:end w:w="100" w:type="dxa"/>
            </w:tcMar>
            <w:shd w:fill="1F4E78"/>
          </w:tcPr>
          <w:p>
            <w:pPr>
              <w:jc w:val="center"/>
            </w:pPr>
            <w:r>
              <w:rPr>
                <w:rFonts w:ascii="Times New Roman" w:hAnsi="Times New Roman"/>
                <w:b/>
                <w:color w:val="FFFFFF"/>
                <w:sz w:val="16"/>
              </w:rPr>
              <w:t>ET0 (mm)</w:t>
            </w:r>
          </w:p>
        </w:tc>
        <w:tc>
          <w:tcPr>
            <w:tcW w:type="dxa" w:w="1504"/>
            <w:vAlign w:val="center"/>
            <w:tcMar>
              <w:top w:w="90" w:type="dxa"/>
              <w:start w:w="100" w:type="dxa"/>
              <w:bottom w:w="90" w:type="dxa"/>
              <w:end w:w="100" w:type="dxa"/>
            </w:tcMar>
            <w:shd w:fill="1F4E78"/>
          </w:tcPr>
          <w:p>
            <w:pPr>
              <w:jc w:val="center"/>
            </w:pPr>
            <w:r>
              <w:rPr>
                <w:rFonts w:ascii="Times New Roman" w:hAnsi="Times New Roman"/>
                <w:b/>
                <w:color w:val="FFFFFF"/>
                <w:sz w:val="16"/>
              </w:rPr>
              <w:t>ETc (mm)</w:t>
            </w:r>
          </w:p>
        </w:tc>
        <w:tc>
          <w:tcPr>
            <w:tcW w:type="dxa" w:w="1504"/>
            <w:vAlign w:val="center"/>
            <w:tcMar>
              <w:top w:w="90" w:type="dxa"/>
              <w:start w:w="100" w:type="dxa"/>
              <w:bottom w:w="90" w:type="dxa"/>
              <w:end w:w="100" w:type="dxa"/>
            </w:tcMar>
            <w:shd w:fill="1F4E78"/>
          </w:tcPr>
          <w:p>
            <w:pPr>
              <w:jc w:val="center"/>
            </w:pPr>
            <w:r>
              <w:rPr>
                <w:rFonts w:ascii="Times New Roman" w:hAnsi="Times New Roman"/>
                <w:b/>
                <w:color w:val="FFFFFF"/>
                <w:sz w:val="16"/>
              </w:rPr>
              <w:t>Pe (mm)</w:t>
            </w:r>
          </w:p>
        </w:tc>
        <w:tc>
          <w:tcPr>
            <w:tcW w:type="dxa" w:w="1504"/>
            <w:vAlign w:val="center"/>
            <w:tcMar>
              <w:top w:w="90" w:type="dxa"/>
              <w:start w:w="100" w:type="dxa"/>
              <w:bottom w:w="90" w:type="dxa"/>
              <w:end w:w="100" w:type="dxa"/>
            </w:tcMar>
            <w:shd w:fill="1F4E78"/>
          </w:tcPr>
          <w:p>
            <w:pPr>
              <w:jc w:val="center"/>
            </w:pPr>
            <w:r>
              <w:rPr>
                <w:rFonts w:ascii="Times New Roman" w:hAnsi="Times New Roman"/>
                <w:b/>
                <w:color w:val="FFFFFF"/>
                <w:sz w:val="16"/>
              </w:rPr>
              <w:t>Necesidad neta (mm)</w:t>
            </w:r>
          </w:p>
        </w:tc>
      </w:tr>
      <w:tr>
        <w:trPr>
          <w:cantSplit/>
        </w:trPr>
        <w:tc>
          <w:tcPr>
            <w:tcW w:type="dxa" w:w="1504"/>
            <w:vAlign w:val="center"/>
            <w:tcMar>
              <w:top w:w="90" w:type="dxa"/>
              <w:start w:w="100" w:type="dxa"/>
              <w:bottom w:w="90" w:type="dxa"/>
              <w:end w:w="100" w:type="dxa"/>
            </w:tcMar>
          </w:tcPr>
          <w:p>
            <w:pPr>
              <w:jc w:val="left"/>
            </w:pPr>
            <w:r>
              <w:rPr>
                <w:rFonts w:ascii="Times New Roman" w:hAnsi="Times New Roman"/>
                <w:color w:val="000000"/>
                <w:sz w:val="16"/>
              </w:rPr>
              <w:t>01/05/2025</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0,50</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4,72</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2,36</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0,00</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2,36</w:t>
            </w:r>
          </w:p>
        </w:tc>
      </w:tr>
      <w:tr>
        <w:trPr>
          <w:cantSplit/>
        </w:trPr>
        <w:tc>
          <w:tcPr>
            <w:tcW w:type="dxa" w:w="1504"/>
            <w:vAlign w:val="center"/>
            <w:tcMar>
              <w:top w:w="90" w:type="dxa"/>
              <w:start w:w="100" w:type="dxa"/>
              <w:bottom w:w="90" w:type="dxa"/>
              <w:end w:w="100" w:type="dxa"/>
            </w:tcMar>
            <w:shd w:fill="EAF2F8"/>
          </w:tcPr>
          <w:p>
            <w:pPr>
              <w:jc w:val="left"/>
            </w:pPr>
            <w:r>
              <w:rPr>
                <w:rFonts w:ascii="Times New Roman" w:hAnsi="Times New Roman"/>
                <w:color w:val="000000"/>
                <w:sz w:val="16"/>
              </w:rPr>
              <w:t>01/07/2025</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0,90</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6,05</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5,45</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0,00</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5,45</w:t>
            </w:r>
          </w:p>
        </w:tc>
      </w:tr>
      <w:tr>
        <w:trPr>
          <w:cantSplit/>
        </w:trPr>
        <w:tc>
          <w:tcPr>
            <w:tcW w:type="dxa" w:w="1504"/>
            <w:vAlign w:val="center"/>
            <w:tcMar>
              <w:top w:w="90" w:type="dxa"/>
              <w:start w:w="100" w:type="dxa"/>
              <w:bottom w:w="90" w:type="dxa"/>
              <w:end w:w="100" w:type="dxa"/>
            </w:tcMar>
          </w:tcPr>
          <w:p>
            <w:pPr>
              <w:jc w:val="left"/>
            </w:pPr>
            <w:r>
              <w:rPr>
                <w:rFonts w:ascii="Times New Roman" w:hAnsi="Times New Roman"/>
                <w:color w:val="000000"/>
                <w:sz w:val="16"/>
              </w:rPr>
              <w:t>01/08/2025</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1,00</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5,26</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5,26</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0,00</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5,26</w:t>
            </w:r>
          </w:p>
        </w:tc>
      </w:tr>
      <w:tr>
        <w:trPr>
          <w:cantSplit/>
        </w:trPr>
        <w:tc>
          <w:tcPr>
            <w:tcW w:type="dxa" w:w="1504"/>
            <w:vAlign w:val="center"/>
            <w:tcMar>
              <w:top w:w="90" w:type="dxa"/>
              <w:start w:w="100" w:type="dxa"/>
              <w:bottom w:w="90" w:type="dxa"/>
              <w:end w:w="100" w:type="dxa"/>
            </w:tcMar>
            <w:shd w:fill="EAF2F8"/>
          </w:tcPr>
          <w:p>
            <w:pPr>
              <w:jc w:val="left"/>
            </w:pPr>
            <w:r>
              <w:rPr>
                <w:rFonts w:ascii="Times New Roman" w:hAnsi="Times New Roman"/>
                <w:color w:val="000000"/>
                <w:sz w:val="16"/>
              </w:rPr>
              <w:t>01/09/2025</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0,30</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4,56</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1,37</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0,00</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1,37</w:t>
            </w:r>
          </w:p>
        </w:tc>
      </w:tr>
    </w:tbl>
    <w:p>
      <w:pPr>
        <w:spacing w:after="40"/>
      </w:pPr>
    </w:p>
    <w:p>
      <w:pPr>
        <w:spacing w:after="120"/>
      </w:pPr>
      <w:r>
        <w:t>Ejemplo de la predicción diaria AEMET:</w:t>
      </w:r>
    </w:p>
    <w:p>
      <w:pPr>
        <w:keepNext/>
        <w:spacing w:after="120"/>
      </w:pPr>
      <w:r>
        <w:rPr>
          <w:b/>
        </w:rPr>
        <w:t>Tabla 4.7. Ejemplo de la tabla normalizada de predicción diaria de AEMET.</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5"/>
        <w:gridCol w:w="1805"/>
        <w:gridCol w:w="1805"/>
        <w:gridCol w:w="1805"/>
        <w:gridCol w:w="1805"/>
      </w:tblGrid>
      <w:tr>
        <w:trPr>
          <w:tblHeader w:val="true"/>
          <w:cantSplit/>
        </w:trPr>
        <w:tc>
          <w:tcPr>
            <w:tcW w:type="dxa" w:w="1805"/>
            <w:vAlign w:val="center"/>
            <w:tcMar>
              <w:top w:w="90" w:type="dxa"/>
              <w:start w:w="100" w:type="dxa"/>
              <w:bottom w:w="90" w:type="dxa"/>
              <w:end w:w="100" w:type="dxa"/>
            </w:tcMar>
            <w:shd w:fill="1F4E78"/>
          </w:tcPr>
          <w:p>
            <w:pPr>
              <w:jc w:val="left"/>
            </w:pPr>
            <w:r>
              <w:rPr>
                <w:rFonts w:ascii="Times New Roman" w:hAnsi="Times New Roman"/>
                <w:b/>
                <w:color w:val="FFFFFF"/>
                <w:sz w:val="16"/>
              </w:rPr>
              <w:t>Fecha válida</w:t>
            </w:r>
          </w:p>
        </w:tc>
        <w:tc>
          <w:tcPr>
            <w:tcW w:type="dxa" w:w="1805"/>
            <w:vAlign w:val="center"/>
            <w:tcMar>
              <w:top w:w="90" w:type="dxa"/>
              <w:start w:w="100" w:type="dxa"/>
              <w:bottom w:w="90" w:type="dxa"/>
              <w:end w:w="100" w:type="dxa"/>
            </w:tcMar>
            <w:shd w:fill="1F4E78"/>
          </w:tcPr>
          <w:p>
            <w:pPr>
              <w:jc w:val="center"/>
            </w:pPr>
            <w:r>
              <w:rPr>
                <w:rFonts w:ascii="Times New Roman" w:hAnsi="Times New Roman"/>
                <w:b/>
                <w:color w:val="FFFFFF"/>
                <w:sz w:val="16"/>
              </w:rPr>
              <w:t>Horizonte</w:t>
            </w:r>
          </w:p>
        </w:tc>
        <w:tc>
          <w:tcPr>
            <w:tcW w:type="dxa" w:w="1805"/>
            <w:vAlign w:val="center"/>
            <w:tcMar>
              <w:top w:w="90" w:type="dxa"/>
              <w:start w:w="100" w:type="dxa"/>
              <w:bottom w:w="90" w:type="dxa"/>
              <w:end w:w="100" w:type="dxa"/>
            </w:tcMar>
            <w:shd w:fill="1F4E78"/>
          </w:tcPr>
          <w:p>
            <w:pPr>
              <w:jc w:val="center"/>
            </w:pPr>
            <w:r>
              <w:rPr>
                <w:rFonts w:ascii="Times New Roman" w:hAnsi="Times New Roman"/>
                <w:b/>
                <w:color w:val="FFFFFF"/>
                <w:sz w:val="16"/>
              </w:rPr>
              <w:t>Tmin (°C)</w:t>
            </w:r>
          </w:p>
        </w:tc>
        <w:tc>
          <w:tcPr>
            <w:tcW w:type="dxa" w:w="1805"/>
            <w:vAlign w:val="center"/>
            <w:tcMar>
              <w:top w:w="90" w:type="dxa"/>
              <w:start w:w="100" w:type="dxa"/>
              <w:bottom w:w="90" w:type="dxa"/>
              <w:end w:w="100" w:type="dxa"/>
            </w:tcMar>
            <w:shd w:fill="1F4E78"/>
          </w:tcPr>
          <w:p>
            <w:pPr>
              <w:jc w:val="center"/>
            </w:pPr>
            <w:r>
              <w:rPr>
                <w:rFonts w:ascii="Times New Roman" w:hAnsi="Times New Roman"/>
                <w:b/>
                <w:color w:val="FFFFFF"/>
                <w:sz w:val="16"/>
              </w:rPr>
              <w:t>Tmax (°C)</w:t>
            </w:r>
          </w:p>
        </w:tc>
        <w:tc>
          <w:tcPr>
            <w:tcW w:type="dxa" w:w="1805"/>
            <w:vAlign w:val="center"/>
            <w:tcMar>
              <w:top w:w="90" w:type="dxa"/>
              <w:start w:w="100" w:type="dxa"/>
              <w:bottom w:w="90" w:type="dxa"/>
              <w:end w:w="100" w:type="dxa"/>
            </w:tcMar>
            <w:shd w:fill="1F4E78"/>
          </w:tcPr>
          <w:p>
            <w:pPr>
              <w:jc w:val="center"/>
            </w:pPr>
            <w:r>
              <w:rPr>
                <w:rFonts w:ascii="Times New Roman" w:hAnsi="Times New Roman"/>
                <w:b/>
                <w:color w:val="FFFFFF"/>
                <w:sz w:val="16"/>
              </w:rPr>
              <w:t>Probabilidad máxima de lluvia</w:t>
            </w:r>
          </w:p>
        </w:tc>
      </w:tr>
      <w:tr>
        <w:trPr>
          <w:cantSplit/>
        </w:trPr>
        <w:tc>
          <w:tcPr>
            <w:tcW w:type="dxa" w:w="1805"/>
            <w:vAlign w:val="center"/>
            <w:tcMar>
              <w:top w:w="90" w:type="dxa"/>
              <w:start w:w="100" w:type="dxa"/>
              <w:bottom w:w="90" w:type="dxa"/>
              <w:end w:w="100" w:type="dxa"/>
            </w:tcMar>
          </w:tcPr>
          <w:p>
            <w:pPr>
              <w:jc w:val="left"/>
            </w:pPr>
            <w:r>
              <w:rPr>
                <w:rFonts w:ascii="Times New Roman" w:hAnsi="Times New Roman"/>
                <w:color w:val="000000"/>
                <w:sz w:val="16"/>
              </w:rPr>
              <w:t>24/09/2026</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D+0</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21</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30</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0 %</w:t>
            </w:r>
          </w:p>
        </w:tc>
      </w:tr>
      <w:tr>
        <w:trPr>
          <w:cantSplit/>
        </w:trPr>
        <w:tc>
          <w:tcPr>
            <w:tcW w:type="dxa" w:w="1805"/>
            <w:vAlign w:val="center"/>
            <w:tcMar>
              <w:top w:w="90" w:type="dxa"/>
              <w:start w:w="100" w:type="dxa"/>
              <w:bottom w:w="90" w:type="dxa"/>
              <w:end w:w="100" w:type="dxa"/>
            </w:tcMar>
            <w:shd w:fill="EAF2F8"/>
          </w:tcPr>
          <w:p>
            <w:pPr>
              <w:jc w:val="left"/>
            </w:pPr>
            <w:r>
              <w:rPr>
                <w:rFonts w:ascii="Times New Roman" w:hAnsi="Times New Roman"/>
                <w:color w:val="000000"/>
                <w:sz w:val="16"/>
              </w:rPr>
              <w:t>25/09/2026</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D+1</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21</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27</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0 %</w:t>
            </w:r>
          </w:p>
        </w:tc>
      </w:tr>
      <w:tr>
        <w:trPr>
          <w:cantSplit/>
        </w:trPr>
        <w:tc>
          <w:tcPr>
            <w:tcW w:type="dxa" w:w="1805"/>
            <w:vAlign w:val="center"/>
            <w:tcMar>
              <w:top w:w="90" w:type="dxa"/>
              <w:start w:w="100" w:type="dxa"/>
              <w:bottom w:w="90" w:type="dxa"/>
              <w:end w:w="100" w:type="dxa"/>
            </w:tcMar>
          </w:tcPr>
          <w:p>
            <w:pPr>
              <w:jc w:val="left"/>
            </w:pPr>
            <w:r>
              <w:rPr>
                <w:rFonts w:ascii="Times New Roman" w:hAnsi="Times New Roman"/>
                <w:color w:val="000000"/>
                <w:sz w:val="16"/>
              </w:rPr>
              <w:t>26/09/2026</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D+2</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21</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31</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0 %</w:t>
            </w:r>
          </w:p>
        </w:tc>
      </w:tr>
      <w:tr>
        <w:trPr>
          <w:cantSplit/>
        </w:trPr>
        <w:tc>
          <w:tcPr>
            <w:tcW w:type="dxa" w:w="1805"/>
            <w:vAlign w:val="center"/>
            <w:tcMar>
              <w:top w:w="90" w:type="dxa"/>
              <w:start w:w="100" w:type="dxa"/>
              <w:bottom w:w="90" w:type="dxa"/>
              <w:end w:w="100" w:type="dxa"/>
            </w:tcMar>
            <w:shd w:fill="EAF2F8"/>
          </w:tcPr>
          <w:p>
            <w:pPr>
              <w:jc w:val="left"/>
            </w:pPr>
            <w:r>
              <w:rPr>
                <w:rFonts w:ascii="Times New Roman" w:hAnsi="Times New Roman"/>
                <w:color w:val="000000"/>
                <w:sz w:val="16"/>
              </w:rPr>
              <w:t>28/09/2026</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D+4</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21</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28</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30 %</w:t>
            </w:r>
          </w:p>
        </w:tc>
      </w:tr>
    </w:tbl>
    <w:p>
      <w:pPr>
        <w:spacing w:after="40"/>
      </w:pPr>
    </w:p>
    <w:p>
      <w:pPr>
        <w:pStyle w:val="Heading3"/>
        <w:keepNext/>
      </w:pPr>
      <w:r>
        <w:rPr>
          <w:rFonts w:ascii="Times New Roman" w:hAnsi="Times New Roman"/>
          <w:color w:val="000000"/>
          <w:sz w:val="24"/>
        </w:rPr>
        <w:t>4.1.7. Volumen antes y después de la limpieza</w:t>
      </w:r>
    </w:p>
    <w:p>
      <w:pPr>
        <w:spacing w:after="120"/>
      </w:pPr>
      <w:r>
        <w:t>La limpieza no elimina automáticamente las filas que contienen ausencias. Se conservan para mantener la trazabilidad y se marcan mediante controles de calidad. Por este motivo, las 150 observaciones SiAR y las 150 filas del CSV de necesidades permanecen en la capa normalizada, pero solo 148 días contienen una variable objetivo válida y pueden utilizarse en aprendizaje supervisado.</w:t>
      </w:r>
    </w:p>
    <w:p>
      <w:pPr>
        <w:keepNext/>
        <w:spacing w:after="120"/>
      </w:pPr>
      <w:r>
        <w:rPr>
          <w:b/>
        </w:rPr>
        <w:t>Tabla 4.8. Volumen de registros por capa antes y después de la limpieza.</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28"/>
        <w:gridCol w:w="1128"/>
        <w:gridCol w:w="1128"/>
        <w:gridCol w:w="1128"/>
        <w:gridCol w:w="1128"/>
        <w:gridCol w:w="1128"/>
        <w:gridCol w:w="1128"/>
        <w:gridCol w:w="1128"/>
      </w:tblGrid>
      <w:tr>
        <w:trPr>
          <w:tblHeader w:val="true"/>
          <w:cantSplit/>
        </w:trPr>
        <w:tc>
          <w:tcPr>
            <w:tcW w:type="dxa" w:w="1128"/>
            <w:vAlign w:val="center"/>
            <w:tcMar>
              <w:top w:w="90" w:type="dxa"/>
              <w:start w:w="100" w:type="dxa"/>
              <w:bottom w:w="90" w:type="dxa"/>
              <w:end w:w="100" w:type="dxa"/>
            </w:tcMar>
            <w:shd w:fill="1F4E78"/>
          </w:tcPr>
          <w:p>
            <w:pPr>
              <w:jc w:val="left"/>
            </w:pPr>
            <w:r>
              <w:rPr>
                <w:rFonts w:ascii="Times New Roman" w:hAnsi="Times New Roman"/>
                <w:b/>
                <w:color w:val="FFFFFF"/>
                <w:sz w:val="16"/>
              </w:rPr>
              <w:t>Etapa</w:t>
            </w:r>
          </w:p>
        </w:tc>
        <w:tc>
          <w:tcPr>
            <w:tcW w:type="dxa" w:w="1128"/>
            <w:vAlign w:val="center"/>
            <w:tcMar>
              <w:top w:w="90" w:type="dxa"/>
              <w:start w:w="100" w:type="dxa"/>
              <w:bottom w:w="90" w:type="dxa"/>
              <w:end w:w="100" w:type="dxa"/>
            </w:tcMar>
            <w:shd w:fill="1F4E78"/>
          </w:tcPr>
          <w:p>
            <w:pPr>
              <w:jc w:val="center"/>
            </w:pPr>
            <w:r>
              <w:rPr>
                <w:rFonts w:ascii="Times New Roman" w:hAnsi="Times New Roman"/>
                <w:b/>
                <w:color w:val="FFFFFF"/>
                <w:sz w:val="16"/>
              </w:rPr>
              <w:t>Conjunto</w:t>
            </w:r>
          </w:p>
        </w:tc>
        <w:tc>
          <w:tcPr>
            <w:tcW w:type="dxa" w:w="1128"/>
            <w:vAlign w:val="center"/>
            <w:tcMar>
              <w:top w:w="90" w:type="dxa"/>
              <w:start w:w="100" w:type="dxa"/>
              <w:bottom w:w="90" w:type="dxa"/>
              <w:end w:w="100" w:type="dxa"/>
            </w:tcMar>
            <w:shd w:fill="1F4E78"/>
          </w:tcPr>
          <w:p>
            <w:pPr>
              <w:jc w:val="center"/>
            </w:pPr>
            <w:r>
              <w:rPr>
                <w:rFonts w:ascii="Times New Roman" w:hAnsi="Times New Roman"/>
                <w:b/>
                <w:color w:val="FFFFFF"/>
                <w:sz w:val="16"/>
              </w:rPr>
              <w:t>Entrada o salida</w:t>
            </w:r>
          </w:p>
        </w:tc>
        <w:tc>
          <w:tcPr>
            <w:tcW w:type="dxa" w:w="1128"/>
            <w:vAlign w:val="center"/>
            <w:tcMar>
              <w:top w:w="90" w:type="dxa"/>
              <w:start w:w="100" w:type="dxa"/>
              <w:bottom w:w="90" w:type="dxa"/>
              <w:end w:w="100" w:type="dxa"/>
            </w:tcMar>
            <w:shd w:fill="1F4E78"/>
          </w:tcPr>
          <w:p>
            <w:pPr>
              <w:jc w:val="center"/>
            </w:pPr>
            <w:r>
              <w:rPr>
                <w:rFonts w:ascii="Times New Roman" w:hAnsi="Times New Roman"/>
                <w:b/>
                <w:color w:val="FFFFFF"/>
                <w:sz w:val="16"/>
              </w:rPr>
              <w:t>Filas</w:t>
            </w:r>
          </w:p>
        </w:tc>
        <w:tc>
          <w:tcPr>
            <w:tcW w:type="dxa" w:w="1128"/>
            <w:vAlign w:val="center"/>
            <w:tcMar>
              <w:top w:w="90" w:type="dxa"/>
              <w:start w:w="100" w:type="dxa"/>
              <w:bottom w:w="90" w:type="dxa"/>
              <w:end w:w="100" w:type="dxa"/>
            </w:tcMar>
            <w:shd w:fill="1F4E78"/>
          </w:tcPr>
          <w:p>
            <w:pPr>
              <w:jc w:val="center"/>
            </w:pPr>
            <w:r>
              <w:rPr>
                <w:rFonts w:ascii="Times New Roman" w:hAnsi="Times New Roman"/>
                <w:b/>
                <w:color w:val="FFFFFF"/>
                <w:sz w:val="16"/>
              </w:rPr>
              <w:t>Variables</w:t>
            </w:r>
          </w:p>
        </w:tc>
        <w:tc>
          <w:tcPr>
            <w:tcW w:type="dxa" w:w="1128"/>
            <w:vAlign w:val="center"/>
            <w:tcMar>
              <w:top w:w="90" w:type="dxa"/>
              <w:start w:w="100" w:type="dxa"/>
              <w:bottom w:w="90" w:type="dxa"/>
              <w:end w:w="100" w:type="dxa"/>
            </w:tcMar>
            <w:shd w:fill="1F4E78"/>
          </w:tcPr>
          <w:p>
            <w:pPr>
              <w:jc w:val="center"/>
            </w:pPr>
            <w:r>
              <w:rPr>
                <w:rFonts w:ascii="Times New Roman" w:hAnsi="Times New Roman"/>
                <w:b/>
                <w:color w:val="FFFFFF"/>
                <w:sz w:val="16"/>
              </w:rPr>
              <w:t>Filas válidas</w:t>
            </w:r>
          </w:p>
        </w:tc>
        <w:tc>
          <w:tcPr>
            <w:tcW w:type="dxa" w:w="1128"/>
            <w:vAlign w:val="center"/>
            <w:tcMar>
              <w:top w:w="90" w:type="dxa"/>
              <w:start w:w="100" w:type="dxa"/>
              <w:bottom w:w="90" w:type="dxa"/>
              <w:end w:w="100" w:type="dxa"/>
            </w:tcMar>
            <w:shd w:fill="1F4E78"/>
          </w:tcPr>
          <w:p>
            <w:pPr>
              <w:jc w:val="center"/>
            </w:pPr>
            <w:r>
              <w:rPr>
                <w:rFonts w:ascii="Times New Roman" w:hAnsi="Times New Roman"/>
                <w:b/>
                <w:color w:val="FFFFFF"/>
                <w:sz w:val="16"/>
              </w:rPr>
              <w:t>Avisos</w:t>
            </w:r>
          </w:p>
        </w:tc>
        <w:tc>
          <w:tcPr>
            <w:tcW w:type="dxa" w:w="1128"/>
            <w:vAlign w:val="center"/>
            <w:tcMar>
              <w:top w:w="90" w:type="dxa"/>
              <w:start w:w="100" w:type="dxa"/>
              <w:bottom w:w="90" w:type="dxa"/>
              <w:end w:w="100" w:type="dxa"/>
            </w:tcMar>
            <w:shd w:fill="1F4E78"/>
          </w:tcPr>
          <w:p>
            <w:pPr>
              <w:jc w:val="center"/>
            </w:pPr>
            <w:r>
              <w:rPr>
                <w:rFonts w:ascii="Times New Roman" w:hAnsi="Times New Roman"/>
                <w:b/>
                <w:color w:val="FFFFFF"/>
                <w:sz w:val="16"/>
              </w:rPr>
              <w:t>Duplicados</w:t>
            </w:r>
          </w:p>
        </w:tc>
      </w:tr>
      <w:tr>
        <w:trPr>
          <w:cantSplit/>
        </w:trPr>
        <w:tc>
          <w:tcPr>
            <w:tcW w:type="dxa" w:w="1128"/>
            <w:vAlign w:val="center"/>
            <w:tcMar>
              <w:top w:w="90" w:type="dxa"/>
              <w:start w:w="100" w:type="dxa"/>
              <w:bottom w:w="90" w:type="dxa"/>
              <w:end w:w="100" w:type="dxa"/>
            </w:tcMar>
          </w:tcPr>
          <w:p>
            <w:pPr>
              <w:jc w:val="left"/>
            </w:pPr>
            <w:r>
              <w:rPr>
                <w:rFonts w:ascii="Times New Roman" w:hAnsi="Times New Roman"/>
                <w:color w:val="000000"/>
                <w:sz w:val="16"/>
              </w:rPr>
              <w:t>Raw</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SiAR meteorológico</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JSON original</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150</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n.a.</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n.a.</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n.a.</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n.a.</w:t>
            </w:r>
          </w:p>
        </w:tc>
      </w:tr>
      <w:tr>
        <w:trPr>
          <w:cantSplit/>
        </w:trPr>
        <w:tc>
          <w:tcPr>
            <w:tcW w:type="dxa" w:w="1128"/>
            <w:vAlign w:val="center"/>
            <w:tcMar>
              <w:top w:w="90" w:type="dxa"/>
              <w:start w:w="100" w:type="dxa"/>
              <w:bottom w:w="90" w:type="dxa"/>
              <w:end w:w="100" w:type="dxa"/>
            </w:tcMar>
            <w:shd w:fill="EAF2F8"/>
          </w:tcPr>
          <w:p>
            <w:pPr>
              <w:jc w:val="left"/>
            </w:pPr>
            <w:r>
              <w:rPr>
                <w:rFonts w:ascii="Times New Roman" w:hAnsi="Times New Roman"/>
                <w:color w:val="000000"/>
                <w:sz w:val="16"/>
              </w:rPr>
              <w:t>Raw externo</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Necesidades del pimiento</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CSV oficial</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150</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6</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n.a.</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n.a.</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n.a.</w:t>
            </w:r>
          </w:p>
        </w:tc>
      </w:tr>
      <w:tr>
        <w:trPr>
          <w:cantSplit/>
        </w:trPr>
        <w:tc>
          <w:tcPr>
            <w:tcW w:type="dxa" w:w="1128"/>
            <w:vAlign w:val="center"/>
            <w:tcMar>
              <w:top w:w="90" w:type="dxa"/>
              <w:start w:w="100" w:type="dxa"/>
              <w:bottom w:w="90" w:type="dxa"/>
              <w:end w:w="100" w:type="dxa"/>
            </w:tcMar>
          </w:tcPr>
          <w:p>
            <w:pPr>
              <w:jc w:val="left"/>
            </w:pPr>
            <w:r>
              <w:rPr>
                <w:rFonts w:ascii="Times New Roman" w:hAnsi="Times New Roman"/>
                <w:color w:val="000000"/>
                <w:sz w:val="16"/>
              </w:rPr>
              <w:t>Raw</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AEMET diaria</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Objeto municipal</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1</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n.a.</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n.a.</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n.a.</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n.a.</w:t>
            </w:r>
          </w:p>
        </w:tc>
      </w:tr>
      <w:tr>
        <w:trPr>
          <w:cantSplit/>
        </w:trPr>
        <w:tc>
          <w:tcPr>
            <w:tcW w:type="dxa" w:w="1128"/>
            <w:vAlign w:val="center"/>
            <w:tcMar>
              <w:top w:w="90" w:type="dxa"/>
              <w:start w:w="100" w:type="dxa"/>
              <w:bottom w:w="90" w:type="dxa"/>
              <w:end w:w="100" w:type="dxa"/>
            </w:tcMar>
            <w:shd w:fill="EAF2F8"/>
          </w:tcPr>
          <w:p>
            <w:pPr>
              <w:jc w:val="left"/>
            </w:pPr>
            <w:r>
              <w:rPr>
                <w:rFonts w:ascii="Times New Roman" w:hAnsi="Times New Roman"/>
                <w:color w:val="000000"/>
                <w:sz w:val="16"/>
              </w:rPr>
              <w:t>Raw</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AEMET horaria</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Objeto municipal</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1</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n.a.</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n.a.</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n.a.</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n.a.</w:t>
            </w:r>
          </w:p>
        </w:tc>
      </w:tr>
      <w:tr>
        <w:trPr>
          <w:cantSplit/>
        </w:trPr>
        <w:tc>
          <w:tcPr>
            <w:tcW w:type="dxa" w:w="1128"/>
            <w:vAlign w:val="center"/>
            <w:tcMar>
              <w:top w:w="90" w:type="dxa"/>
              <w:start w:w="100" w:type="dxa"/>
              <w:bottom w:w="90" w:type="dxa"/>
              <w:end w:w="100" w:type="dxa"/>
            </w:tcMar>
          </w:tcPr>
          <w:p>
            <w:pPr>
              <w:jc w:val="left"/>
            </w:pPr>
            <w:r>
              <w:rPr>
                <w:rFonts w:ascii="Times New Roman" w:hAnsi="Times New Roman"/>
                <w:color w:val="000000"/>
                <w:sz w:val="16"/>
              </w:rPr>
              <w:t>Interim</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SiAR meteorológico normalizado</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CSV</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150</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22</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148 con ET0</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2</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0</w:t>
            </w:r>
          </w:p>
        </w:tc>
      </w:tr>
      <w:tr>
        <w:trPr>
          <w:cantSplit/>
        </w:trPr>
        <w:tc>
          <w:tcPr>
            <w:tcW w:type="dxa" w:w="1128"/>
            <w:vAlign w:val="center"/>
            <w:tcMar>
              <w:top w:w="90" w:type="dxa"/>
              <w:start w:w="100" w:type="dxa"/>
              <w:bottom w:w="90" w:type="dxa"/>
              <w:end w:w="100" w:type="dxa"/>
            </w:tcMar>
            <w:shd w:fill="EAF2F8"/>
          </w:tcPr>
          <w:p>
            <w:pPr>
              <w:jc w:val="left"/>
            </w:pPr>
            <w:r>
              <w:rPr>
                <w:rFonts w:ascii="Times New Roman" w:hAnsi="Times New Roman"/>
                <w:color w:val="000000"/>
                <w:sz w:val="16"/>
              </w:rPr>
              <w:t>Interim</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Necesidades hídricas normalizadas</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CSV</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150</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15</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148 con necesidad neta</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2</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0</w:t>
            </w:r>
          </w:p>
        </w:tc>
      </w:tr>
      <w:tr>
        <w:trPr>
          <w:cantSplit/>
        </w:trPr>
        <w:tc>
          <w:tcPr>
            <w:tcW w:type="dxa" w:w="1128"/>
            <w:vAlign w:val="center"/>
            <w:tcMar>
              <w:top w:w="90" w:type="dxa"/>
              <w:start w:w="100" w:type="dxa"/>
              <w:bottom w:w="90" w:type="dxa"/>
              <w:end w:w="100" w:type="dxa"/>
            </w:tcMar>
          </w:tcPr>
          <w:p>
            <w:pPr>
              <w:jc w:val="left"/>
            </w:pPr>
            <w:r>
              <w:rPr>
                <w:rFonts w:ascii="Times New Roman" w:hAnsi="Times New Roman"/>
                <w:color w:val="000000"/>
                <w:sz w:val="16"/>
              </w:rPr>
              <w:t>Interim</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Predicción AEMET diaria</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CSV</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7</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22</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7</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0</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0</w:t>
            </w:r>
          </w:p>
        </w:tc>
      </w:tr>
      <w:tr>
        <w:trPr>
          <w:cantSplit/>
        </w:trPr>
        <w:tc>
          <w:tcPr>
            <w:tcW w:type="dxa" w:w="1128"/>
            <w:vAlign w:val="center"/>
            <w:tcMar>
              <w:top w:w="90" w:type="dxa"/>
              <w:start w:w="100" w:type="dxa"/>
              <w:bottom w:w="90" w:type="dxa"/>
              <w:end w:w="100" w:type="dxa"/>
            </w:tcMar>
            <w:shd w:fill="EAF2F8"/>
          </w:tcPr>
          <w:p>
            <w:pPr>
              <w:jc w:val="left"/>
            </w:pPr>
            <w:r>
              <w:rPr>
                <w:rFonts w:ascii="Times New Roman" w:hAnsi="Times New Roman"/>
                <w:color w:val="000000"/>
                <w:sz w:val="16"/>
              </w:rPr>
              <w:t>Interim</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Predicción AEMET horaria</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CSV</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48</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22</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45 sin avisos</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3</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0</w:t>
            </w:r>
          </w:p>
        </w:tc>
      </w:tr>
      <w:tr>
        <w:trPr>
          <w:cantSplit/>
        </w:trPr>
        <w:tc>
          <w:tcPr>
            <w:tcW w:type="dxa" w:w="1128"/>
            <w:vAlign w:val="center"/>
            <w:tcMar>
              <w:top w:w="90" w:type="dxa"/>
              <w:start w:w="100" w:type="dxa"/>
              <w:bottom w:w="90" w:type="dxa"/>
              <w:end w:w="100" w:type="dxa"/>
            </w:tcMar>
          </w:tcPr>
          <w:p>
            <w:pPr>
              <w:jc w:val="left"/>
            </w:pPr>
            <w:r>
              <w:rPr>
                <w:rFonts w:ascii="Times New Roman" w:hAnsi="Times New Roman"/>
                <w:color w:val="000000"/>
                <w:sz w:val="16"/>
              </w:rPr>
              <w:t>Processed</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Tabla analítica integrada</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CSV</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150</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88</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148 etiquetas</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2</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0</w:t>
            </w:r>
          </w:p>
        </w:tc>
      </w:tr>
    </w:tbl>
    <w:p>
      <w:pPr>
        <w:spacing w:after="40"/>
      </w:pPr>
    </w:p>
    <w:p>
      <w:pPr>
        <w:spacing w:after="120"/>
      </w:pPr>
      <w:r>
        <w:t xml:space="preserve">En AEMET, una fila raw representa un objeto municipal que contiene una serie anidada. La normalización lo despliega en siete fechas diarias y 48 instantes horarios; por tanto, el aumento de filas no es una duplicación. La tabla </w:t>
      </w:r>
      <w:r>
        <w:rPr>
          <w:rFonts w:ascii="Consolas" w:hAnsi="Consolas"/>
          <w:sz w:val="19"/>
        </w:rPr>
        <w:t>processed</w:t>
      </w:r>
      <w:r>
        <w:t xml:space="preserve"> conserva 150 filas y ocupa aproximadamente 133 kB. Para el modelado se utilizan 148 observaciones: 125 en desarrollo y 23 en prueba final. AEMET no se une todavía al entrenamiento porque la predicción disponible corresponde a 2026 y el ciclo histórico de SiAR corresponde a 2025.</w:t>
      </w:r>
    </w:p>
    <w:p>
      <w:pPr>
        <w:spacing w:after="120"/>
      </w:pPr>
      <w:r>
        <w:t xml:space="preserve">Estas cifras se regeneran mediante </w:t>
      </w:r>
      <w:r>
        <w:rPr>
          <w:rFonts w:ascii="Consolas" w:hAnsi="Consolas"/>
          <w:sz w:val="19"/>
        </w:rPr>
        <w:t>python -m src.analysis.build_etl_audit_4_1</w:t>
      </w:r>
      <w:r>
        <w:t xml:space="preserve"> y quedan registradas en </w:t>
      </w:r>
      <w:r>
        <w:rPr>
          <w:rFonts w:ascii="Consolas" w:hAnsi="Consolas"/>
          <w:sz w:val="19"/>
        </w:rPr>
        <w:t>docs/data_samples/etl_volume_summary_4_1.csv</w:t>
      </w:r>
      <w:r>
        <w:t>. De esta forma, la tabla de la memoria puede contrastarse con los archivos reales del proyecto.</w:t>
      </w:r>
    </w:p>
    <w:p>
      <w:pPr>
        <w:pStyle w:val="Heading3"/>
        <w:keepNext/>
      </w:pPr>
      <w:r>
        <w:rPr>
          <w:rFonts w:ascii="Times New Roman" w:hAnsi="Times New Roman"/>
          <w:color w:val="000000"/>
          <w:sz w:val="24"/>
        </w:rPr>
        <w:t>4.1.8. Controles de calidad</w:t>
      </w:r>
    </w:p>
    <w:p>
      <w:pPr>
        <w:spacing w:after="120"/>
      </w:pPr>
      <w:r>
        <w:t xml:space="preserve">Cada registro recibe </w:t>
      </w:r>
      <w:r>
        <w:rPr>
          <w:rFonts w:ascii="Consolas" w:hAnsi="Consolas"/>
          <w:sz w:val="19"/>
        </w:rPr>
        <w:t>quality_status</w:t>
      </w:r>
      <w:r>
        <w:t xml:space="preserve"> y </w:t>
      </w:r>
      <w:r>
        <w:rPr>
          <w:rFonts w:ascii="Consolas" w:hAnsi="Consolas"/>
          <w:sz w:val="19"/>
        </w:rPr>
        <w:t>quality_issues</w:t>
      </w:r>
      <w:r>
        <w:t>. Se comprueban:</w:t>
      </w:r>
    </w:p>
    <w:p>
      <w:pPr>
        <w:spacing w:after="60"/>
        <w:ind w:left="360" w:hanging="259"/>
      </w:pPr>
      <w:r>
        <w:t>• presencia de variables críticas;</w:t>
      </w:r>
    </w:p>
    <w:p>
      <w:pPr>
        <w:spacing w:after="60"/>
        <w:ind w:left="360" w:hanging="259"/>
      </w:pPr>
      <w:r>
        <w:t>• orden lógico entre temperatura mínima, media y máxima;</w:t>
      </w:r>
    </w:p>
    <w:p>
      <w:pPr>
        <w:spacing w:after="60"/>
        <w:ind w:left="360" w:hanging="259"/>
      </w:pPr>
      <w:r>
        <w:t>• humedad entre 0 % y 100 %;</w:t>
      </w:r>
    </w:p>
    <w:p>
      <w:pPr>
        <w:spacing w:after="60"/>
        <w:ind w:left="360" w:hanging="259"/>
      </w:pPr>
      <w:r>
        <w:t>• precipitación, viento, radiación y ET0 no negativos;</w:t>
      </w:r>
    </w:p>
    <w:p>
      <w:pPr>
        <w:spacing w:after="60"/>
        <w:ind w:left="360" w:hanging="259"/>
      </w:pPr>
      <w:r>
        <w:t>• probabilidad entre 0 % y 100 %;</w:t>
      </w:r>
    </w:p>
    <w:p>
      <w:pPr>
        <w:spacing w:after="60"/>
        <w:ind w:left="360" w:hanging="259"/>
      </w:pPr>
      <w:r>
        <w:t>• unicidad de las claves lógicas;</w:t>
      </w:r>
    </w:p>
    <w:p>
      <w:pPr>
        <w:spacing w:after="60"/>
        <w:ind w:left="360" w:hanging="259"/>
      </w:pPr>
      <w:r>
        <w:t>• continuidad del calendario entre la primera y la última fecha;</w:t>
      </w:r>
    </w:p>
    <w:p>
      <w:pPr>
        <w:spacing w:after="60"/>
        <w:ind w:left="360" w:hanging="259"/>
      </w:pPr>
      <w:r>
        <w:t>• trazabilidad hasta el archivo raw.</w:t>
      </w:r>
    </w:p>
    <w:p>
      <w:pPr>
        <w:spacing w:after="120"/>
      </w:pPr>
      <w:r>
        <w:t>Las 150 fechas meteorológicas y las 150 fechas de necesidades hídricas se corresponden completamente y no presentan duplicados. La diferencia máxima de ET0 entre ambas tablas es inferior a 0,005 mm y se explica por el redondeo de la web. SiAR no devuelve los días 18, 19 y 20 de julio, que quedan registrados como huecos de calendario. Además, mantiene el 21 y 22 de julio con Kc, pero sin ET0, ETc, precipitación efectiva ni necesidad neta; ambas filas quedan marcadas como aviso. En AEMET horaria se identificaron tres avisos por campos no proporcionados en los extremos del producto. Los valores ausentes no se sustituyen por cero porque cero y dato no disponible tienen significados distintos.</w:t>
      </w:r>
    </w:p>
    <w:p>
      <w:pPr>
        <w:spacing w:after="120"/>
      </w:pPr>
      <w:r>
        <w:t>El resumen obtenido fue:</w:t>
      </w:r>
    </w:p>
    <w:p>
      <w:pPr>
        <w:keepNext/>
        <w:spacing w:after="120"/>
      </w:pPr>
      <w:r>
        <w:rPr>
          <w:b/>
        </w:rPr>
        <w:t>Tabla 4.9. Resumen de los controles de calidad por tabla.</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5"/>
        <w:gridCol w:w="1805"/>
        <w:gridCol w:w="1805"/>
        <w:gridCol w:w="1805"/>
        <w:gridCol w:w="1805"/>
      </w:tblGrid>
      <w:tr>
        <w:trPr>
          <w:tblHeader w:val="true"/>
          <w:cantSplit/>
        </w:trPr>
        <w:tc>
          <w:tcPr>
            <w:tcW w:type="dxa" w:w="1805"/>
            <w:vAlign w:val="center"/>
            <w:tcMar>
              <w:top w:w="90" w:type="dxa"/>
              <w:start w:w="100" w:type="dxa"/>
              <w:bottom w:w="90" w:type="dxa"/>
              <w:end w:w="100" w:type="dxa"/>
            </w:tcMar>
            <w:shd w:fill="1F4E78"/>
          </w:tcPr>
          <w:p>
            <w:pPr>
              <w:jc w:val="left"/>
            </w:pPr>
            <w:r>
              <w:rPr>
                <w:rFonts w:ascii="Times New Roman" w:hAnsi="Times New Roman"/>
                <w:b/>
                <w:color w:val="FFFFFF"/>
                <w:sz w:val="16"/>
              </w:rPr>
              <w:t>Tabla</w:t>
            </w:r>
          </w:p>
        </w:tc>
        <w:tc>
          <w:tcPr>
            <w:tcW w:type="dxa" w:w="1805"/>
            <w:vAlign w:val="center"/>
            <w:tcMar>
              <w:top w:w="90" w:type="dxa"/>
              <w:start w:w="100" w:type="dxa"/>
              <w:bottom w:w="90" w:type="dxa"/>
              <w:end w:w="100" w:type="dxa"/>
            </w:tcMar>
            <w:shd w:fill="1F4E78"/>
          </w:tcPr>
          <w:p>
            <w:pPr>
              <w:jc w:val="center"/>
            </w:pPr>
            <w:r>
              <w:rPr>
                <w:rFonts w:ascii="Times New Roman" w:hAnsi="Times New Roman"/>
                <w:b/>
                <w:color w:val="FFFFFF"/>
                <w:sz w:val="16"/>
              </w:rPr>
              <w:t>Filas</w:t>
            </w:r>
          </w:p>
        </w:tc>
        <w:tc>
          <w:tcPr>
            <w:tcW w:type="dxa" w:w="1805"/>
            <w:vAlign w:val="center"/>
            <w:tcMar>
              <w:top w:w="90" w:type="dxa"/>
              <w:start w:w="100" w:type="dxa"/>
              <w:bottom w:w="90" w:type="dxa"/>
              <w:end w:w="100" w:type="dxa"/>
            </w:tcMar>
            <w:shd w:fill="1F4E78"/>
          </w:tcPr>
          <w:p>
            <w:pPr>
              <w:jc w:val="center"/>
            </w:pPr>
            <w:r>
              <w:rPr>
                <w:rFonts w:ascii="Times New Roman" w:hAnsi="Times New Roman"/>
                <w:b/>
                <w:color w:val="FFFFFF"/>
                <w:sz w:val="16"/>
              </w:rPr>
              <w:t>Duplicados</w:t>
            </w:r>
          </w:p>
        </w:tc>
        <w:tc>
          <w:tcPr>
            <w:tcW w:type="dxa" w:w="1805"/>
            <w:vAlign w:val="center"/>
            <w:tcMar>
              <w:top w:w="90" w:type="dxa"/>
              <w:start w:w="100" w:type="dxa"/>
              <w:bottom w:w="90" w:type="dxa"/>
              <w:end w:w="100" w:type="dxa"/>
            </w:tcMar>
            <w:shd w:fill="1F4E78"/>
          </w:tcPr>
          <w:p>
            <w:pPr>
              <w:jc w:val="center"/>
            </w:pPr>
            <w:r>
              <w:rPr>
                <w:rFonts w:ascii="Times New Roman" w:hAnsi="Times New Roman"/>
                <w:b/>
                <w:color w:val="FFFFFF"/>
                <w:sz w:val="16"/>
              </w:rPr>
              <w:t>Filas con avisos</w:t>
            </w:r>
          </w:p>
        </w:tc>
        <w:tc>
          <w:tcPr>
            <w:tcW w:type="dxa" w:w="1805"/>
            <w:vAlign w:val="center"/>
            <w:tcMar>
              <w:top w:w="90" w:type="dxa"/>
              <w:start w:w="100" w:type="dxa"/>
              <w:bottom w:w="90" w:type="dxa"/>
              <w:end w:w="100" w:type="dxa"/>
            </w:tcMar>
            <w:shd w:fill="1F4E78"/>
          </w:tcPr>
          <w:p>
            <w:pPr>
              <w:jc w:val="center"/>
            </w:pPr>
            <w:r>
              <w:rPr>
                <w:rFonts w:ascii="Times New Roman" w:hAnsi="Times New Roman"/>
                <w:b/>
                <w:color w:val="FFFFFF"/>
                <w:sz w:val="16"/>
              </w:rPr>
              <w:t>Fechas ausentes</w:t>
            </w:r>
          </w:p>
        </w:tc>
      </w:tr>
      <w:tr>
        <w:trPr>
          <w:cantSplit/>
        </w:trPr>
        <w:tc>
          <w:tcPr>
            <w:tcW w:type="dxa" w:w="1805"/>
            <w:vAlign w:val="center"/>
            <w:tcMar>
              <w:top w:w="90" w:type="dxa"/>
              <w:start w:w="100" w:type="dxa"/>
              <w:bottom w:w="90" w:type="dxa"/>
              <w:end w:w="100" w:type="dxa"/>
            </w:tcMar>
          </w:tcPr>
          <w:p>
            <w:pPr>
              <w:jc w:val="left"/>
            </w:pPr>
            <w:r>
              <w:rPr>
                <w:rFonts w:ascii="Times New Roman" w:hAnsi="Times New Roman"/>
                <w:color w:val="000000"/>
                <w:sz w:val="16"/>
              </w:rPr>
              <w:t>SiAR diaria</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150</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2</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3</w:t>
            </w:r>
          </w:p>
        </w:tc>
      </w:tr>
      <w:tr>
        <w:trPr>
          <w:cantSplit/>
        </w:trPr>
        <w:tc>
          <w:tcPr>
            <w:tcW w:type="dxa" w:w="1805"/>
            <w:vAlign w:val="center"/>
            <w:tcMar>
              <w:top w:w="90" w:type="dxa"/>
              <w:start w:w="100" w:type="dxa"/>
              <w:bottom w:w="90" w:type="dxa"/>
              <w:end w:w="100" w:type="dxa"/>
            </w:tcMar>
            <w:shd w:fill="EAF2F8"/>
          </w:tcPr>
          <w:p>
            <w:pPr>
              <w:jc w:val="left"/>
            </w:pPr>
            <w:r>
              <w:rPr>
                <w:rFonts w:ascii="Times New Roman" w:hAnsi="Times New Roman"/>
                <w:color w:val="000000"/>
                <w:sz w:val="16"/>
              </w:rPr>
              <w:t>Necesidades hídricas de pimiento</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150</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0</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2</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3</w:t>
            </w:r>
          </w:p>
        </w:tc>
      </w:tr>
      <w:tr>
        <w:trPr>
          <w:cantSplit/>
        </w:trPr>
        <w:tc>
          <w:tcPr>
            <w:tcW w:type="dxa" w:w="1805"/>
            <w:vAlign w:val="center"/>
            <w:tcMar>
              <w:top w:w="90" w:type="dxa"/>
              <w:start w:w="100" w:type="dxa"/>
              <w:bottom w:w="90" w:type="dxa"/>
              <w:end w:w="100" w:type="dxa"/>
            </w:tcMar>
          </w:tcPr>
          <w:p>
            <w:pPr>
              <w:jc w:val="left"/>
            </w:pPr>
            <w:r>
              <w:rPr>
                <w:rFonts w:ascii="Times New Roman" w:hAnsi="Times New Roman"/>
                <w:color w:val="000000"/>
                <w:sz w:val="16"/>
              </w:rPr>
              <w:t>AEMET diaria</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7</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w:t>
            </w:r>
          </w:p>
        </w:tc>
      </w:tr>
      <w:tr>
        <w:trPr>
          <w:cantSplit/>
        </w:trPr>
        <w:tc>
          <w:tcPr>
            <w:tcW w:type="dxa" w:w="1805"/>
            <w:vAlign w:val="center"/>
            <w:tcMar>
              <w:top w:w="90" w:type="dxa"/>
              <w:start w:w="100" w:type="dxa"/>
              <w:bottom w:w="90" w:type="dxa"/>
              <w:end w:w="100" w:type="dxa"/>
            </w:tcMar>
            <w:shd w:fill="EAF2F8"/>
          </w:tcPr>
          <w:p>
            <w:pPr>
              <w:jc w:val="left"/>
            </w:pPr>
            <w:r>
              <w:rPr>
                <w:rFonts w:ascii="Times New Roman" w:hAnsi="Times New Roman"/>
                <w:color w:val="000000"/>
                <w:sz w:val="16"/>
              </w:rPr>
              <w:t>AEMET horaria</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48</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0</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3</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n.a.</w:t>
            </w:r>
          </w:p>
        </w:tc>
      </w:tr>
    </w:tbl>
    <w:p>
      <w:pPr>
        <w:spacing w:after="40"/>
      </w:pPr>
    </w:p>
    <w:p>
      <w:pPr>
        <w:pStyle w:val="Heading3"/>
        <w:keepNext/>
      </w:pPr>
      <w:r>
        <w:rPr>
          <w:rFonts w:ascii="Times New Roman" w:hAnsi="Times New Roman"/>
          <w:color w:val="000000"/>
          <w:sz w:val="24"/>
        </w:rPr>
        <w:t>4.1.9. Almacenamiento y escalabilidad</w:t>
      </w:r>
    </w:p>
    <w:p>
      <w:pPr>
        <w:spacing w:after="120"/>
      </w:pPr>
      <w:r>
        <w:t>Los CSV de la capa interim facilitan la inspección inicial y el intercambio de muestras. Para una extracción nacional o un histórico extenso se propone migrar las tablas a Parquet, particionado por fuente, estación o municipio y año-mes. Parquet reduce espacio, conserva tipos y permite leer solo las columnas y particiones necesarias.</w:t>
      </w:r>
    </w:p>
    <w:p>
      <w:pPr>
        <w:spacing w:after="120"/>
      </w:pPr>
      <w:r>
        <w:t>La futura base MySQL almacenará catálogos, recomendaciones y metadatos que deban consultarse transaccionalmente. Los históricos voluminosos y artefactos de modelo podrán permanecer en almacenamiento de objetos. Esta separación evita utilizar la base transaccional como repositorio de archivos y mantiene una arquitectura compatible con ejecución local y despliegue cloud.</w:t>
      </w:r>
    </w:p>
    <w:p>
      <w:pPr>
        <w:pStyle w:val="Heading3"/>
        <w:keepNext/>
      </w:pPr>
      <w:r>
        <w:rPr>
          <w:rFonts w:ascii="Times New Roman" w:hAnsi="Times New Roman"/>
          <w:color w:val="000000"/>
          <w:sz w:val="24"/>
        </w:rPr>
        <w:t>4.1.10. Reproducibilidad y seguridad</w:t>
      </w:r>
    </w:p>
    <w:p>
      <w:pPr>
        <w:spacing w:after="120"/>
      </w:pPr>
      <w:r>
        <w:t>El proceso se reproduce mediante:</w:t>
      </w:r>
    </w:p>
    <w:p>
      <w:pPr>
        <w:spacing w:before="80" w:after="140"/>
        <w:ind w:left="360" w:right="216"/>
        <w:jc w:val="left"/>
        <w:shd w:fill="F2F2F2"/>
      </w:pPr>
      <w:r>
        <w:rPr>
          <w:rFonts w:ascii="Consolas" w:hAnsi="Consolas"/>
          <w:sz w:val="17"/>
        </w:rPr>
        <w:t>python -m src.data.extract_pilot</w:t>
        <w:br/>
        <w:t>python -m src.data.extract_siar_history --start-date 2025-05-01 --end-date 2025-09-30</w:t>
        <w:br/>
        <w:t>python -m src.data.transform_interim</w:t>
        <w:br/>
        <w:t>python -m src.analysis.build_etl_audit_4_1</w:t>
        <w:br/>
        <w:t>python -m src.visualization.build_etl_visual</w:t>
      </w:r>
    </w:p>
    <w:p>
      <w:pPr>
        <w:spacing w:after="120"/>
      </w:pPr>
      <w:r>
        <w:t>Las pruebas automatizadas verifican construcción de consultas, fechas, descarga en dos pasos, ocultación de credenciales, validación de URLs, estructura de los archivos raw, normalización de códigos, cálculo de horizontes y aplanado de viento y rachas.</w:t>
      </w:r>
    </w:p>
    <w:p>
      <w:pPr>
        <w:spacing w:after="120"/>
      </w:pPr>
      <w:r>
        <w:t xml:space="preserve">Las credenciales se guardan únicamente en </w:t>
      </w:r>
      <w:r>
        <w:rPr>
          <w:rFonts w:ascii="Consolas" w:hAnsi="Consolas"/>
          <w:sz w:val="19"/>
        </w:rPr>
        <w:t>.env</w:t>
      </w:r>
      <w:r>
        <w:t xml:space="preserve">, excluido de Git. El archivo </w:t>
      </w:r>
      <w:r>
        <w:rPr>
          <w:rFonts w:ascii="Consolas" w:hAnsi="Consolas"/>
          <w:sz w:val="19"/>
        </w:rPr>
        <w:t>.env.example</w:t>
      </w:r>
      <w:r>
        <w:t xml:space="preserve"> documenta los nombres de las variables sin incluir valores reales.</w:t>
      </w:r>
    </w:p>
    <w:p>
      <w:pPr>
        <w:pStyle w:val="Heading3"/>
        <w:keepNext/>
      </w:pPr>
      <w:r>
        <w:rPr>
          <w:rFonts w:ascii="Times New Roman" w:hAnsi="Times New Roman"/>
          <w:color w:val="000000"/>
          <w:sz w:val="24"/>
        </w:rPr>
        <w:t>4.1.11. Limitaciones</w:t>
      </w:r>
    </w:p>
    <w:p>
      <w:pPr>
        <w:spacing w:after="120"/>
      </w:pPr>
      <w:r>
        <w:t xml:space="preserve">El ciclo completo permite validar la integración, pero un único año y una sola estación no son suficientes para entrenar un modelo generalizable. Los resultados de los apartados 4.3 y 5.3 deben leerse con esta restricción, y la ampliación a varias campañas y a otras estaciones de Almería se plantea como primera línea de mejora en el apartado 6.3. La coherencia de unidades de las variables agronómicas quedó confirmada en el apartado 5.3.1, donde el cálculo del motor reproduce la necesidad publicada por SiAR con una diferencia máxima de 0,008 mm. SiAR y AEMET representan el entorno de sus estaciones o municipios, por lo que la recomendación debe declarar esta limitación e incorporar datos locales de parcela cuando estén disponibles.</w:t>
      </w:r>
    </w:p>
    <w:p>
      <w:pPr>
        <w:pStyle w:val="Heading2"/>
      </w:pPr>
      <w:r>
        <w:t>4.2. Análisis exploratorio y preparación de variables</w:t>
      </w:r>
    </w:p>
    <w:p>
      <w:pPr>
        <w:spacing w:after="120"/>
        <w:jc w:val="both"/>
      </w:pPr>
      <w:r>
        <w:rPr>
          <w:rFonts w:ascii="Times New Roman" w:hAnsi="Times New Roman"/>
          <w:color w:val="000000"/>
          <w:sz w:val="24"/>
        </w:rPr>
        <w:t>El análisis exploratorio conecta las tablas normalizadas del apartado 4.1 con el desarrollo del modelo del apartado 4.3. Su objetivo es comprobar la cobertura y coherencia de los datos, describir el comportamiento de las variables, preparar una tabla analítica diaria y definir qué información puede utilizarse en una predicción real sin introducir fuga de información. El proceso se ha implementado de forma reproducible en src/analysis/build_eda_4_2.py, apoyándose en las transformaciones de src/features/feature_engineering.py.</w:t>
      </w:r>
    </w:p>
    <w:p>
      <w:pPr>
        <w:pStyle w:val="Heading3"/>
        <w:keepNext/>
      </w:pPr>
      <w:r>
        <w:rPr>
          <w:rFonts w:ascii="Times New Roman" w:hAnsi="Times New Roman"/>
          <w:color w:val="000000"/>
          <w:sz w:val="24"/>
        </w:rPr>
        <w:t>4.2.1. Alcance y unidad de análisis</w:t>
      </w:r>
    </w:p>
    <w:p>
      <w:pPr>
        <w:spacing w:after="120"/>
        <w:jc w:val="both"/>
      </w:pPr>
      <w:r>
        <w:rPr>
          <w:rFonts w:ascii="Times New Roman" w:hAnsi="Times New Roman"/>
          <w:color w:val="000000"/>
          <w:sz w:val="24"/>
        </w:rPr>
        <w:t>El piloto utiliza el cultivo de pimiento y la estación SiAR AL01 La Mojonera, en Almería, entre el 1 de mayo y el 30 de septiembre de 2025. La unidad de análisis es una combinación de fecha, estación y cultivo. Las tablas meteorológica y agronómica se unen por station_code y observed_date; el cultivo se conserva como parte de la clave analítica. El resultado contiene 150 registros y 88 columnas entre variables de origen, controles de calidad, atributos derivados, retardos y ventanas temporales.</w:t>
      </w:r>
    </w:p>
    <w:p>
      <w:pPr>
        <w:keepNext/>
        <w:spacing w:after="120"/>
      </w:pPr>
      <w:r>
        <w:rPr>
          <w:b/>
        </w:rPr>
        <w:t>Tabla 4.10. Cobertura y calidad del conjunto de datos del piloto.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92"/>
        <w:gridCol w:w="4392"/>
      </w:tblGrid>
      <w:tr>
        <w:trPr>
          <w:tblHeader w:val="true"/>
        </w:trPr>
        <w:tc>
          <w:tcPr>
            <w:tcW w:type="dxa" w:w="5112"/>
            <w:vAlign w:val="center"/>
            <w:tcMar>
              <w:top w:w="90" w:type="dxa"/>
              <w:start w:w="100" w:type="dxa"/>
              <w:bottom w:w="90" w:type="dxa"/>
              <w:end w:w="100" w:type="dxa"/>
            </w:tcMar>
            <w:shd w:fill="1F4E78"/>
          </w:tcPr>
          <w:p>
            <w:pPr>
              <w:jc w:val="center"/>
            </w:pPr>
            <w:r>
              <w:rPr>
                <w:rFonts w:ascii="Times New Roman" w:hAnsi="Times New Roman"/>
                <w:b/>
                <w:color w:val="FFFFFF"/>
                <w:sz w:val="16"/>
              </w:rPr>
              <w:t>Indicador</w:t>
            </w:r>
          </w:p>
        </w:tc>
        <w:tc>
          <w:tcPr>
            <w:tcW w:type="dxa" w:w="3671"/>
            <w:vAlign w:val="center"/>
            <w:tcMar>
              <w:top w:w="90" w:type="dxa"/>
              <w:start w:w="100" w:type="dxa"/>
              <w:bottom w:w="90" w:type="dxa"/>
              <w:end w:w="100" w:type="dxa"/>
            </w:tcMar>
            <w:shd w:fill="1F4E78"/>
          </w:tcPr>
          <w:p>
            <w:pPr>
              <w:jc w:val="center"/>
            </w:pPr>
            <w:r>
              <w:rPr>
                <w:rFonts w:ascii="Times New Roman" w:hAnsi="Times New Roman"/>
                <w:b/>
                <w:color w:val="FFFFFF"/>
                <w:sz w:val="16"/>
              </w:rPr>
              <w:t>Resultado</w:t>
            </w:r>
          </w:p>
        </w:tc>
      </w:tr>
      <w:tr>
        <w:trPr>
          <w:cantSplit/>
        </w:trPr>
        <w:tc>
          <w:tcPr>
            <w:tcW w:type="dxa" w:w="5112"/>
            <w:vAlign w:val="center"/>
            <w:tcMar>
              <w:top w:w="90" w:type="dxa"/>
              <w:start w:w="100" w:type="dxa"/>
              <w:bottom w:w="90" w:type="dxa"/>
              <w:end w:w="100" w:type="dxa"/>
            </w:tcMar>
          </w:tcPr>
          <w:p>
            <w:pPr>
              <w:jc w:val="left"/>
            </w:pPr>
            <w:r>
              <w:rPr>
                <w:rFonts w:ascii="Times New Roman" w:hAnsi="Times New Roman"/>
                <w:color w:val="000000"/>
                <w:sz w:val="16"/>
              </w:rPr>
              <w:t>Periodo esperado</w:t>
            </w:r>
          </w:p>
        </w:tc>
        <w:tc>
          <w:tcPr>
            <w:tcW w:type="dxa" w:w="3671"/>
            <w:vAlign w:val="center"/>
            <w:tcMar>
              <w:top w:w="90" w:type="dxa"/>
              <w:start w:w="100" w:type="dxa"/>
              <w:bottom w:w="90" w:type="dxa"/>
              <w:end w:w="100" w:type="dxa"/>
            </w:tcMar>
          </w:tcPr>
          <w:p>
            <w:pPr>
              <w:jc w:val="center"/>
            </w:pPr>
            <w:r>
              <w:rPr>
                <w:rFonts w:ascii="Times New Roman" w:hAnsi="Times New Roman"/>
                <w:color w:val="000000"/>
                <w:sz w:val="16"/>
              </w:rPr>
              <w:t>01/05/2025–30/09/2025</w:t>
            </w:r>
          </w:p>
        </w:tc>
      </w:tr>
      <w:tr>
        <w:trPr>
          <w:cantSplit/>
        </w:trPr>
        <w:tc>
          <w:tcPr>
            <w:tcW w:type="dxa" w:w="5112"/>
            <w:vAlign w:val="center"/>
            <w:tcMar>
              <w:top w:w="90" w:type="dxa"/>
              <w:start w:w="100" w:type="dxa"/>
              <w:bottom w:w="90" w:type="dxa"/>
              <w:end w:w="100" w:type="dxa"/>
            </w:tcMar>
            <w:shd w:fill="EAF2F8"/>
          </w:tcPr>
          <w:p>
            <w:pPr>
              <w:jc w:val="left"/>
            </w:pPr>
            <w:r>
              <w:rPr>
                <w:rFonts w:ascii="Times New Roman" w:hAnsi="Times New Roman"/>
                <w:color w:val="000000"/>
                <w:sz w:val="16"/>
              </w:rPr>
              <w:t>Días naturales esperados</w:t>
            </w:r>
          </w:p>
        </w:tc>
        <w:tc>
          <w:tcPr>
            <w:tcW w:type="dxa" w:w="3671"/>
            <w:vAlign w:val="center"/>
            <w:tcMar>
              <w:top w:w="90" w:type="dxa"/>
              <w:start w:w="100" w:type="dxa"/>
              <w:bottom w:w="90" w:type="dxa"/>
              <w:end w:w="100" w:type="dxa"/>
            </w:tcMar>
            <w:shd w:fill="EAF2F8"/>
          </w:tcPr>
          <w:p>
            <w:pPr>
              <w:jc w:val="center"/>
            </w:pPr>
            <w:r>
              <w:rPr>
                <w:rFonts w:ascii="Times New Roman" w:hAnsi="Times New Roman"/>
                <w:color w:val="000000"/>
                <w:sz w:val="16"/>
              </w:rPr>
              <w:t>153</w:t>
            </w:r>
          </w:p>
        </w:tc>
      </w:tr>
      <w:tr>
        <w:trPr>
          <w:cantSplit/>
        </w:trPr>
        <w:tc>
          <w:tcPr>
            <w:tcW w:type="dxa" w:w="5112"/>
            <w:vAlign w:val="center"/>
            <w:tcMar>
              <w:top w:w="90" w:type="dxa"/>
              <w:start w:w="100" w:type="dxa"/>
              <w:bottom w:w="90" w:type="dxa"/>
              <w:end w:w="100" w:type="dxa"/>
            </w:tcMar>
          </w:tcPr>
          <w:p>
            <w:pPr>
              <w:jc w:val="left"/>
            </w:pPr>
            <w:r>
              <w:rPr>
                <w:rFonts w:ascii="Times New Roman" w:hAnsi="Times New Roman"/>
                <w:color w:val="000000"/>
                <w:sz w:val="16"/>
              </w:rPr>
              <w:t>Días observados</w:t>
            </w:r>
          </w:p>
        </w:tc>
        <w:tc>
          <w:tcPr>
            <w:tcW w:type="dxa" w:w="3671"/>
            <w:vAlign w:val="center"/>
            <w:tcMar>
              <w:top w:w="90" w:type="dxa"/>
              <w:start w:w="100" w:type="dxa"/>
              <w:bottom w:w="90" w:type="dxa"/>
              <w:end w:w="100" w:type="dxa"/>
            </w:tcMar>
          </w:tcPr>
          <w:p>
            <w:pPr>
              <w:jc w:val="center"/>
            </w:pPr>
            <w:r>
              <w:rPr>
                <w:rFonts w:ascii="Times New Roman" w:hAnsi="Times New Roman"/>
                <w:color w:val="000000"/>
                <w:sz w:val="16"/>
              </w:rPr>
              <w:t>150</w:t>
            </w:r>
          </w:p>
        </w:tc>
      </w:tr>
      <w:tr>
        <w:trPr>
          <w:cantSplit/>
        </w:trPr>
        <w:tc>
          <w:tcPr>
            <w:tcW w:type="dxa" w:w="5112"/>
            <w:vAlign w:val="center"/>
            <w:tcMar>
              <w:top w:w="90" w:type="dxa"/>
              <w:start w:w="100" w:type="dxa"/>
              <w:bottom w:w="90" w:type="dxa"/>
              <w:end w:w="100" w:type="dxa"/>
            </w:tcMar>
            <w:shd w:fill="EAF2F8"/>
          </w:tcPr>
          <w:p>
            <w:pPr>
              <w:jc w:val="left"/>
            </w:pPr>
            <w:r>
              <w:rPr>
                <w:rFonts w:ascii="Times New Roman" w:hAnsi="Times New Roman"/>
                <w:color w:val="000000"/>
                <w:sz w:val="16"/>
              </w:rPr>
              <w:t>Fechas ausentes</w:t>
            </w:r>
          </w:p>
        </w:tc>
        <w:tc>
          <w:tcPr>
            <w:tcW w:type="dxa" w:w="3671"/>
            <w:vAlign w:val="center"/>
            <w:tcMar>
              <w:top w:w="90" w:type="dxa"/>
              <w:start w:w="100" w:type="dxa"/>
              <w:bottom w:w="90" w:type="dxa"/>
              <w:end w:w="100" w:type="dxa"/>
            </w:tcMar>
            <w:shd w:fill="EAF2F8"/>
          </w:tcPr>
          <w:p>
            <w:pPr>
              <w:jc w:val="center"/>
            </w:pPr>
            <w:r>
              <w:rPr>
                <w:rFonts w:ascii="Times New Roman" w:hAnsi="Times New Roman"/>
                <w:color w:val="000000"/>
                <w:sz w:val="16"/>
              </w:rPr>
              <w:t>18, 19 y 20 de julio de 2025</w:t>
            </w:r>
          </w:p>
        </w:tc>
      </w:tr>
      <w:tr>
        <w:trPr>
          <w:cantSplit/>
        </w:trPr>
        <w:tc>
          <w:tcPr>
            <w:tcW w:type="dxa" w:w="5112"/>
            <w:vAlign w:val="center"/>
            <w:tcMar>
              <w:top w:w="90" w:type="dxa"/>
              <w:start w:w="100" w:type="dxa"/>
              <w:bottom w:w="90" w:type="dxa"/>
              <w:end w:w="100" w:type="dxa"/>
            </w:tcMar>
          </w:tcPr>
          <w:p>
            <w:pPr>
              <w:jc w:val="left"/>
            </w:pPr>
            <w:r>
              <w:rPr>
                <w:rFonts w:ascii="Times New Roman" w:hAnsi="Times New Roman"/>
                <w:color w:val="000000"/>
                <w:sz w:val="16"/>
              </w:rPr>
              <w:t>Claves duplicadas</w:t>
            </w:r>
          </w:p>
        </w:tc>
        <w:tc>
          <w:tcPr>
            <w:tcW w:type="dxa" w:w="3671"/>
            <w:vAlign w:val="center"/>
            <w:tcMar>
              <w:top w:w="90" w:type="dxa"/>
              <w:start w:w="100" w:type="dxa"/>
              <w:bottom w:w="90" w:type="dxa"/>
              <w:end w:w="100" w:type="dxa"/>
            </w:tcMar>
          </w:tcPr>
          <w:p>
            <w:pPr>
              <w:jc w:val="center"/>
            </w:pPr>
            <w:r>
              <w:rPr>
                <w:rFonts w:ascii="Times New Roman" w:hAnsi="Times New Roman"/>
                <w:color w:val="000000"/>
                <w:sz w:val="16"/>
              </w:rPr>
              <w:t>0</w:t>
            </w:r>
          </w:p>
        </w:tc>
      </w:tr>
      <w:tr>
        <w:trPr>
          <w:cantSplit/>
        </w:trPr>
        <w:tc>
          <w:tcPr>
            <w:tcW w:type="dxa" w:w="5112"/>
            <w:vAlign w:val="center"/>
            <w:tcMar>
              <w:top w:w="90" w:type="dxa"/>
              <w:start w:w="100" w:type="dxa"/>
              <w:bottom w:w="90" w:type="dxa"/>
              <w:end w:w="100" w:type="dxa"/>
            </w:tcMar>
            <w:shd w:fill="EAF2F8"/>
          </w:tcPr>
          <w:p>
            <w:pPr>
              <w:jc w:val="left"/>
            </w:pPr>
            <w:r>
              <w:rPr>
                <w:rFonts w:ascii="Times New Roman" w:hAnsi="Times New Roman"/>
                <w:color w:val="000000"/>
                <w:sz w:val="16"/>
              </w:rPr>
              <w:t>Filas PASS / WARN</w:t>
            </w:r>
          </w:p>
        </w:tc>
        <w:tc>
          <w:tcPr>
            <w:tcW w:type="dxa" w:w="3671"/>
            <w:vAlign w:val="center"/>
            <w:tcMar>
              <w:top w:w="90" w:type="dxa"/>
              <w:start w:w="100" w:type="dxa"/>
              <w:bottom w:w="90" w:type="dxa"/>
              <w:end w:w="100" w:type="dxa"/>
            </w:tcMar>
            <w:shd w:fill="EAF2F8"/>
          </w:tcPr>
          <w:p>
            <w:pPr>
              <w:jc w:val="center"/>
            </w:pPr>
            <w:r>
              <w:rPr>
                <w:rFonts w:ascii="Times New Roman" w:hAnsi="Times New Roman"/>
                <w:color w:val="000000"/>
                <w:sz w:val="16"/>
              </w:rPr>
              <w:t>148 / 2</w:t>
            </w:r>
          </w:p>
        </w:tc>
      </w:tr>
      <w:tr>
        <w:trPr>
          <w:cantSplit/>
        </w:trPr>
        <w:tc>
          <w:tcPr>
            <w:tcW w:type="dxa" w:w="5112"/>
            <w:vAlign w:val="center"/>
            <w:tcMar>
              <w:top w:w="90" w:type="dxa"/>
              <w:start w:w="100" w:type="dxa"/>
              <w:bottom w:w="90" w:type="dxa"/>
              <w:end w:w="100" w:type="dxa"/>
            </w:tcMar>
          </w:tcPr>
          <w:p>
            <w:pPr>
              <w:jc w:val="left"/>
            </w:pPr>
            <w:r>
              <w:rPr>
                <w:rFonts w:ascii="Times New Roman" w:hAnsi="Times New Roman"/>
                <w:color w:val="000000"/>
                <w:sz w:val="16"/>
              </w:rPr>
              <w:t>Valores válidos de la variable objetivo</w:t>
            </w:r>
          </w:p>
        </w:tc>
        <w:tc>
          <w:tcPr>
            <w:tcW w:type="dxa" w:w="3671"/>
            <w:vAlign w:val="center"/>
            <w:tcMar>
              <w:top w:w="90" w:type="dxa"/>
              <w:start w:w="100" w:type="dxa"/>
              <w:bottom w:w="90" w:type="dxa"/>
              <w:end w:w="100" w:type="dxa"/>
            </w:tcMar>
          </w:tcPr>
          <w:p>
            <w:pPr>
              <w:jc w:val="center"/>
            </w:pPr>
            <w:r>
              <w:rPr>
                <w:rFonts w:ascii="Times New Roman" w:hAnsi="Times New Roman"/>
                <w:color w:val="000000"/>
                <w:sz w:val="16"/>
              </w:rPr>
              <w:t>148</w:t>
            </w:r>
          </w:p>
        </w:tc>
      </w:tr>
    </w:tbl>
    <w:p>
      <w:pPr>
        <w:spacing w:after="40"/>
      </w:pPr>
    </w:p>
    <w:p>
      <w:pPr>
        <w:spacing w:after="120"/>
        <w:jc w:val="both"/>
      </w:pPr>
      <w:r>
        <w:rPr>
          <w:rFonts w:ascii="Times New Roman" w:hAnsi="Times New Roman"/>
          <w:color w:val="000000"/>
          <w:sz w:val="24"/>
        </w:rPr>
        <w:t>Los tres días ausentes se conservan como huecos de calendario. No se rellenan automáticamente porque una interpolación podría crear condiciones meteorológicas y necesidades de riego que no fueron observadas. El cálculo de retardos reindexa cada serie a frecuencia diaria antes de aplicar el desplazamiento, por lo que una observación separada por un hueco no se trata como si perteneciera al día inmediatamente anterior. Las dos filas WARN presentan ausencia de ET0 y de las magnitudes derivadas; se mantienen para trazabilidad, pero deberán excluirse o tratarse dentro de cada partición de entrenamiento.</w:t>
      </w:r>
    </w:p>
    <w:p>
      <w:pPr>
        <w:keepLines/>
        <w:spacing w:after="60"/>
        <w:jc w:val="center"/>
      </w:pPr>
      <w:r>
        <w:drawing>
          <wp:inline xmlns:wp="http://schemas.openxmlformats.org/drawingml/2006/wordprocessingDrawing" xmlns:a="http://schemas.openxmlformats.org/drawingml/2006/main" xmlns:pic="http://schemas.openxmlformats.org/drawingml/2006/picture">
            <wp:extent cx="5532120" cy="3508507"/>
            <wp:docPr id="2" name="Picture 2"/>
            <wp:cNvGraphicFramePr>
              <a:graphicFrameLocks noChangeAspect="1"/>
            </wp:cNvGraphicFramePr>
            <a:graphic>
              <a:graphicData uri="http://schemas.openxmlformats.org/drawingml/2006/picture">
                <pic:pic>
                  <pic:nvPicPr>
                    <pic:cNvPr id="0" name="image.png"/>
                    <pic:cNvPicPr/>
                  </pic:nvPicPr>
                  <pic:blipFill>
                    <a:blip ns1:embed="rId8"/>
                    <a:stretch>
                      <a:fillRect/>
                    </a:stretch>
                  </pic:blipFill>
                  <pic:spPr>
                    <a:xfrm>
                      <a:off x="0" y="0"/>
                      <a:ext cx="5532120" cy="3508507"/>
                    </a:xfrm>
                    <a:prstGeom prst="rect"/>
                  </pic:spPr>
                </pic:pic>
              </a:graphicData>
            </a:graphic>
          </wp:inline>
        </w:drawing>
      </w:r>
    </w:p>
    <w:p>
      <w:pPr>
        <w:keepNext w:val="0"/>
        <w:spacing w:after="160"/>
        <w:jc w:val="center"/>
      </w:pPr>
      <w:r>
        <w:rPr>
          <w:rFonts w:ascii="Times New Roman" w:hAnsi="Times New Roman"/>
          <w:i/>
          <w:color w:val="444444"/>
          <w:sz w:val="20"/>
        </w:rPr>
        <w:t>Figura 4.2. Valores ausentes y continuidad del calendario en la tabla analítica del piloto. Fuente: elaboración propia a partir de SiAR.</w:t>
      </w:r>
    </w:p>
    <w:p>
      <w:pPr>
        <w:spacing w:after="120"/>
        <w:jc w:val="both"/>
      </w:pPr>
      <w:r>
        <w:rPr>
          <w:rFonts w:ascii="Times New Roman" w:hAnsi="Times New Roman"/>
          <w:color w:val="000000"/>
          <w:sz w:val="24"/>
        </w:rPr>
        <w:t>Los controles de plausibilidad no detectaron humedades fuera del intervalo 0–100 %, valores negativos en ET0, precipitación o necesidad neta, ni incumplimientos del orden temperatura mínima ≤ media ≤ máxima. Esto no demuestra por sí solo la validez agronómica de cada medición, pero permite descartar errores básicos de rango y signo antes del modelado.</w:t>
      </w:r>
    </w:p>
    <w:p>
      <w:pPr>
        <w:pStyle w:val="Heading3"/>
        <w:keepNext/>
      </w:pPr>
      <w:r>
        <w:rPr>
          <w:rFonts w:ascii="Times New Roman" w:hAnsi="Times New Roman"/>
          <w:color w:val="000000"/>
          <w:sz w:val="24"/>
        </w:rPr>
        <w:t>4.2.2. Análisis descriptivo y temporal</w:t>
      </w:r>
    </w:p>
    <w:p>
      <w:pPr>
        <w:spacing w:after="120"/>
        <w:jc w:val="both"/>
      </w:pPr>
      <w:r>
        <w:rPr>
          <w:rFonts w:ascii="Times New Roman" w:hAnsi="Times New Roman"/>
          <w:color w:val="000000"/>
          <w:sz w:val="24"/>
        </w:rPr>
        <w:t>La necesidad neta de riego diaria presenta 148 observaciones válidas, una media de 3,59 mm/día, mediana de 3,94 mm/día, desviación típica de 1,67 mm/día y valores entre 0,00 y 7,07 mm/día. La suma de la referencia SiAR durante los días disponibles asciende a 531,05 mm. La ET0 media es 5,15 mm/día y el coeficiente de cultivo medio es 0,68.</w:t>
      </w:r>
    </w:p>
    <w:p>
      <w:pPr>
        <w:keepNext/>
        <w:spacing w:after="120"/>
      </w:pPr>
      <w:r>
        <w:rPr>
          <w:b/>
        </w:rPr>
        <w:t>Tabla 4.11. Estadísticos descriptivos de las variables principales.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6"/>
        <w:gridCol w:w="1416"/>
        <w:gridCol w:w="1416"/>
        <w:gridCol w:w="1416"/>
        <w:gridCol w:w="1416"/>
        <w:gridCol w:w="1416"/>
      </w:tblGrid>
      <w:tr>
        <w:trPr>
          <w:tblHeader w:val="true"/>
        </w:trPr>
        <w:tc>
          <w:tcPr>
            <w:tcW w:type="dxa" w:w="3096"/>
            <w:vAlign w:val="center"/>
            <w:tcMar>
              <w:top w:w="90" w:type="dxa"/>
              <w:start w:w="100" w:type="dxa"/>
              <w:bottom w:w="90" w:type="dxa"/>
              <w:end w:w="100" w:type="dxa"/>
            </w:tcMar>
            <w:shd w:fill="1F4E78"/>
          </w:tcPr>
          <w:p>
            <w:pPr>
              <w:jc w:val="center"/>
            </w:pPr>
            <w:r>
              <w:rPr>
                <w:rFonts w:ascii="Times New Roman" w:hAnsi="Times New Roman"/>
                <w:b/>
                <w:color w:val="FFFFFF"/>
                <w:sz w:val="16"/>
              </w:rPr>
              <w:t>Variable</w:t>
            </w:r>
          </w:p>
        </w:tc>
        <w:tc>
          <w:tcPr>
            <w:tcW w:type="dxa" w:w="1007"/>
            <w:vAlign w:val="center"/>
            <w:tcMar>
              <w:top w:w="90" w:type="dxa"/>
              <w:start w:w="100" w:type="dxa"/>
              <w:bottom w:w="90" w:type="dxa"/>
              <w:end w:w="100" w:type="dxa"/>
            </w:tcMar>
            <w:shd w:fill="1F4E78"/>
          </w:tcPr>
          <w:p>
            <w:pPr>
              <w:jc w:val="center"/>
            </w:pPr>
            <w:r>
              <w:rPr>
                <w:rFonts w:ascii="Times New Roman" w:hAnsi="Times New Roman"/>
                <w:b/>
                <w:color w:val="FFFFFF"/>
                <w:sz w:val="16"/>
              </w:rPr>
              <w:t>N válido</w:t>
            </w:r>
          </w:p>
        </w:tc>
        <w:tc>
          <w:tcPr>
            <w:tcW w:type="dxa" w:w="1080"/>
            <w:vAlign w:val="center"/>
            <w:tcMar>
              <w:top w:w="90" w:type="dxa"/>
              <w:start w:w="100" w:type="dxa"/>
              <w:bottom w:w="90" w:type="dxa"/>
              <w:end w:w="100" w:type="dxa"/>
            </w:tcMar>
            <w:shd w:fill="1F4E78"/>
          </w:tcPr>
          <w:p>
            <w:pPr>
              <w:jc w:val="center"/>
            </w:pPr>
            <w:r>
              <w:rPr>
                <w:rFonts w:ascii="Times New Roman" w:hAnsi="Times New Roman"/>
                <w:b/>
                <w:color w:val="FFFFFF"/>
                <w:sz w:val="16"/>
              </w:rPr>
              <w:t>Media</w:t>
            </w:r>
          </w:p>
        </w:tc>
        <w:tc>
          <w:tcPr>
            <w:tcW w:type="dxa" w:w="1152"/>
            <w:vAlign w:val="center"/>
            <w:tcMar>
              <w:top w:w="90" w:type="dxa"/>
              <w:start w:w="100" w:type="dxa"/>
              <w:bottom w:w="90" w:type="dxa"/>
              <w:end w:w="100" w:type="dxa"/>
            </w:tcMar>
            <w:shd w:fill="1F4E78"/>
          </w:tcPr>
          <w:p>
            <w:pPr>
              <w:jc w:val="center"/>
            </w:pPr>
            <w:r>
              <w:rPr>
                <w:rFonts w:ascii="Times New Roman" w:hAnsi="Times New Roman"/>
                <w:b/>
                <w:color w:val="FFFFFF"/>
                <w:sz w:val="16"/>
              </w:rPr>
              <w:t>Mediana</w:t>
            </w:r>
          </w:p>
        </w:tc>
        <w:tc>
          <w:tcPr>
            <w:tcW w:type="dxa" w:w="1080"/>
            <w:vAlign w:val="center"/>
            <w:tcMar>
              <w:top w:w="90" w:type="dxa"/>
              <w:start w:w="100" w:type="dxa"/>
              <w:bottom w:w="90" w:type="dxa"/>
              <w:end w:w="100" w:type="dxa"/>
            </w:tcMar>
            <w:shd w:fill="1F4E78"/>
          </w:tcPr>
          <w:p>
            <w:pPr>
              <w:jc w:val="center"/>
            </w:pPr>
            <w:r>
              <w:rPr>
                <w:rFonts w:ascii="Times New Roman" w:hAnsi="Times New Roman"/>
                <w:b/>
                <w:color w:val="FFFFFF"/>
                <w:sz w:val="16"/>
              </w:rPr>
              <w:t>Mínimo</w:t>
            </w:r>
          </w:p>
        </w:tc>
        <w:tc>
          <w:tcPr>
            <w:tcW w:type="dxa" w:w="1080"/>
            <w:vAlign w:val="center"/>
            <w:tcMar>
              <w:top w:w="90" w:type="dxa"/>
              <w:start w:w="100" w:type="dxa"/>
              <w:bottom w:w="90" w:type="dxa"/>
              <w:end w:w="100" w:type="dxa"/>
            </w:tcMar>
            <w:shd w:fill="1F4E78"/>
          </w:tcPr>
          <w:p>
            <w:pPr>
              <w:jc w:val="center"/>
            </w:pPr>
            <w:r>
              <w:rPr>
                <w:rFonts w:ascii="Times New Roman" w:hAnsi="Times New Roman"/>
                <w:b/>
                <w:color w:val="FFFFFF"/>
                <w:sz w:val="16"/>
              </w:rPr>
              <w:t>Máximo</w:t>
            </w:r>
          </w:p>
        </w:tc>
      </w:tr>
      <w:tr>
        <w:trPr>
          <w:cantSplit/>
        </w:trPr>
        <w:tc>
          <w:tcPr>
            <w:tcW w:type="dxa" w:w="3096"/>
            <w:vAlign w:val="center"/>
            <w:tcMar>
              <w:top w:w="90" w:type="dxa"/>
              <w:start w:w="100" w:type="dxa"/>
              <w:bottom w:w="90" w:type="dxa"/>
              <w:end w:w="100" w:type="dxa"/>
            </w:tcMar>
          </w:tcPr>
          <w:p>
            <w:pPr>
              <w:jc w:val="left"/>
            </w:pPr>
            <w:r>
              <w:rPr>
                <w:rFonts w:ascii="Times New Roman" w:hAnsi="Times New Roman"/>
                <w:color w:val="000000"/>
                <w:sz w:val="16"/>
              </w:rPr>
              <w:t>Temperatura media (°C)</w:t>
            </w:r>
          </w:p>
        </w:tc>
        <w:tc>
          <w:tcPr>
            <w:tcW w:type="dxa" w:w="1007"/>
            <w:vAlign w:val="center"/>
            <w:tcMar>
              <w:top w:w="90" w:type="dxa"/>
              <w:start w:w="100" w:type="dxa"/>
              <w:bottom w:w="90" w:type="dxa"/>
              <w:end w:w="100" w:type="dxa"/>
            </w:tcMar>
          </w:tcPr>
          <w:p>
            <w:pPr>
              <w:jc w:val="center"/>
            </w:pPr>
            <w:r>
              <w:rPr>
                <w:rFonts w:ascii="Times New Roman" w:hAnsi="Times New Roman"/>
                <w:color w:val="000000"/>
                <w:sz w:val="16"/>
              </w:rPr>
              <w:t>149</w:t>
            </w:r>
          </w:p>
        </w:tc>
        <w:tc>
          <w:tcPr>
            <w:tcW w:type="dxa" w:w="1080"/>
            <w:vAlign w:val="center"/>
            <w:tcMar>
              <w:top w:w="90" w:type="dxa"/>
              <w:start w:w="100" w:type="dxa"/>
              <w:bottom w:w="90" w:type="dxa"/>
              <w:end w:w="100" w:type="dxa"/>
            </w:tcMar>
          </w:tcPr>
          <w:p>
            <w:pPr>
              <w:jc w:val="center"/>
            </w:pPr>
            <w:r>
              <w:rPr>
                <w:rFonts w:ascii="Times New Roman" w:hAnsi="Times New Roman"/>
                <w:color w:val="000000"/>
                <w:sz w:val="16"/>
              </w:rPr>
              <w:t>24,57</w:t>
            </w:r>
          </w:p>
        </w:tc>
        <w:tc>
          <w:tcPr>
            <w:tcW w:type="dxa" w:w="1152"/>
            <w:vAlign w:val="center"/>
            <w:tcMar>
              <w:top w:w="90" w:type="dxa"/>
              <w:start w:w="100" w:type="dxa"/>
              <w:bottom w:w="90" w:type="dxa"/>
              <w:end w:w="100" w:type="dxa"/>
            </w:tcMar>
          </w:tcPr>
          <w:p>
            <w:pPr>
              <w:jc w:val="center"/>
            </w:pPr>
            <w:r>
              <w:rPr>
                <w:rFonts w:ascii="Times New Roman" w:hAnsi="Times New Roman"/>
                <w:color w:val="000000"/>
                <w:sz w:val="16"/>
              </w:rPr>
              <w:t>25,35</w:t>
            </w:r>
          </w:p>
        </w:tc>
        <w:tc>
          <w:tcPr>
            <w:tcW w:type="dxa" w:w="1080"/>
            <w:vAlign w:val="center"/>
            <w:tcMar>
              <w:top w:w="90" w:type="dxa"/>
              <w:start w:w="100" w:type="dxa"/>
              <w:bottom w:w="90" w:type="dxa"/>
              <w:end w:w="100" w:type="dxa"/>
            </w:tcMar>
          </w:tcPr>
          <w:p>
            <w:pPr>
              <w:jc w:val="center"/>
            </w:pPr>
            <w:r>
              <w:rPr>
                <w:rFonts w:ascii="Times New Roman" w:hAnsi="Times New Roman"/>
                <w:color w:val="000000"/>
                <w:sz w:val="16"/>
              </w:rPr>
              <w:t>17,23</w:t>
            </w:r>
          </w:p>
        </w:tc>
        <w:tc>
          <w:tcPr>
            <w:tcW w:type="dxa" w:w="1080"/>
            <w:vAlign w:val="center"/>
            <w:tcMar>
              <w:top w:w="90" w:type="dxa"/>
              <w:start w:w="100" w:type="dxa"/>
              <w:bottom w:w="90" w:type="dxa"/>
              <w:end w:w="100" w:type="dxa"/>
            </w:tcMar>
          </w:tcPr>
          <w:p>
            <w:pPr>
              <w:jc w:val="center"/>
            </w:pPr>
            <w:r>
              <w:rPr>
                <w:rFonts w:ascii="Times New Roman" w:hAnsi="Times New Roman"/>
                <w:color w:val="000000"/>
                <w:sz w:val="16"/>
              </w:rPr>
              <w:t>31,87</w:t>
            </w:r>
          </w:p>
        </w:tc>
      </w:tr>
      <w:tr>
        <w:trPr>
          <w:cantSplit/>
        </w:trPr>
        <w:tc>
          <w:tcPr>
            <w:tcW w:type="dxa" w:w="3096"/>
            <w:vAlign w:val="center"/>
            <w:tcMar>
              <w:top w:w="90" w:type="dxa"/>
              <w:start w:w="100" w:type="dxa"/>
              <w:bottom w:w="90" w:type="dxa"/>
              <w:end w:w="100" w:type="dxa"/>
            </w:tcMar>
            <w:shd w:fill="EAF2F8"/>
          </w:tcPr>
          <w:p>
            <w:pPr>
              <w:jc w:val="left"/>
            </w:pPr>
            <w:r>
              <w:rPr>
                <w:rFonts w:ascii="Times New Roman" w:hAnsi="Times New Roman"/>
                <w:color w:val="000000"/>
                <w:sz w:val="16"/>
              </w:rPr>
              <w:t>Humedad media (%)</w:t>
            </w:r>
          </w:p>
        </w:tc>
        <w:tc>
          <w:tcPr>
            <w:tcW w:type="dxa" w:w="1007"/>
            <w:vAlign w:val="center"/>
            <w:tcMar>
              <w:top w:w="90" w:type="dxa"/>
              <w:start w:w="100" w:type="dxa"/>
              <w:bottom w:w="90" w:type="dxa"/>
              <w:end w:w="100" w:type="dxa"/>
            </w:tcMar>
            <w:shd w:fill="EAF2F8"/>
          </w:tcPr>
          <w:p>
            <w:pPr>
              <w:jc w:val="center"/>
            </w:pPr>
            <w:r>
              <w:rPr>
                <w:rFonts w:ascii="Times New Roman" w:hAnsi="Times New Roman"/>
                <w:color w:val="000000"/>
                <w:sz w:val="16"/>
              </w:rPr>
              <w:t>149</w:t>
            </w:r>
          </w:p>
        </w:tc>
        <w:tc>
          <w:tcPr>
            <w:tcW w:type="dxa" w:w="1080"/>
            <w:vAlign w:val="center"/>
            <w:tcMar>
              <w:top w:w="90" w:type="dxa"/>
              <w:start w:w="100" w:type="dxa"/>
              <w:bottom w:w="90" w:type="dxa"/>
              <w:end w:w="100" w:type="dxa"/>
            </w:tcMar>
            <w:shd w:fill="EAF2F8"/>
          </w:tcPr>
          <w:p>
            <w:pPr>
              <w:jc w:val="center"/>
            </w:pPr>
            <w:r>
              <w:rPr>
                <w:rFonts w:ascii="Times New Roman" w:hAnsi="Times New Roman"/>
                <w:color w:val="000000"/>
                <w:sz w:val="16"/>
              </w:rPr>
              <w:t>59,07</w:t>
            </w:r>
          </w:p>
        </w:tc>
        <w:tc>
          <w:tcPr>
            <w:tcW w:type="dxa" w:w="1152"/>
            <w:vAlign w:val="center"/>
            <w:tcMar>
              <w:top w:w="90" w:type="dxa"/>
              <w:start w:w="100" w:type="dxa"/>
              <w:bottom w:w="90" w:type="dxa"/>
              <w:end w:w="100" w:type="dxa"/>
            </w:tcMar>
            <w:shd w:fill="EAF2F8"/>
          </w:tcPr>
          <w:p>
            <w:pPr>
              <w:jc w:val="center"/>
            </w:pPr>
            <w:r>
              <w:rPr>
                <w:rFonts w:ascii="Times New Roman" w:hAnsi="Times New Roman"/>
                <w:color w:val="000000"/>
                <w:sz w:val="16"/>
              </w:rPr>
              <w:t>60,59</w:t>
            </w:r>
          </w:p>
        </w:tc>
        <w:tc>
          <w:tcPr>
            <w:tcW w:type="dxa" w:w="1080"/>
            <w:vAlign w:val="center"/>
            <w:tcMar>
              <w:top w:w="90" w:type="dxa"/>
              <w:start w:w="100" w:type="dxa"/>
              <w:bottom w:w="90" w:type="dxa"/>
              <w:end w:w="100" w:type="dxa"/>
            </w:tcMar>
            <w:shd w:fill="EAF2F8"/>
          </w:tcPr>
          <w:p>
            <w:pPr>
              <w:jc w:val="center"/>
            </w:pPr>
            <w:r>
              <w:rPr>
                <w:rFonts w:ascii="Times New Roman" w:hAnsi="Times New Roman"/>
                <w:color w:val="000000"/>
                <w:sz w:val="16"/>
              </w:rPr>
              <w:t>29,51</w:t>
            </w:r>
          </w:p>
        </w:tc>
        <w:tc>
          <w:tcPr>
            <w:tcW w:type="dxa" w:w="1080"/>
            <w:vAlign w:val="center"/>
            <w:tcMar>
              <w:top w:w="90" w:type="dxa"/>
              <w:start w:w="100" w:type="dxa"/>
              <w:bottom w:w="90" w:type="dxa"/>
              <w:end w:w="100" w:type="dxa"/>
            </w:tcMar>
            <w:shd w:fill="EAF2F8"/>
          </w:tcPr>
          <w:p>
            <w:pPr>
              <w:jc w:val="center"/>
            </w:pPr>
            <w:r>
              <w:rPr>
                <w:rFonts w:ascii="Times New Roman" w:hAnsi="Times New Roman"/>
                <w:color w:val="000000"/>
                <w:sz w:val="16"/>
              </w:rPr>
              <w:t>83,50</w:t>
            </w:r>
          </w:p>
        </w:tc>
      </w:tr>
      <w:tr>
        <w:trPr>
          <w:cantSplit/>
        </w:trPr>
        <w:tc>
          <w:tcPr>
            <w:tcW w:type="dxa" w:w="3096"/>
            <w:vAlign w:val="center"/>
            <w:tcMar>
              <w:top w:w="90" w:type="dxa"/>
              <w:start w:w="100" w:type="dxa"/>
              <w:bottom w:w="90" w:type="dxa"/>
              <w:end w:w="100" w:type="dxa"/>
            </w:tcMar>
          </w:tcPr>
          <w:p>
            <w:pPr>
              <w:jc w:val="left"/>
            </w:pPr>
            <w:r>
              <w:rPr>
                <w:rFonts w:ascii="Times New Roman" w:hAnsi="Times New Roman"/>
                <w:color w:val="000000"/>
                <w:sz w:val="16"/>
              </w:rPr>
              <w:t>ET0 (mm/día)</w:t>
            </w:r>
          </w:p>
        </w:tc>
        <w:tc>
          <w:tcPr>
            <w:tcW w:type="dxa" w:w="1007"/>
            <w:vAlign w:val="center"/>
            <w:tcMar>
              <w:top w:w="90" w:type="dxa"/>
              <w:start w:w="100" w:type="dxa"/>
              <w:bottom w:w="90" w:type="dxa"/>
              <w:end w:w="100" w:type="dxa"/>
            </w:tcMar>
          </w:tcPr>
          <w:p>
            <w:pPr>
              <w:jc w:val="center"/>
            </w:pPr>
            <w:r>
              <w:rPr>
                <w:rFonts w:ascii="Times New Roman" w:hAnsi="Times New Roman"/>
                <w:color w:val="000000"/>
                <w:sz w:val="16"/>
              </w:rPr>
              <w:t>148</w:t>
            </w:r>
          </w:p>
        </w:tc>
        <w:tc>
          <w:tcPr>
            <w:tcW w:type="dxa" w:w="1080"/>
            <w:vAlign w:val="center"/>
            <w:tcMar>
              <w:top w:w="90" w:type="dxa"/>
              <w:start w:w="100" w:type="dxa"/>
              <w:bottom w:w="90" w:type="dxa"/>
              <w:end w:w="100" w:type="dxa"/>
            </w:tcMar>
          </w:tcPr>
          <w:p>
            <w:pPr>
              <w:jc w:val="center"/>
            </w:pPr>
            <w:r>
              <w:rPr>
                <w:rFonts w:ascii="Times New Roman" w:hAnsi="Times New Roman"/>
                <w:color w:val="000000"/>
                <w:sz w:val="16"/>
              </w:rPr>
              <w:t>5,15</w:t>
            </w:r>
          </w:p>
        </w:tc>
        <w:tc>
          <w:tcPr>
            <w:tcW w:type="dxa" w:w="1152"/>
            <w:vAlign w:val="center"/>
            <w:tcMar>
              <w:top w:w="90" w:type="dxa"/>
              <w:start w:w="100" w:type="dxa"/>
              <w:bottom w:w="90" w:type="dxa"/>
              <w:end w:w="100" w:type="dxa"/>
            </w:tcMar>
          </w:tcPr>
          <w:p>
            <w:pPr>
              <w:jc w:val="center"/>
            </w:pPr>
            <w:r>
              <w:rPr>
                <w:rFonts w:ascii="Times New Roman" w:hAnsi="Times New Roman"/>
                <w:color w:val="000000"/>
                <w:sz w:val="16"/>
              </w:rPr>
              <w:t>5,16</w:t>
            </w:r>
          </w:p>
        </w:tc>
        <w:tc>
          <w:tcPr>
            <w:tcW w:type="dxa" w:w="1080"/>
            <w:vAlign w:val="center"/>
            <w:tcMar>
              <w:top w:w="90" w:type="dxa"/>
              <w:start w:w="100" w:type="dxa"/>
              <w:bottom w:w="90" w:type="dxa"/>
              <w:end w:w="100" w:type="dxa"/>
            </w:tcMar>
          </w:tcPr>
          <w:p>
            <w:pPr>
              <w:jc w:val="center"/>
            </w:pPr>
            <w:r>
              <w:rPr>
                <w:rFonts w:ascii="Times New Roman" w:hAnsi="Times New Roman"/>
                <w:color w:val="000000"/>
                <w:sz w:val="16"/>
              </w:rPr>
              <w:t>2,20</w:t>
            </w:r>
          </w:p>
        </w:tc>
        <w:tc>
          <w:tcPr>
            <w:tcW w:type="dxa" w:w="1080"/>
            <w:vAlign w:val="center"/>
            <w:tcMar>
              <w:top w:w="90" w:type="dxa"/>
              <w:start w:w="100" w:type="dxa"/>
              <w:bottom w:w="90" w:type="dxa"/>
              <w:end w:w="100" w:type="dxa"/>
            </w:tcMar>
          </w:tcPr>
          <w:p>
            <w:pPr>
              <w:jc w:val="center"/>
            </w:pPr>
            <w:r>
              <w:rPr>
                <w:rFonts w:ascii="Times New Roman" w:hAnsi="Times New Roman"/>
                <w:color w:val="000000"/>
                <w:sz w:val="16"/>
              </w:rPr>
              <w:t>7,86</w:t>
            </w:r>
          </w:p>
        </w:tc>
      </w:tr>
      <w:tr>
        <w:trPr>
          <w:cantSplit/>
        </w:trPr>
        <w:tc>
          <w:tcPr>
            <w:tcW w:type="dxa" w:w="3096"/>
            <w:vAlign w:val="center"/>
            <w:tcMar>
              <w:top w:w="90" w:type="dxa"/>
              <w:start w:w="100" w:type="dxa"/>
              <w:bottom w:w="90" w:type="dxa"/>
              <w:end w:w="100" w:type="dxa"/>
            </w:tcMar>
            <w:shd w:fill="EAF2F8"/>
          </w:tcPr>
          <w:p>
            <w:pPr>
              <w:jc w:val="left"/>
            </w:pPr>
            <w:r>
              <w:rPr>
                <w:rFonts w:ascii="Times New Roman" w:hAnsi="Times New Roman"/>
                <w:color w:val="000000"/>
                <w:sz w:val="16"/>
              </w:rPr>
              <w:t>Coeficiente de cultivo Kc</w:t>
            </w:r>
          </w:p>
        </w:tc>
        <w:tc>
          <w:tcPr>
            <w:tcW w:type="dxa" w:w="1007"/>
            <w:vAlign w:val="center"/>
            <w:tcMar>
              <w:top w:w="90" w:type="dxa"/>
              <w:start w:w="100" w:type="dxa"/>
              <w:bottom w:w="90" w:type="dxa"/>
              <w:end w:w="100" w:type="dxa"/>
            </w:tcMar>
            <w:shd w:fill="EAF2F8"/>
          </w:tcPr>
          <w:p>
            <w:pPr>
              <w:jc w:val="center"/>
            </w:pPr>
            <w:r>
              <w:rPr>
                <w:rFonts w:ascii="Times New Roman" w:hAnsi="Times New Roman"/>
                <w:color w:val="000000"/>
                <w:sz w:val="16"/>
              </w:rPr>
              <w:t>150</w:t>
            </w:r>
          </w:p>
        </w:tc>
        <w:tc>
          <w:tcPr>
            <w:tcW w:type="dxa" w:w="1080"/>
            <w:vAlign w:val="center"/>
            <w:tcMar>
              <w:top w:w="90" w:type="dxa"/>
              <w:start w:w="100" w:type="dxa"/>
              <w:bottom w:w="90" w:type="dxa"/>
              <w:end w:w="100" w:type="dxa"/>
            </w:tcMar>
            <w:shd w:fill="EAF2F8"/>
          </w:tcPr>
          <w:p>
            <w:pPr>
              <w:jc w:val="center"/>
            </w:pPr>
            <w:r>
              <w:rPr>
                <w:rFonts w:ascii="Times New Roman" w:hAnsi="Times New Roman"/>
                <w:color w:val="000000"/>
                <w:sz w:val="16"/>
              </w:rPr>
              <w:t>0,68</w:t>
            </w:r>
          </w:p>
        </w:tc>
        <w:tc>
          <w:tcPr>
            <w:tcW w:type="dxa" w:w="1152"/>
            <w:vAlign w:val="center"/>
            <w:tcMar>
              <w:top w:w="90" w:type="dxa"/>
              <w:start w:w="100" w:type="dxa"/>
              <w:bottom w:w="90" w:type="dxa"/>
              <w:end w:w="100" w:type="dxa"/>
            </w:tcMar>
            <w:shd w:fill="EAF2F8"/>
          </w:tcPr>
          <w:p>
            <w:pPr>
              <w:jc w:val="center"/>
            </w:pPr>
            <w:r>
              <w:rPr>
                <w:rFonts w:ascii="Times New Roman" w:hAnsi="Times New Roman"/>
                <w:color w:val="000000"/>
                <w:sz w:val="16"/>
              </w:rPr>
              <w:t>0,70</w:t>
            </w:r>
          </w:p>
        </w:tc>
        <w:tc>
          <w:tcPr>
            <w:tcW w:type="dxa" w:w="1080"/>
            <w:vAlign w:val="center"/>
            <w:tcMar>
              <w:top w:w="90" w:type="dxa"/>
              <w:start w:w="100" w:type="dxa"/>
              <w:bottom w:w="90" w:type="dxa"/>
              <w:end w:w="100" w:type="dxa"/>
            </w:tcMar>
            <w:shd w:fill="EAF2F8"/>
          </w:tcPr>
          <w:p>
            <w:pPr>
              <w:jc w:val="center"/>
            </w:pPr>
            <w:r>
              <w:rPr>
                <w:rFonts w:ascii="Times New Roman" w:hAnsi="Times New Roman"/>
                <w:color w:val="000000"/>
                <w:sz w:val="16"/>
              </w:rPr>
              <w:t>0,30</w:t>
            </w:r>
          </w:p>
        </w:tc>
        <w:tc>
          <w:tcPr>
            <w:tcW w:type="dxa" w:w="1080"/>
            <w:vAlign w:val="center"/>
            <w:tcMar>
              <w:top w:w="90" w:type="dxa"/>
              <w:start w:w="100" w:type="dxa"/>
              <w:bottom w:w="90" w:type="dxa"/>
              <w:end w:w="100" w:type="dxa"/>
            </w:tcMar>
            <w:shd w:fill="EAF2F8"/>
          </w:tcPr>
          <w:p>
            <w:pPr>
              <w:jc w:val="center"/>
            </w:pPr>
            <w:r>
              <w:rPr>
                <w:rFonts w:ascii="Times New Roman" w:hAnsi="Times New Roman"/>
                <w:color w:val="000000"/>
                <w:sz w:val="16"/>
              </w:rPr>
              <w:t>1,00</w:t>
            </w:r>
          </w:p>
        </w:tc>
      </w:tr>
      <w:tr>
        <w:trPr>
          <w:cantSplit/>
        </w:trPr>
        <w:tc>
          <w:tcPr>
            <w:tcW w:type="dxa" w:w="3096"/>
            <w:vAlign w:val="center"/>
            <w:tcMar>
              <w:top w:w="90" w:type="dxa"/>
              <w:start w:w="100" w:type="dxa"/>
              <w:bottom w:w="90" w:type="dxa"/>
              <w:end w:w="100" w:type="dxa"/>
            </w:tcMar>
          </w:tcPr>
          <w:p>
            <w:pPr>
              <w:jc w:val="left"/>
            </w:pPr>
            <w:r>
              <w:rPr>
                <w:rFonts w:ascii="Times New Roman" w:hAnsi="Times New Roman"/>
                <w:color w:val="000000"/>
                <w:sz w:val="16"/>
              </w:rPr>
              <w:t>Necesidad neta (mm/día)</w:t>
            </w:r>
          </w:p>
        </w:tc>
        <w:tc>
          <w:tcPr>
            <w:tcW w:type="dxa" w:w="1007"/>
            <w:vAlign w:val="center"/>
            <w:tcMar>
              <w:top w:w="90" w:type="dxa"/>
              <w:start w:w="100" w:type="dxa"/>
              <w:bottom w:w="90" w:type="dxa"/>
              <w:end w:w="100" w:type="dxa"/>
            </w:tcMar>
          </w:tcPr>
          <w:p>
            <w:pPr>
              <w:jc w:val="center"/>
            </w:pPr>
            <w:r>
              <w:rPr>
                <w:rFonts w:ascii="Times New Roman" w:hAnsi="Times New Roman"/>
                <w:color w:val="000000"/>
                <w:sz w:val="16"/>
              </w:rPr>
              <w:t>148</w:t>
            </w:r>
          </w:p>
        </w:tc>
        <w:tc>
          <w:tcPr>
            <w:tcW w:type="dxa" w:w="1080"/>
            <w:vAlign w:val="center"/>
            <w:tcMar>
              <w:top w:w="90" w:type="dxa"/>
              <w:start w:w="100" w:type="dxa"/>
              <w:bottom w:w="90" w:type="dxa"/>
              <w:end w:w="100" w:type="dxa"/>
            </w:tcMar>
          </w:tcPr>
          <w:p>
            <w:pPr>
              <w:jc w:val="center"/>
            </w:pPr>
            <w:r>
              <w:rPr>
                <w:rFonts w:ascii="Times New Roman" w:hAnsi="Times New Roman"/>
                <w:color w:val="000000"/>
                <w:sz w:val="16"/>
              </w:rPr>
              <w:t>3,59</w:t>
            </w:r>
          </w:p>
        </w:tc>
        <w:tc>
          <w:tcPr>
            <w:tcW w:type="dxa" w:w="1152"/>
            <w:vAlign w:val="center"/>
            <w:tcMar>
              <w:top w:w="90" w:type="dxa"/>
              <w:start w:w="100" w:type="dxa"/>
              <w:bottom w:w="90" w:type="dxa"/>
              <w:end w:w="100" w:type="dxa"/>
            </w:tcMar>
          </w:tcPr>
          <w:p>
            <w:pPr>
              <w:jc w:val="center"/>
            </w:pPr>
            <w:r>
              <w:rPr>
                <w:rFonts w:ascii="Times New Roman" w:hAnsi="Times New Roman"/>
                <w:color w:val="000000"/>
                <w:sz w:val="16"/>
              </w:rPr>
              <w:t>3,94</w:t>
            </w:r>
          </w:p>
        </w:tc>
        <w:tc>
          <w:tcPr>
            <w:tcW w:type="dxa" w:w="1080"/>
            <w:vAlign w:val="center"/>
            <w:tcMar>
              <w:top w:w="90" w:type="dxa"/>
              <w:start w:w="100" w:type="dxa"/>
              <w:bottom w:w="90" w:type="dxa"/>
              <w:end w:w="100" w:type="dxa"/>
            </w:tcMar>
          </w:tcPr>
          <w:p>
            <w:pPr>
              <w:jc w:val="center"/>
            </w:pPr>
            <w:r>
              <w:rPr>
                <w:rFonts w:ascii="Times New Roman" w:hAnsi="Times New Roman"/>
                <w:color w:val="000000"/>
                <w:sz w:val="16"/>
              </w:rPr>
              <w:t>0,00</w:t>
            </w:r>
          </w:p>
        </w:tc>
        <w:tc>
          <w:tcPr>
            <w:tcW w:type="dxa" w:w="1080"/>
            <w:vAlign w:val="center"/>
            <w:tcMar>
              <w:top w:w="90" w:type="dxa"/>
              <w:start w:w="100" w:type="dxa"/>
              <w:bottom w:w="90" w:type="dxa"/>
              <w:end w:w="100" w:type="dxa"/>
            </w:tcMar>
          </w:tcPr>
          <w:p>
            <w:pPr>
              <w:jc w:val="center"/>
            </w:pPr>
            <w:r>
              <w:rPr>
                <w:rFonts w:ascii="Times New Roman" w:hAnsi="Times New Roman"/>
                <w:color w:val="000000"/>
                <w:sz w:val="16"/>
              </w:rPr>
              <w:t>7,07</w:t>
            </w:r>
          </w:p>
        </w:tc>
      </w:tr>
    </w:tbl>
    <w:p>
      <w:pPr>
        <w:spacing w:after="40"/>
      </w:pPr>
    </w:p>
    <w:p>
      <w:pPr>
        <w:spacing w:after="120"/>
        <w:jc w:val="both"/>
      </w:pPr>
      <w:r>
        <w:rPr>
          <w:rFonts w:ascii="Times New Roman" w:hAnsi="Times New Roman"/>
          <w:color w:val="000000"/>
          <w:sz w:val="24"/>
        </w:rPr>
        <w:t>La serie temporal muestra que la necesidad neta no depende únicamente del clima. También cambia con las etapas del cultivo representadas por Kc. Durante el periodo de mayor desarrollo, Kc alcanza 1,00 y la necesidad neta se aproxima a la ET0; al final del ciclo, Kc desciende a 0,30 y la demanda calculada disminuye aunque continúe la evapotranspiración de referencia. La precipitación efectiva es escasa y concentrada, por lo que reduce la necesidad neta de forma puntual.</w:t>
      </w:r>
    </w:p>
    <w:p>
      <w:pPr>
        <w:keepLines/>
        <w:spacing w:after="60"/>
        <w:jc w:val="center"/>
      </w:pPr>
      <w:r>
        <w:drawing>
          <wp:inline xmlns:wp="http://schemas.openxmlformats.org/drawingml/2006/wordprocessingDrawing" xmlns:a="http://schemas.openxmlformats.org/drawingml/2006/main" xmlns:pic="http://schemas.openxmlformats.org/drawingml/2006/picture">
            <wp:extent cx="5532120" cy="3453815"/>
            <wp:docPr id="3" name="Picture 3"/>
            <wp:cNvGraphicFramePr>
              <a:graphicFrameLocks noChangeAspect="1"/>
            </wp:cNvGraphicFramePr>
            <a:graphic>
              <a:graphicData uri="http://schemas.openxmlformats.org/drawingml/2006/picture">
                <pic:pic>
                  <pic:nvPicPr>
                    <pic:cNvPr id="0" name="image.png"/>
                    <pic:cNvPicPr/>
                  </pic:nvPicPr>
                  <pic:blipFill>
                    <a:blip ns1:embed="rId9"/>
                    <a:stretch>
                      <a:fillRect/>
                    </a:stretch>
                  </pic:blipFill>
                  <pic:spPr>
                    <a:xfrm>
                      <a:off x="0" y="0"/>
                      <a:ext cx="5532120" cy="3453815"/>
                    </a:xfrm>
                    <a:prstGeom prst="rect"/>
                  </pic:spPr>
                </pic:pic>
              </a:graphicData>
            </a:graphic>
          </wp:inline>
        </w:drawing>
      </w:r>
    </w:p>
    <w:p>
      <w:pPr>
        <w:keepNext w:val="0"/>
        <w:spacing w:after="160"/>
        <w:jc w:val="center"/>
      </w:pPr>
      <w:r>
        <w:rPr>
          <w:rFonts w:ascii="Times New Roman" w:hAnsi="Times New Roman"/>
          <w:i/>
          <w:color w:val="444444"/>
          <w:sz w:val="20"/>
        </w:rPr>
        <w:t>Figura 4.3. Evolución de ET0, ETc, necesidad neta, Kc y precipitación efectiva. Fuente: elaboración propia a partir de SiAR.</w:t>
      </w:r>
    </w:p>
    <w:p>
      <w:pPr>
        <w:keepLines/>
        <w:spacing w:after="60"/>
        <w:jc w:val="center"/>
      </w:pPr>
      <w:r>
        <w:drawing>
          <wp:inline xmlns:wp="http://schemas.openxmlformats.org/drawingml/2006/wordprocessingDrawing" xmlns:a="http://schemas.openxmlformats.org/drawingml/2006/main" xmlns:pic="http://schemas.openxmlformats.org/drawingml/2006/picture">
            <wp:extent cx="5532120" cy="3690957"/>
            <wp:docPr id="4" name="Picture 4"/>
            <wp:cNvGraphicFramePr>
              <a:graphicFrameLocks noChangeAspect="1"/>
            </wp:cNvGraphicFramePr>
            <a:graphic>
              <a:graphicData uri="http://schemas.openxmlformats.org/drawingml/2006/picture">
                <pic:pic>
                  <pic:nvPicPr>
                    <pic:cNvPr id="0" name="image.png"/>
                    <pic:cNvPicPr/>
                  </pic:nvPicPr>
                  <pic:blipFill>
                    <a:blip ns1:embed="rId10"/>
                    <a:stretch>
                      <a:fillRect/>
                    </a:stretch>
                  </pic:blipFill>
                  <pic:spPr>
                    <a:xfrm>
                      <a:off x="0" y="0"/>
                      <a:ext cx="5532120" cy="3690957"/>
                    </a:xfrm>
                    <a:prstGeom prst="rect"/>
                  </pic:spPr>
                </pic:pic>
              </a:graphicData>
            </a:graphic>
          </wp:inline>
        </w:drawing>
      </w:r>
    </w:p>
    <w:p>
      <w:pPr>
        <w:keepNext w:val="0"/>
        <w:spacing w:after="160"/>
        <w:jc w:val="center"/>
      </w:pPr>
      <w:r>
        <w:rPr>
          <w:rFonts w:ascii="Times New Roman" w:hAnsi="Times New Roman"/>
          <w:i/>
          <w:color w:val="444444"/>
          <w:sz w:val="20"/>
        </w:rPr>
        <w:t>Figura 4.4. Distribución de temperatura, humedad, ET0 y necesidad neta. Fuente: elaboración propia a partir de SiAR.</w:t>
      </w:r>
    </w:p>
    <w:p>
      <w:pPr>
        <w:pStyle w:val="Heading3"/>
        <w:keepNext/>
      </w:pPr>
      <w:r>
        <w:rPr>
          <w:rFonts w:ascii="Times New Roman" w:hAnsi="Times New Roman"/>
          <w:color w:val="000000"/>
          <w:sz w:val="24"/>
        </w:rPr>
        <w:t>4.2.3. Relaciones entre variables</w:t>
      </w:r>
    </w:p>
    <w:p>
      <w:pPr>
        <w:spacing w:after="120"/>
        <w:jc w:val="both"/>
      </w:pPr>
      <w:r>
        <w:rPr>
          <w:rFonts w:ascii="Times New Roman" w:hAnsi="Times New Roman"/>
          <w:color w:val="000000"/>
          <w:sz w:val="24"/>
        </w:rPr>
        <w:t>El análisis de correlaciones de Pearson aporta una primera descripción lineal, sin interpretarse como causalidad. La necesidad neta se relaciona de forma positiva con Kc (0,93), ET0 (0,75), temperatura media (0,64) y radiación solar (0,52), y de forma negativa con humedad media (-0,28) y precipitación (-0,22). Las relaciones coinciden con la formulación agronómica de la referencia, ya que ETc se obtiene a partir de ET0 y Kc, y la precipitación efectiva reduce la necesidad neta.</w:t>
      </w:r>
    </w:p>
    <w:p>
      <w:pPr>
        <w:keepLines/>
        <w:spacing w:after="60"/>
        <w:jc w:val="center"/>
      </w:pPr>
      <w:r>
        <w:drawing>
          <wp:inline xmlns:wp="http://schemas.openxmlformats.org/drawingml/2006/wordprocessingDrawing" xmlns:a="http://schemas.openxmlformats.org/drawingml/2006/main" xmlns:pic="http://schemas.openxmlformats.org/drawingml/2006/picture">
            <wp:extent cx="5532120" cy="4766930"/>
            <wp:docPr id="5" name="Picture 5"/>
            <wp:cNvGraphicFramePr>
              <a:graphicFrameLocks noChangeAspect="1"/>
            </wp:cNvGraphicFramePr>
            <a:graphic>
              <a:graphicData uri="http://schemas.openxmlformats.org/drawingml/2006/picture">
                <pic:pic>
                  <pic:nvPicPr>
                    <pic:cNvPr id="0" name="image.png"/>
                    <pic:cNvPicPr/>
                  </pic:nvPicPr>
                  <pic:blipFill>
                    <a:blip ns1:embed="rId11"/>
                    <a:stretch>
                      <a:fillRect/>
                    </a:stretch>
                  </pic:blipFill>
                  <pic:spPr>
                    <a:xfrm>
                      <a:off x="0" y="0"/>
                      <a:ext cx="5532120" cy="4766930"/>
                    </a:xfrm>
                    <a:prstGeom prst="rect"/>
                  </pic:spPr>
                </pic:pic>
              </a:graphicData>
            </a:graphic>
          </wp:inline>
        </w:drawing>
      </w:r>
    </w:p>
    <w:p>
      <w:pPr>
        <w:keepNext w:val="0"/>
        <w:spacing w:after="160"/>
        <w:jc w:val="center"/>
      </w:pPr>
      <w:r>
        <w:rPr>
          <w:rFonts w:ascii="Times New Roman" w:hAnsi="Times New Roman"/>
          <w:i/>
          <w:color w:val="444444"/>
          <w:sz w:val="20"/>
        </w:rPr>
        <w:t>Figura 4.5. Matriz de correlaciones de Pearson para variables seleccionadas. Fuente: elaboración propia a partir de SiAR.</w:t>
      </w:r>
    </w:p>
    <w:p>
      <w:pPr>
        <w:spacing w:after="120"/>
        <w:jc w:val="both"/>
      </w:pPr>
      <w:r>
        <w:rPr>
          <w:rFonts w:ascii="Times New Roman" w:hAnsi="Times New Roman"/>
          <w:color w:val="000000"/>
          <w:sz w:val="24"/>
        </w:rPr>
        <w:t>La elevada correlación de Kc y ET0 con el objetivo no debe presentarse como un descubrimiento independiente: forma parte de la manera en que SiAR calcula la propia etiqueta. Por esta razón, ETc y la precipitación efectiva contemporáneas se reservan para comprobaciones y no se incorporan como predictores directos de un modelo que pretenda anticipar la necesidad futura.</w:t>
      </w:r>
    </w:p>
    <w:p>
      <w:pPr>
        <w:pStyle w:val="Heading3"/>
        <w:keepNext/>
      </w:pPr>
      <w:r>
        <w:rPr>
          <w:rFonts w:ascii="Times New Roman" w:hAnsi="Times New Roman"/>
          <w:color w:val="000000"/>
          <w:sz w:val="24"/>
        </w:rPr>
        <w:t>4.2.4. Preparación y generación de variables</w:t>
      </w:r>
    </w:p>
    <w:p>
      <w:pPr>
        <w:keepNext/>
        <w:spacing w:after="120"/>
        <w:jc w:val="both"/>
      </w:pPr>
      <w:r>
        <w:rPr>
          <w:rFonts w:ascii="Times New Roman" w:hAnsi="Times New Roman"/>
          <w:color w:val="000000"/>
          <w:sz w:val="24"/>
        </w:rPr>
        <w:t>La tabla final combina cuatro grupos de información:</w:t>
      </w:r>
    </w:p>
    <w:p>
      <w:pPr>
        <w:keepNext/>
        <w:spacing w:after="60" w:line="276" w:lineRule="auto"/>
        <w:jc w:val="both"/>
      </w:pPr>
      <w:r>
        <w:rPr>
          <w:rFonts w:ascii="Times New Roman" w:hAnsi="Times New Roman"/>
          <w:b/>
          <w:i w:val="0"/>
          <w:color w:val="000000"/>
          <w:sz w:val="24"/>
        </w:rPr>
        <w:t xml:space="preserve">1. Variables temporales. </w:t>
      </w:r>
      <w:r>
        <w:rPr>
          <w:rFonts w:ascii="Times New Roman" w:hAnsi="Times New Roman"/>
          <w:b w:val="0"/>
          <w:i w:val="0"/>
          <w:color w:val="000000"/>
          <w:sz w:val="24"/>
        </w:rPr>
        <w:t>Año, mes, semana ISO, día del año y codificación cíclica mediante seno y coseno. Esta última representa la estacionalidad sin introducir una ruptura artificial entre el final y el inicio del año.</w:t>
      </w:r>
    </w:p>
    <w:p>
      <w:pPr>
        <w:keepNext/>
        <w:spacing w:after="60" w:line="276" w:lineRule="auto"/>
        <w:jc w:val="both"/>
      </w:pPr>
      <w:r>
        <w:rPr>
          <w:rFonts w:ascii="Times New Roman" w:hAnsi="Times New Roman"/>
          <w:b/>
          <w:i w:val="0"/>
          <w:color w:val="000000"/>
          <w:sz w:val="24"/>
        </w:rPr>
        <w:t xml:space="preserve">2. Variables agrometeorológicas derivadas. </w:t>
      </w:r>
      <w:r>
        <w:rPr>
          <w:rFonts w:ascii="Times New Roman" w:hAnsi="Times New Roman"/>
          <w:b w:val="0"/>
          <w:i w:val="0"/>
          <w:color w:val="000000"/>
          <w:sz w:val="24"/>
        </w:rPr>
        <w:t>Amplitud térmica diaria, déficit de presión de vapor, ETc estimada como ET0 × Kc y necesidad neta diagnóstica como max(ETc − precipitación efectiva, 0).</w:t>
      </w:r>
    </w:p>
    <w:p>
      <w:pPr>
        <w:keepNext/>
        <w:spacing w:after="60" w:line="276" w:lineRule="auto"/>
        <w:jc w:val="both"/>
      </w:pPr>
      <w:r>
        <w:rPr>
          <w:rFonts w:ascii="Times New Roman" w:hAnsi="Times New Roman"/>
          <w:b/>
          <w:i w:val="0"/>
          <w:color w:val="000000"/>
          <w:sz w:val="24"/>
        </w:rPr>
        <w:t xml:space="preserve">3. Retardos. </w:t>
      </w:r>
      <w:r>
        <w:rPr>
          <w:rFonts w:ascii="Times New Roman" w:hAnsi="Times New Roman"/>
          <w:b w:val="0"/>
          <w:i w:val="0"/>
          <w:color w:val="000000"/>
          <w:sz w:val="24"/>
        </w:rPr>
        <w:t>Valores de 1, 3 y 7 días de ET0, precipitación, temperatura, humedad, radiación y necesidad neta.</w:t>
      </w:r>
    </w:p>
    <w:p>
      <w:pPr>
        <w:keepNext w:val="0"/>
        <w:spacing w:after="120"/>
        <w:jc w:val="both"/>
      </w:pPr>
      <w:r>
        <w:rPr>
          <w:rFonts w:ascii="Times New Roman" w:hAnsi="Times New Roman"/>
          <w:b/>
          <w:i w:val="0"/>
          <w:color w:val="000000"/>
          <w:sz w:val="24"/>
        </w:rPr>
        <w:t xml:space="preserve">4. Ventanas temporales. </w:t>
      </w:r>
      <w:r>
        <w:rPr>
          <w:rFonts w:ascii="Times New Roman" w:hAnsi="Times New Roman"/>
          <w:b w:val="0"/>
          <w:i w:val="0"/>
          <w:color w:val="000000"/>
          <w:sz w:val="24"/>
        </w:rPr>
        <w:t>Medias móviles de 3, 7 y 14 días para variables continuas, y sumas móviles para precipitación, precipitación efectiva y necesidad neta. Todas las ventanas se desplazan un día antes de calcularse, de modo que no utilizan el valor que se desea predecir.</w:t>
      </w:r>
    </w:p>
    <w:p>
      <w:pPr>
        <w:spacing w:after="120"/>
        <w:jc w:val="both"/>
      </w:pPr>
      <w:r>
        <w:rPr>
          <w:rFonts w:ascii="Times New Roman" w:hAnsi="Times New Roman"/>
          <w:color w:val="000000"/>
          <w:sz w:val="24"/>
        </w:rPr>
        <w:t>La variable objetivo se denomina target_net_irrigation_need_mm y corresponde a la necesidad neta diaria calculada por SiAR. Se trata de una etiqueta agronómica de referencia, no del riego realmente aplicado en una explotación. En consecuencia, el modelo del apartado 4.3 medirá su capacidad para reproducir o anticipar dicha referencia. La validación en campo y los registros reales de riego quedan como una ampliación necesaria para evaluar ahorro de agua, productividad o impacto económico.</w:t>
      </w:r>
    </w:p>
    <w:p>
      <w:pPr>
        <w:pStyle w:val="Heading3"/>
        <w:keepNext/>
      </w:pPr>
      <w:r>
        <w:rPr>
          <w:rFonts w:ascii="Times New Roman" w:hAnsi="Times New Roman"/>
          <w:color w:val="000000"/>
          <w:sz w:val="24"/>
        </w:rPr>
        <w:t>4.2.5. Disponibilidad de variables y prevención de fuga de información</w:t>
      </w:r>
    </w:p>
    <w:p>
      <w:pPr>
        <w:spacing w:after="120"/>
        <w:jc w:val="both"/>
      </w:pPr>
      <w:r>
        <w:rPr>
          <w:rFonts w:ascii="Times New Roman" w:hAnsi="Times New Roman"/>
          <w:color w:val="000000"/>
          <w:sz w:val="24"/>
        </w:rPr>
        <w:t>Para que la evaluación sea realista se distingue entre información conocida de antemano, observaciones disponibles al cierre del día y variables que solo existen después de calcular el objetivo.</w:t>
      </w:r>
    </w:p>
    <w:p>
      <w:pPr>
        <w:keepNext/>
        <w:spacing w:after="120"/>
      </w:pPr>
      <w:r>
        <w:rPr>
          <w:b/>
        </w:rPr>
        <w:t>Tabla 4.12. Clasificación de variables según su disponibilidad y función en el modelo.</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28"/>
        <w:gridCol w:w="2928"/>
        <w:gridCol w:w="2928"/>
      </w:tblGrid>
      <w:tr>
        <w:trPr>
          <w:tblHeader w:val="true"/>
          <w:cantSplit/>
        </w:trPr>
        <w:tc>
          <w:tcPr>
            <w:tcW w:type="dxa" w:w="2232"/>
            <w:vAlign w:val="center"/>
            <w:shd w:fill="1F4E78"/>
            <w:tcMar>
              <w:top w:w="55" w:type="dxa"/>
              <w:start w:w="70" w:type="dxa"/>
              <w:bottom w:w="55" w:type="dxa"/>
              <w:end w:w="70" w:type="dxa"/>
            </w:tcMar>
          </w:tcPr>
          <w:p>
            <w:pPr>
              <w:spacing w:after="0" w:before="0" w:line="240" w:lineRule="auto"/>
              <w:jc w:val="center"/>
            </w:pPr>
            <w:r>
              <w:rPr>
                <w:rFonts w:ascii="Times New Roman" w:hAnsi="Times New Roman"/>
                <w:b/>
                <w:color w:val="000000"/>
                <w:sz w:val="16"/>
              </w:rPr>
              <w:t>Grupo</w:t>
            </w:r>
          </w:p>
        </w:tc>
        <w:tc>
          <w:tcPr>
            <w:tcW w:type="dxa" w:w="3311"/>
            <w:vAlign w:val="center"/>
            <w:shd w:fill="1F4E78"/>
            <w:tcMar>
              <w:top w:w="55" w:type="dxa"/>
              <w:start w:w="70" w:type="dxa"/>
              <w:bottom w:w="55" w:type="dxa"/>
              <w:end w:w="70" w:type="dxa"/>
            </w:tcMar>
          </w:tcPr>
          <w:p>
            <w:pPr>
              <w:spacing w:after="0" w:before="0" w:line="240" w:lineRule="auto"/>
              <w:jc w:val="center"/>
            </w:pPr>
            <w:r>
              <w:rPr>
                <w:rFonts w:ascii="Times New Roman" w:hAnsi="Times New Roman"/>
                <w:b/>
                <w:color w:val="000000"/>
                <w:sz w:val="16"/>
              </w:rPr>
              <w:t>Ejemplos</w:t>
            </w:r>
          </w:p>
        </w:tc>
        <w:tc>
          <w:tcPr>
            <w:tcW w:type="dxa" w:w="3240"/>
            <w:vAlign w:val="center"/>
            <w:shd w:fill="1F4E78"/>
            <w:tcMar>
              <w:top w:w="55" w:type="dxa"/>
              <w:start w:w="70" w:type="dxa"/>
              <w:bottom w:w="55" w:type="dxa"/>
              <w:end w:w="70" w:type="dxa"/>
            </w:tcMar>
          </w:tcPr>
          <w:p>
            <w:pPr>
              <w:spacing w:after="0" w:before="0" w:line="240" w:lineRule="auto"/>
              <w:jc w:val="center"/>
            </w:pPr>
            <w:r>
              <w:rPr>
                <w:rFonts w:ascii="Times New Roman" w:hAnsi="Times New Roman"/>
                <w:b/>
                <w:color w:val="000000"/>
                <w:sz w:val="16"/>
              </w:rPr>
              <w:t>Uso propuesto</w:t>
            </w:r>
          </w:p>
        </w:tc>
      </w:tr>
      <w:tr>
        <w:trPr>
          <w:cantSplit/>
        </w:trPr>
        <w:tc>
          <w:tcPr>
            <w:tcW w:type="dxa" w:w="2232"/>
            <w:vAlign w:val="center"/>
            <w:tcMar>
              <w:top w:w="55" w:type="dxa"/>
              <w:start w:w="70" w:type="dxa"/>
              <w:bottom w:w="55" w:type="dxa"/>
              <w:end w:w="70" w:type="dxa"/>
            </w:tcMar>
          </w:tcPr>
          <w:p>
            <w:pPr>
              <w:spacing w:after="0" w:before="0" w:line="240" w:lineRule="auto"/>
              <w:jc w:val="left"/>
            </w:pPr>
            <w:r>
              <w:rPr>
                <w:rFonts w:ascii="Times New Roman" w:hAnsi="Times New Roman"/>
                <w:color w:val="000000"/>
                <w:sz w:val="16"/>
              </w:rPr>
              <w:t>Conocidas de antemano</w:t>
            </w:r>
          </w:p>
        </w:tc>
        <w:tc>
          <w:tcPr>
            <w:tcW w:type="dxa" w:w="3311"/>
            <w:vAlign w:val="center"/>
            <w:tcMar>
              <w:top w:w="55" w:type="dxa"/>
              <w:start w:w="70" w:type="dxa"/>
              <w:bottom w:w="55" w:type="dxa"/>
              <w:end w:w="70" w:type="dxa"/>
            </w:tcMar>
          </w:tcPr>
          <w:p>
            <w:pPr>
              <w:spacing w:after="0" w:before="0" w:line="240" w:lineRule="auto"/>
              <w:jc w:val="center"/>
            </w:pPr>
            <w:r>
              <w:rPr>
                <w:rFonts w:ascii="Times New Roman" w:hAnsi="Times New Roman"/>
                <w:color w:val="000000"/>
                <w:sz w:val="16"/>
              </w:rPr>
              <w:t>Cultivo, estación, fecha y Kc planificado</w:t>
            </w:r>
          </w:p>
        </w:tc>
        <w:tc>
          <w:tcPr>
            <w:tcW w:type="dxa" w:w="3240"/>
            <w:vAlign w:val="center"/>
            <w:tcMar>
              <w:top w:w="55" w:type="dxa"/>
              <w:start w:w="70" w:type="dxa"/>
              <w:bottom w:w="55" w:type="dxa"/>
              <w:end w:w="70" w:type="dxa"/>
            </w:tcMar>
          </w:tcPr>
          <w:p>
            <w:pPr>
              <w:spacing w:after="0" w:before="0" w:line="240" w:lineRule="auto"/>
              <w:jc w:val="center"/>
            </w:pPr>
            <w:r>
              <w:rPr>
                <w:rFonts w:ascii="Times New Roman" w:hAnsi="Times New Roman"/>
                <w:color w:val="000000"/>
                <w:sz w:val="16"/>
              </w:rPr>
              <w:t>Candidatas para predicción</w:t>
            </w:r>
          </w:p>
        </w:tc>
      </w:tr>
      <w:tr>
        <w:trPr>
          <w:cantSplit/>
        </w:trPr>
        <w:tc>
          <w:tcPr>
            <w:tcW w:type="dxa" w:w="2232"/>
            <w:vAlign w:val="center"/>
            <w:shd w:fill="EAF2F8"/>
            <w:tcMar>
              <w:top w:w="55" w:type="dxa"/>
              <w:start w:w="70" w:type="dxa"/>
              <w:bottom w:w="55" w:type="dxa"/>
              <w:end w:w="70" w:type="dxa"/>
            </w:tcMar>
          </w:tcPr>
          <w:p>
            <w:pPr>
              <w:spacing w:after="0" w:before="0" w:line="240" w:lineRule="auto"/>
              <w:jc w:val="left"/>
            </w:pPr>
            <w:r>
              <w:rPr>
                <w:rFonts w:ascii="Times New Roman" w:hAnsi="Times New Roman"/>
                <w:color w:val="000000"/>
                <w:sz w:val="16"/>
              </w:rPr>
              <w:t>Meteorología observada</w:t>
            </w:r>
          </w:p>
        </w:tc>
        <w:tc>
          <w:tcPr>
            <w:tcW w:type="dxa" w:w="3311"/>
            <w:vAlign w:val="center"/>
            <w:shd w:fill="EAF2F8"/>
            <w:tcMar>
              <w:top w:w="55" w:type="dxa"/>
              <w:start w:w="70" w:type="dxa"/>
              <w:bottom w:w="55" w:type="dxa"/>
              <w:end w:w="70" w:type="dxa"/>
            </w:tcMar>
          </w:tcPr>
          <w:p>
            <w:pPr>
              <w:spacing w:after="0" w:before="0" w:line="240" w:lineRule="auto"/>
              <w:jc w:val="center"/>
            </w:pPr>
            <w:r>
              <w:rPr>
                <w:rFonts w:ascii="Times New Roman" w:hAnsi="Times New Roman"/>
                <w:color w:val="000000"/>
                <w:sz w:val="16"/>
              </w:rPr>
              <w:t>Temperatura, humedad, viento, radiación y ET0</w:t>
            </w:r>
          </w:p>
        </w:tc>
        <w:tc>
          <w:tcPr>
            <w:tcW w:type="dxa" w:w="3240"/>
            <w:vAlign w:val="center"/>
            <w:shd w:fill="EAF2F8"/>
            <w:tcMar>
              <w:top w:w="55" w:type="dxa"/>
              <w:start w:w="70" w:type="dxa"/>
              <w:bottom w:w="55" w:type="dxa"/>
              <w:end w:w="70" w:type="dxa"/>
            </w:tcMar>
          </w:tcPr>
          <w:p>
            <w:pPr>
              <w:spacing w:after="0" w:before="0" w:line="240" w:lineRule="auto"/>
              <w:jc w:val="center"/>
            </w:pPr>
            <w:r>
              <w:rPr>
                <w:rFonts w:ascii="Times New Roman" w:hAnsi="Times New Roman"/>
                <w:color w:val="000000"/>
                <w:sz w:val="16"/>
              </w:rPr>
              <w:t>Prototipo retrospectivo; para futuro exige pronóstico</w:t>
            </w:r>
          </w:p>
        </w:tc>
      </w:tr>
      <w:tr>
        <w:trPr>
          <w:cantSplit/>
        </w:trPr>
        <w:tc>
          <w:tcPr>
            <w:tcW w:type="dxa" w:w="2232"/>
            <w:vAlign w:val="center"/>
            <w:tcMar>
              <w:top w:w="55" w:type="dxa"/>
              <w:start w:w="70" w:type="dxa"/>
              <w:bottom w:w="55" w:type="dxa"/>
              <w:end w:w="70" w:type="dxa"/>
            </w:tcMar>
          </w:tcPr>
          <w:p>
            <w:pPr>
              <w:spacing w:after="0" w:before="0" w:line="240" w:lineRule="auto"/>
              <w:jc w:val="left"/>
            </w:pPr>
            <w:r>
              <w:rPr>
                <w:rFonts w:ascii="Times New Roman" w:hAnsi="Times New Roman"/>
                <w:color w:val="000000"/>
                <w:sz w:val="16"/>
              </w:rPr>
              <w:t>Históricas desplazadas</w:t>
            </w:r>
          </w:p>
        </w:tc>
        <w:tc>
          <w:tcPr>
            <w:tcW w:type="dxa" w:w="3311"/>
            <w:vAlign w:val="center"/>
            <w:tcMar>
              <w:top w:w="55" w:type="dxa"/>
              <w:start w:w="70" w:type="dxa"/>
              <w:bottom w:w="55" w:type="dxa"/>
              <w:end w:w="70" w:type="dxa"/>
            </w:tcMar>
          </w:tcPr>
          <w:p>
            <w:pPr>
              <w:spacing w:after="0" w:before="0" w:line="240" w:lineRule="auto"/>
              <w:jc w:val="center"/>
            </w:pPr>
            <w:r>
              <w:rPr>
                <w:rFonts w:ascii="Times New Roman" w:hAnsi="Times New Roman"/>
                <w:color w:val="000000"/>
                <w:sz w:val="16"/>
              </w:rPr>
              <w:t>Retardos y ventanas hasta t−1</w:t>
            </w:r>
          </w:p>
        </w:tc>
        <w:tc>
          <w:tcPr>
            <w:tcW w:type="dxa" w:w="3240"/>
            <w:vAlign w:val="center"/>
            <w:tcMar>
              <w:top w:w="55" w:type="dxa"/>
              <w:start w:w="70" w:type="dxa"/>
              <w:bottom w:w="55" w:type="dxa"/>
              <w:end w:w="70" w:type="dxa"/>
            </w:tcMar>
          </w:tcPr>
          <w:p>
            <w:pPr>
              <w:spacing w:after="0" w:before="0" w:line="240" w:lineRule="auto"/>
              <w:jc w:val="center"/>
            </w:pPr>
            <w:r>
              <w:rPr>
                <w:rFonts w:ascii="Times New Roman" w:hAnsi="Times New Roman"/>
                <w:color w:val="000000"/>
                <w:sz w:val="16"/>
              </w:rPr>
              <w:t>Candidatas si están disponibles en producción</w:t>
            </w:r>
          </w:p>
        </w:tc>
      </w:tr>
      <w:tr>
        <w:trPr>
          <w:cantSplit/>
        </w:trPr>
        <w:tc>
          <w:tcPr>
            <w:tcW w:type="dxa" w:w="2232"/>
            <w:vAlign w:val="center"/>
            <w:shd w:fill="EAF2F8"/>
            <w:tcMar>
              <w:top w:w="55" w:type="dxa"/>
              <w:start w:w="70" w:type="dxa"/>
              <w:bottom w:w="55" w:type="dxa"/>
              <w:end w:w="70" w:type="dxa"/>
            </w:tcMar>
          </w:tcPr>
          <w:p>
            <w:pPr>
              <w:spacing w:after="0" w:before="0" w:line="240" w:lineRule="auto"/>
              <w:jc w:val="left"/>
            </w:pPr>
            <w:r>
              <w:rPr>
                <w:rFonts w:ascii="Times New Roman" w:hAnsi="Times New Roman"/>
                <w:color w:val="000000"/>
                <w:sz w:val="16"/>
              </w:rPr>
              <w:t>Derivadas contemporáneas</w:t>
            </w:r>
          </w:p>
        </w:tc>
        <w:tc>
          <w:tcPr>
            <w:tcW w:type="dxa" w:w="3311"/>
            <w:vAlign w:val="center"/>
            <w:shd w:fill="EAF2F8"/>
            <w:tcMar>
              <w:top w:w="55" w:type="dxa"/>
              <w:start w:w="70" w:type="dxa"/>
              <w:bottom w:w="55" w:type="dxa"/>
              <w:end w:w="70" w:type="dxa"/>
            </w:tcMar>
          </w:tcPr>
          <w:p>
            <w:pPr>
              <w:spacing w:after="0" w:before="0" w:line="240" w:lineRule="auto"/>
              <w:jc w:val="center"/>
            </w:pPr>
            <w:r>
              <w:rPr>
                <w:rFonts w:ascii="Times New Roman" w:hAnsi="Times New Roman"/>
                <w:color w:val="000000"/>
                <w:sz w:val="16"/>
              </w:rPr>
              <w:t>ETc, precipitación efectiva y necesidad reconstruida</w:t>
            </w:r>
          </w:p>
        </w:tc>
        <w:tc>
          <w:tcPr>
            <w:tcW w:type="dxa" w:w="3240"/>
            <w:vAlign w:val="center"/>
            <w:shd w:fill="EAF2F8"/>
            <w:tcMar>
              <w:top w:w="55" w:type="dxa"/>
              <w:start w:w="70" w:type="dxa"/>
              <w:bottom w:w="55" w:type="dxa"/>
              <w:end w:w="70" w:type="dxa"/>
            </w:tcMar>
          </w:tcPr>
          <w:p>
            <w:pPr>
              <w:spacing w:after="0" w:before="0" w:line="240" w:lineRule="auto"/>
              <w:jc w:val="center"/>
            </w:pPr>
            <w:r>
              <w:rPr>
                <w:rFonts w:ascii="Times New Roman" w:hAnsi="Times New Roman"/>
                <w:color w:val="000000"/>
                <w:sz w:val="16"/>
              </w:rPr>
              <w:t>Solo diagnóstico; excluir del entrenamiento</w:t>
            </w:r>
          </w:p>
        </w:tc>
      </w:tr>
      <w:tr>
        <w:trPr>
          <w:cantSplit/>
        </w:trPr>
        <w:tc>
          <w:tcPr>
            <w:tcW w:type="dxa" w:w="2232"/>
            <w:vAlign w:val="center"/>
            <w:tcMar>
              <w:top w:w="55" w:type="dxa"/>
              <w:start w:w="70" w:type="dxa"/>
              <w:bottom w:w="55" w:type="dxa"/>
              <w:end w:w="70" w:type="dxa"/>
            </w:tcMar>
          </w:tcPr>
          <w:p>
            <w:pPr>
              <w:spacing w:after="0" w:before="0" w:line="240" w:lineRule="auto"/>
              <w:jc w:val="left"/>
            </w:pPr>
            <w:r>
              <w:rPr>
                <w:rFonts w:ascii="Times New Roman" w:hAnsi="Times New Roman"/>
                <w:color w:val="000000"/>
                <w:sz w:val="16"/>
              </w:rPr>
              <w:t>Calidad y trazabilidad</w:t>
            </w:r>
          </w:p>
        </w:tc>
        <w:tc>
          <w:tcPr>
            <w:tcW w:type="dxa" w:w="3311"/>
            <w:vAlign w:val="center"/>
            <w:tcMar>
              <w:top w:w="55" w:type="dxa"/>
              <w:start w:w="70" w:type="dxa"/>
              <w:bottom w:w="55" w:type="dxa"/>
              <w:end w:w="70" w:type="dxa"/>
            </w:tcMar>
          </w:tcPr>
          <w:p>
            <w:pPr>
              <w:spacing w:after="0" w:before="0" w:line="240" w:lineRule="auto"/>
              <w:jc w:val="center"/>
            </w:pPr>
            <w:r>
              <w:rPr>
                <w:rFonts w:ascii="Times New Roman" w:hAnsi="Times New Roman"/>
                <w:color w:val="000000"/>
                <w:sz w:val="16"/>
              </w:rPr>
              <w:t>Estados, incidencias, fichero y fecha de ingesta</w:t>
            </w:r>
          </w:p>
        </w:tc>
        <w:tc>
          <w:tcPr>
            <w:tcW w:type="dxa" w:w="3240"/>
            <w:vAlign w:val="center"/>
            <w:tcMar>
              <w:top w:w="55" w:type="dxa"/>
              <w:start w:w="70" w:type="dxa"/>
              <w:bottom w:w="55" w:type="dxa"/>
              <w:end w:w="70" w:type="dxa"/>
            </w:tcMar>
          </w:tcPr>
          <w:p>
            <w:pPr>
              <w:spacing w:after="0" w:before="0" w:line="240" w:lineRule="auto"/>
              <w:jc w:val="center"/>
            </w:pPr>
            <w:r>
              <w:rPr>
                <w:rFonts w:ascii="Times New Roman" w:hAnsi="Times New Roman"/>
                <w:color w:val="000000"/>
                <w:sz w:val="16"/>
              </w:rPr>
              <w:t>Auditoría; no predictores</w:t>
            </w:r>
          </w:p>
        </w:tc>
      </w:tr>
    </w:tbl>
    <w:p>
      <w:pPr>
        <w:spacing w:after="40"/>
      </w:pPr>
    </w:p>
    <w:p>
      <w:pPr>
        <w:spacing w:after="120"/>
        <w:jc w:val="both"/>
      </w:pPr>
      <w:r>
        <w:rPr>
          <w:rFonts w:ascii="Times New Roman" w:hAnsi="Times New Roman"/>
          <w:color w:val="000000"/>
          <w:sz w:val="24"/>
        </w:rPr>
        <w:t>El catálogo docs/data_samples/feature_catalog_4_2.csv documenta las 88 columnas, su tipo, disponibilidad, porcentaje de ausencias, función y riesgo de fuga. Este control será la base para seleccionar las variables del apartado 4.3. También evita que un buen resultado aparente provenga de introducir en el modelo componentes que determinan algebraicamente la etiqueta.</w:t>
      </w:r>
    </w:p>
    <w:p>
      <w:pPr>
        <w:spacing w:after="120"/>
        <w:jc w:val="both"/>
      </w:pPr>
      <w:r>
        <w:rPr>
          <w:rFonts w:ascii="Times New Roman" w:hAnsi="Times New Roman"/>
          <w:color w:val="000000"/>
          <w:sz w:val="24"/>
        </w:rPr>
        <w:t>La muestra AEMET disponible no se incorpora al entrenamiento: corresponde a una predicción emitida en septiembre de 2026 y no coincide temporalmente con el ciclo SiAR de 2025. Sirve como prueba de integración del sistema operacional. Para entrenar un modelo de recomendación futura será necesario obtener predicciones meteorológicas históricas emitidas antes de cada fecha objetivo o definir un escenario de prototipo retrospectivo basado exclusivamente en observaciones SiAR.</w:t>
      </w:r>
    </w:p>
    <w:p>
      <w:pPr>
        <w:pStyle w:val="Heading3"/>
        <w:keepNext/>
      </w:pPr>
      <w:r>
        <w:rPr>
          <w:rFonts w:ascii="Times New Roman" w:hAnsi="Times New Roman"/>
          <w:color w:val="000000"/>
          <w:sz w:val="24"/>
        </w:rPr>
        <w:t>4.2.6. Estrategia de preparación para el modelado</w:t>
      </w:r>
    </w:p>
    <w:p>
      <w:pPr>
        <w:spacing w:after="120"/>
        <w:jc w:val="both"/>
      </w:pPr>
      <w:r>
        <w:rPr>
          <w:rFonts w:ascii="Times New Roman" w:hAnsi="Times New Roman"/>
          <w:color w:val="000000"/>
          <w:sz w:val="24"/>
        </w:rPr>
        <w:t>La división de entrenamiento, validación y prueba debe respetar el orden temporal. Una partición aleatoria mezclaría días muy próximos de la misma campaña y produciría una estimación optimista del error. En este piloto se propone entrenar con el tramo inicial y evaluar con fechas posteriores; cuando se amplíe el histórico, deberán reservarse campañas completas y, posteriormente, estaciones completas para medir generalización temporal y espacial.</w:t>
      </w:r>
    </w:p>
    <w:p>
      <w:pPr>
        <w:spacing w:after="120"/>
        <w:jc w:val="both"/>
      </w:pPr>
      <w:r>
        <w:rPr>
          <w:rFonts w:ascii="Times New Roman" w:hAnsi="Times New Roman"/>
          <w:color w:val="000000"/>
          <w:sz w:val="24"/>
        </w:rPr>
        <w:t>Las imputaciones y escalados se ajustarán únicamente con el conjunto de entrenamiento. Las filas sin objetivo no pueden utilizarse para supervisar el modelo. Los retardos generan ausencias esperadas al inicio de la serie y después de huecos del calendario; dichas ausencias se tratarán mediante un Pipeline reproducible, sin reemplazarlas por cero salvo que el significado agronómico lo justifique.</w:t>
      </w:r>
    </w:p>
    <w:p>
      <w:pPr>
        <w:spacing w:after="120"/>
        <w:jc w:val="both"/>
      </w:pPr>
      <w:r>
        <w:rPr>
          <w:rFonts w:ascii="Times New Roman" w:hAnsi="Times New Roman"/>
          <w:color w:val="000000"/>
          <w:sz w:val="24"/>
        </w:rPr>
        <w:t>El conjunto actual es suficiente para verificar el flujo técnico, crear una línea base y detectar problemas de integración. No es suficiente para afirmar que el modelo se generaliza a otras campañas, estaciones, zonas o cultivos: solo existen una estación, un cultivo, una campaña y 148 etiquetas válidas. Esta limitación condicionará la interpretación de las métricas del apartado 4.3.</w:t>
      </w:r>
    </w:p>
    <w:p>
      <w:pPr>
        <w:pStyle w:val="Heading3"/>
        <w:keepNext/>
      </w:pPr>
      <w:r>
        <w:rPr>
          <w:rFonts w:ascii="Times New Roman" w:hAnsi="Times New Roman"/>
          <w:color w:val="000000"/>
          <w:sz w:val="24"/>
        </w:rPr>
        <w:t>4.2.7. Resultados reproducibles</w:t>
      </w:r>
    </w:p>
    <w:p>
      <w:pPr>
        <w:spacing w:after="120"/>
        <w:jc w:val="both"/>
      </w:pPr>
      <w:r>
        <w:rPr>
          <w:rFonts w:ascii="Times New Roman" w:hAnsi="Times New Roman"/>
          <w:color w:val="000000"/>
          <w:sz w:val="24"/>
        </w:rPr>
        <w:t>La ejecución de python -m src.analysis.build_eda_4_2 genera:</w:t>
      </w:r>
    </w:p>
    <w:p>
      <w:pPr>
        <w:spacing w:after="60" w:line="276" w:lineRule="auto"/>
        <w:ind w:left="360" w:hanging="230"/>
        <w:jc w:val="both"/>
      </w:pPr>
      <w:r>
        <w:rPr>
          <w:rFonts w:ascii="Times New Roman" w:hAnsi="Times New Roman"/>
          <w:b/>
          <w:i w:val="0"/>
          <w:color w:val="000000"/>
          <w:sz w:val="24"/>
        </w:rPr>
        <w:t xml:space="preserve">• data/processed/modeling_dataset_daily.csv: </w:t>
      </w:r>
      <w:r>
        <w:rPr>
          <w:rFonts w:ascii="Times New Roman" w:hAnsi="Times New Roman"/>
          <w:b w:val="0"/>
          <w:i w:val="0"/>
          <w:color w:val="000000"/>
          <w:sz w:val="24"/>
        </w:rPr>
        <w:t>tabla completa de modelización, excluida de Git por ser un dato generado.</w:t>
      </w:r>
    </w:p>
    <w:p>
      <w:pPr>
        <w:spacing w:after="60" w:line="276" w:lineRule="auto"/>
        <w:ind w:left="360" w:hanging="230"/>
        <w:jc w:val="both"/>
      </w:pPr>
      <w:r>
        <w:rPr>
          <w:rFonts w:ascii="Times New Roman" w:hAnsi="Times New Roman"/>
          <w:b/>
          <w:i w:val="0"/>
          <w:color w:val="000000"/>
          <w:sz w:val="24"/>
        </w:rPr>
        <w:t xml:space="preserve">• eda_summary_4_2.json: </w:t>
      </w:r>
      <w:r>
        <w:rPr>
          <w:rFonts w:ascii="Times New Roman" w:hAnsi="Times New Roman"/>
          <w:b w:val="0"/>
          <w:i w:val="0"/>
          <w:color w:val="000000"/>
          <w:sz w:val="24"/>
        </w:rPr>
        <w:t>resumen verificable de cobertura, calidad, objetivo y correlaciones.</w:t>
      </w:r>
    </w:p>
    <w:p>
      <w:pPr>
        <w:spacing w:after="60" w:line="276" w:lineRule="auto"/>
        <w:ind w:left="360" w:hanging="230"/>
        <w:jc w:val="both"/>
      </w:pPr>
      <w:r>
        <w:rPr>
          <w:rFonts w:ascii="Times New Roman" w:hAnsi="Times New Roman"/>
          <w:b/>
          <w:i w:val="0"/>
          <w:color w:val="000000"/>
          <w:sz w:val="24"/>
        </w:rPr>
        <w:t xml:space="preserve">• eda_variable_summary_4_2.csv: </w:t>
      </w:r>
      <w:r>
        <w:rPr>
          <w:rFonts w:ascii="Times New Roman" w:hAnsi="Times New Roman"/>
          <w:b w:val="0"/>
          <w:i w:val="0"/>
          <w:color w:val="000000"/>
          <w:sz w:val="24"/>
        </w:rPr>
        <w:t>estadísticos descriptivos de las variables principales.</w:t>
      </w:r>
    </w:p>
    <w:p>
      <w:pPr>
        <w:spacing w:after="60" w:line="276" w:lineRule="auto"/>
        <w:ind w:left="360" w:hanging="230"/>
        <w:jc w:val="both"/>
      </w:pPr>
      <w:r>
        <w:rPr>
          <w:rFonts w:ascii="Times New Roman" w:hAnsi="Times New Roman"/>
          <w:b/>
          <w:i w:val="0"/>
          <w:color w:val="000000"/>
          <w:sz w:val="24"/>
        </w:rPr>
        <w:t xml:space="preserve">• feature_catalog_4_2.csv: </w:t>
      </w:r>
      <w:r>
        <w:rPr>
          <w:rFonts w:ascii="Times New Roman" w:hAnsi="Times New Roman"/>
          <w:b w:val="0"/>
          <w:i w:val="0"/>
          <w:color w:val="000000"/>
          <w:sz w:val="24"/>
        </w:rPr>
        <w:t>catálogo de variables y control de fuga de información.</w:t>
      </w:r>
    </w:p>
    <w:p>
      <w:pPr>
        <w:spacing w:after="60" w:line="276" w:lineRule="auto"/>
        <w:ind w:left="360" w:hanging="230"/>
        <w:jc w:val="both"/>
      </w:pPr>
      <w:r>
        <w:rPr>
          <w:rFonts w:ascii="Times New Roman" w:hAnsi="Times New Roman"/>
          <w:b/>
          <w:i w:val="0"/>
          <w:color w:val="000000"/>
          <w:sz w:val="24"/>
        </w:rPr>
        <w:t xml:space="preserve">• modeling_dataset_sample_4_2.csv: </w:t>
      </w:r>
      <w:r>
        <w:rPr>
          <w:rFonts w:ascii="Times New Roman" w:hAnsi="Times New Roman"/>
          <w:b w:val="0"/>
          <w:i w:val="0"/>
          <w:color w:val="000000"/>
          <w:sz w:val="24"/>
        </w:rPr>
        <w:t>muestra ligera de la tabla preparada.</w:t>
      </w:r>
    </w:p>
    <w:p>
      <w:pPr>
        <w:spacing w:after="60" w:line="276" w:lineRule="auto"/>
        <w:ind w:left="360" w:hanging="230"/>
        <w:jc w:val="both"/>
      </w:pPr>
      <w:r>
        <w:rPr>
          <w:rFonts w:ascii="Times New Roman" w:hAnsi="Times New Roman"/>
          <w:b/>
          <w:i w:val="0"/>
          <w:color w:val="000000"/>
          <w:sz w:val="24"/>
        </w:rPr>
        <w:t xml:space="preserve">• docs/images/: </w:t>
      </w:r>
      <w:r>
        <w:rPr>
          <w:rFonts w:ascii="Times New Roman" w:hAnsi="Times New Roman"/>
          <w:b w:val="0"/>
          <w:i w:val="0"/>
          <w:color w:val="000000"/>
          <w:sz w:val="24"/>
        </w:rPr>
        <w:t>cuatro figuras sobre series, distribuciones, correlaciones y calidad.</w:t>
      </w:r>
    </w:p>
    <w:p>
      <w:pPr>
        <w:keepLines/>
        <w:spacing w:after="120"/>
        <w:jc w:val="both"/>
      </w:pPr>
      <w:r>
        <w:rPr>
          <w:rFonts w:ascii="Times New Roman" w:hAnsi="Times New Roman"/>
          <w:color w:val="000000"/>
          <w:sz w:val="24"/>
        </w:rPr>
        <w:t>Con ello, el apartado 4.2 queda cerrado como un proceso repetible: parte de las tablas normalizadas, documenta sus limitaciones, genera variables temporales y agronómicas, distingue la disponibilidad real de cada predictor y produce una tabla preparada para la comparación de modelos del apartado 4.3.</w:t>
      </w:r>
    </w:p>
    <w:p>
      <w:pPr>
        <w:pStyle w:val="Heading2"/>
      </w:pPr>
      <w:r>
        <w:t>4.3. Desarrollo y evaluación del modelo predictivo</w:t>
      </w:r>
    </w:p>
    <w:p>
      <w:pPr>
        <w:spacing w:after="120"/>
      </w:pPr>
      <w:r>
        <w:t xml:space="preserve">El objetivo de esta fase es comprobar si un modelo puede anticipar la necesidad neta diaria de riego publicada por SiAR para el piloto de pimiento en la estación </w:t>
      </w:r>
      <w:r>
        <w:rPr>
          <w:rFonts w:ascii="Consolas" w:hAnsi="Consolas"/>
          <w:sz w:val="19"/>
        </w:rPr>
        <w:t>AL01</w:t>
      </w:r>
      <w:r>
        <w:t xml:space="preserve"> La Mojonera. La variable objetivo, </w:t>
      </w:r>
      <w:r>
        <w:rPr>
          <w:rFonts w:ascii="Consolas" w:hAnsi="Consolas"/>
          <w:sz w:val="19"/>
        </w:rPr>
        <w:t>target_net_irrigation_need_mm</w:t>
      </w:r>
      <w:r>
        <w:t>, es una referencia agronómica calculada y no una medición del riego aplicado ni de la respuesta real del cultivo. Por ello, el experimento demuestra la viabilidad del flujo de modelización del DSS, pero no permite afirmar todavía que se optimice el consumo de agua.</w:t>
      </w:r>
    </w:p>
    <w:p>
      <w:pPr>
        <w:pStyle w:val="Heading3"/>
        <w:keepNext/>
      </w:pPr>
      <w:r>
        <w:rPr>
          <w:rFonts w:ascii="Times New Roman" w:hAnsi="Times New Roman"/>
          <w:color w:val="000000"/>
          <w:sz w:val="24"/>
        </w:rPr>
        <w:t>4.3.1. Conjunto de modelización y prevención de fuga de información</w:t>
      </w:r>
    </w:p>
    <w:p>
      <w:pPr>
        <w:spacing w:after="120"/>
      </w:pPr>
      <w:r>
        <w:t>El entrenamiento consume directamente la tabla analítica construida en el apartado 4.2 (</w:t>
      </w:r>
      <w:r>
        <w:rPr>
          <w:rFonts w:ascii="Consolas" w:hAnsi="Consolas"/>
          <w:sz w:val="19"/>
        </w:rPr>
        <w:t>data/processed/modeling_dataset_daily.csv</w:t>
      </w:r>
      <w:r>
        <w:t>). Así se mantiene la trazabilidad entre extracción, preparación y modelización, y se evita repetir transformaciones con criterios diferentes. De los 150 días del ciclo, 148 disponen de objetivo válido y participan en el experimento.</w:t>
      </w:r>
    </w:p>
    <w:p>
      <w:pPr>
        <w:spacing w:after="120"/>
      </w:pPr>
      <w:r>
        <w:t>Los nueve predictores utilizados son el coeficiente de cultivo conocido para la fecha; la codificación cíclica del día del año; los retardos de 1, 3 y 7 días de la necesidad neta; y sus acumulados históricos de 3, 7 y 14 días. Todos ellos están disponibles antes del día que se desea estimar. Los retardos se calculan por fecha de calendario: si falta el día anterior, el retardo de un día queda ausente y no se sustituye por la última fila disponible.</w:t>
      </w:r>
    </w:p>
    <w:p>
      <w:pPr>
        <w:spacing w:after="120"/>
      </w:pPr>
      <w:r>
        <w:t xml:space="preserve">Se excluyen expresamente la ET0, la ETc y la precipitación efectiva del mismo día, así como las variables diagnósticas derivadas de ellas. La referencia SiAR se aproxima mediante </w:t>
      </w:r>
      <w:r>
        <w:rPr>
          <w:rFonts w:ascii="Consolas" w:hAnsi="Consolas"/>
          <w:sz w:val="19"/>
        </w:rPr>
        <w:t>max(ET0 × Kc − Pe, 0)</w:t>
      </w:r>
      <w:r>
        <w:t>; incluir esos campos permitiría reconstruir el objetivo de forma algebraica y produciría métricas aparentemente buenas sin capacidad predictiva real. Los valores ausentes restantes se imputan con la mediana aprendida exclusivamente en cada periodo de entrenamiento.</w:t>
      </w:r>
    </w:p>
    <w:p>
      <w:pPr>
        <w:pStyle w:val="Heading3"/>
        <w:keepNext/>
      </w:pPr>
      <w:r>
        <w:rPr>
          <w:rFonts w:ascii="Times New Roman" w:hAnsi="Times New Roman"/>
          <w:color w:val="000000"/>
          <w:sz w:val="24"/>
        </w:rPr>
        <w:t>4.3.2. Diseño de validación temporal</w:t>
      </w:r>
    </w:p>
    <w:p>
      <w:pPr>
        <w:keepLines/>
        <w:spacing w:after="120"/>
      </w:pPr>
      <w:r>
        <w:t>La evaluación mantiene el orden cronológico. Los últimos 23 registros, del 8 al 30 de septiembre de 2025, se reservan como prueba final y no intervienen en la selección. Las 125 observaciones anteriores forman el periodo de desarrollo. Sobre este periodo se aplica una validación temporal con tres cortes y ventana expansiva: cada modelo aprende únicamente con el pasado y se valida sobre el bloque inmediatamente posterior.</w:t>
      </w:r>
    </w:p>
    <w:p>
      <w:pPr>
        <w:spacing w:after="120"/>
      </w:pPr>
      <w:r>
        <w:t>Este diseño es más robusto que escoger un modelo mediante una sola partición, porque permite observar si su rendimiento se mantiene a medida que avanza el ciclo del cultivo. El bloque de prueba se consulta una sola vez después de seleccionar el enfoque con menor MAE medio de validación. Se fija la semilla 42 y las predicciones se limitan a un mínimo físico de 0 mm/día.</w:t>
      </w:r>
    </w:p>
    <w:p>
      <w:pPr>
        <w:pStyle w:val="Heading3"/>
        <w:keepNext/>
      </w:pPr>
      <w:r>
        <w:rPr>
          <w:rFonts w:ascii="Times New Roman" w:hAnsi="Times New Roman"/>
          <w:color w:val="000000"/>
          <w:sz w:val="24"/>
        </w:rPr>
        <w:t>4.3.3. Enfoques comparados</w:t>
      </w:r>
    </w:p>
    <w:p>
      <w:pPr>
        <w:spacing w:after="120"/>
      </w:pPr>
      <w:r>
        <w:t>Se comparan seis alternativas con distinta complejidad. Los tres enfoques iniciales se conservan y se añaden KNN, SVR y XGBoost para ampliar la evidencia antes de elegir el modelo:</w:t>
      </w:r>
    </w:p>
    <w:p>
      <w:pPr>
        <w:spacing w:after="60"/>
        <w:ind w:left="360" w:hanging="259"/>
      </w:pPr>
      <w:r>
        <w:t xml:space="preserve">1. </w:t>
      </w:r>
      <w:r>
        <w:rPr>
          <w:b/>
        </w:rPr>
        <w:t>Persistencia:</w:t>
      </w:r>
      <w:r>
        <w:t xml:space="preserve"> para una predicción a un día, asigna al día </w:t>
      </w:r>
      <w:r>
        <w:rPr>
          <w:rFonts w:ascii="Consolas" w:hAnsi="Consolas"/>
          <w:sz w:val="19"/>
        </w:rPr>
        <w:t>t</w:t>
      </w:r>
      <w:r>
        <w:t xml:space="preserve"> la necesidad observada en </w:t>
      </w:r>
      <w:r>
        <w:rPr>
          <w:rFonts w:ascii="Consolas" w:hAnsi="Consolas"/>
          <w:sz w:val="19"/>
        </w:rPr>
        <w:t>t-1</w:t>
      </w:r>
      <w:r>
        <w:t>. Si el retardo no está disponible, utiliza la mediana aprendida en el periodo de entrenamiento. No es un algoritmo de aprendizaje automático, sino un baseline temporal que los modelos más complejos deben superar.</w:t>
      </w:r>
    </w:p>
    <w:p>
      <w:pPr>
        <w:spacing w:after="60"/>
        <w:ind w:left="360" w:hanging="259"/>
      </w:pPr>
      <w:r>
        <w:t xml:space="preserve">2. </w:t>
      </w:r>
      <w:r>
        <w:rPr>
          <w:b/>
        </w:rPr>
        <w:t>Regresión Ridge:</w:t>
      </w:r>
      <w:r>
        <w:t xml:space="preserve"> modelo lineal regularizado, precedido por imputación y estandarización. Aporta una referencia interpretable y reduce el riesgo de sobreajuste.</w:t>
      </w:r>
    </w:p>
    <w:p>
      <w:pPr>
        <w:spacing w:after="60"/>
        <w:ind w:left="360" w:hanging="259"/>
      </w:pPr>
      <w:r>
        <w:t xml:space="preserve">3. </w:t>
      </w:r>
      <w:r>
        <w:rPr>
          <w:b/>
        </w:rPr>
        <w:t>Random Forest:</w:t>
      </w:r>
      <w:r>
        <w:t xml:space="preserve"> conjunto de 300 árboles, con profundidad máxima de cinco niveles y un mínimo de cuatro muestras por hoja. Representa relaciones no lineales con una configuración conservadora para el tamaño muestral.</w:t>
      </w:r>
    </w:p>
    <w:p>
      <w:pPr>
        <w:spacing w:after="60"/>
        <w:ind w:left="360" w:hanging="259"/>
      </w:pPr>
      <w:r>
        <w:t xml:space="preserve">4. </w:t>
      </w:r>
      <w:r>
        <w:rPr>
          <w:b/>
        </w:rPr>
        <w:t>KNN Regressor:</w:t>
      </w:r>
      <w:r>
        <w:t xml:space="preserve"> estima cada día a partir de los siete vecinos más cercanos, ponderados por distancia. Incluye imputación y estandarización porque las distancias son sensibles a la escala de las variables.</w:t>
      </w:r>
    </w:p>
    <w:p>
      <w:pPr>
        <w:spacing w:after="60"/>
        <w:ind w:left="360" w:hanging="259"/>
      </w:pPr>
      <w:r>
        <w:t xml:space="preserve">5. </w:t>
      </w:r>
      <w:r>
        <w:rPr>
          <w:b/>
        </w:rPr>
        <w:t>Support Vector Regression:</w:t>
      </w:r>
      <w:r>
        <w:t xml:space="preserve"> utiliza un kernel RBF para representar relaciones no lineales. Se configura con </w:t>
      </w:r>
      <w:r>
        <w:rPr>
          <w:rFonts w:ascii="Consolas" w:hAnsi="Consolas"/>
          <w:sz w:val="19"/>
        </w:rPr>
        <w:t>C=10</w:t>
      </w:r>
      <w:r>
        <w:t xml:space="preserve"> y </w:t>
      </w:r>
      <w:r>
        <w:rPr>
          <w:rFonts w:ascii="Consolas" w:hAnsi="Consolas"/>
          <w:sz w:val="19"/>
        </w:rPr>
        <w:t>epsilon=0,1</w:t>
      </w:r>
      <w:r>
        <w:t>, precedido por imputación y estandarización.</w:t>
      </w:r>
    </w:p>
    <w:p>
      <w:pPr>
        <w:spacing w:after="60"/>
        <w:ind w:left="360" w:hanging="259"/>
      </w:pPr>
      <w:r>
        <w:t xml:space="preserve">6. </w:t>
      </w:r>
      <w:r>
        <w:rPr>
          <w:b/>
        </w:rPr>
        <w:t>XGBoost Regressor:</w:t>
      </w:r>
      <w:r>
        <w:t xml:space="preserve"> aplica </w:t>
      </w:r>
      <w:r>
        <w:rPr>
          <w:i/>
        </w:rPr>
        <w:t>gradient boosting</w:t>
      </w:r>
      <w:r>
        <w:t xml:space="preserve"> sobre 250 árboles poco profundos, con tasa de aprendizaje de 0,03, submuestreo y regularización. La configuración es deliberadamente conservadora para reducir el riesgo de sobreajuste en una muestra pequeña.</w:t>
      </w:r>
    </w:p>
    <w:p>
      <w:pPr>
        <w:spacing w:after="120"/>
      </w:pPr>
      <w:r>
        <w:t>No se buscan hiperparámetros sobre el tramo de prueba. Todos los modelos se comparan con configuraciones fijadas, la misma matriz de predictores y los mismos cortes temporales. La persistencia participa en el mismo procedimiento de selección, evitando desplegar un algoritmo más complejo si no aporta una mejora estable y medible.</w:t>
      </w:r>
    </w:p>
    <w:p>
      <w:pPr>
        <w:pStyle w:val="Heading3"/>
        <w:keepNext/>
      </w:pPr>
      <w:r>
        <w:rPr>
          <w:rFonts w:ascii="Times New Roman" w:hAnsi="Times New Roman"/>
          <w:color w:val="000000"/>
          <w:sz w:val="24"/>
        </w:rPr>
        <w:t>4.3.4. Métricas de evaluación</w:t>
      </w:r>
    </w:p>
    <w:p>
      <w:pPr>
        <w:spacing w:after="120"/>
      </w:pPr>
      <w:r>
        <w:t>El MAE diario es la métrica principal porque se interpreta directamente en milímetros y es menos sensible que el RMSE a episodios extremos. Se añaden el RMSE diario, el coeficiente R², el sesgo medio —positivo cuando se sobreestima y negativo cuando se infraestima— y el MAE de los acumulados semanales. Esta última métrica es coherente con el DSS, que debe ofrecer recomendaciones diarias y semanales. El R² se interpreta con cautela: el tramo final presenta una variación reducida de la necesidad neta y puede producir valores negativos aunque el error absoluto sea pequeño. Por ello no se utiliza para seleccionar el modelo.</w:t>
      </w:r>
    </w:p>
    <w:p>
      <w:pPr>
        <w:pStyle w:val="Heading3"/>
        <w:keepNext/>
      </w:pPr>
      <w:r>
        <w:rPr>
          <w:rFonts w:ascii="Times New Roman" w:hAnsi="Times New Roman"/>
          <w:color w:val="000000"/>
          <w:sz w:val="24"/>
        </w:rPr>
        <w:t>4.3.5. Resultados de validación</w:t>
      </w:r>
    </w:p>
    <w:p>
      <w:pPr>
        <w:spacing w:after="120"/>
      </w:pPr>
      <w:r>
        <w:rPr>
          <w:b/>
        </w:rPr>
        <w:t>Tabla 4.13. Rendimiento medio en los tres cortes de validación temporal.</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5"/>
        <w:gridCol w:w="1805"/>
        <w:gridCol w:w="1805"/>
        <w:gridCol w:w="1805"/>
        <w:gridCol w:w="1805"/>
      </w:tblGrid>
      <w:tr>
        <w:trPr>
          <w:tblHeader w:val="true"/>
          <w:cantSplit/>
        </w:trPr>
        <w:tc>
          <w:tcPr>
            <w:tcW w:type="dxa" w:w="1805"/>
            <w:vAlign w:val="center"/>
            <w:tcMar>
              <w:top w:w="90" w:type="dxa"/>
              <w:start w:w="100" w:type="dxa"/>
              <w:bottom w:w="90" w:type="dxa"/>
              <w:end w:w="100" w:type="dxa"/>
            </w:tcMar>
            <w:shd w:fill="1F4E78"/>
          </w:tcPr>
          <w:p>
            <w:pPr>
              <w:jc w:val="left"/>
            </w:pPr>
            <w:r>
              <w:rPr>
                <w:rFonts w:ascii="Times New Roman" w:hAnsi="Times New Roman"/>
                <w:b/>
                <w:color w:val="FFFFFF"/>
                <w:sz w:val="16"/>
              </w:rPr>
              <w:t>Enfoque</w:t>
            </w:r>
          </w:p>
        </w:tc>
        <w:tc>
          <w:tcPr>
            <w:tcW w:type="dxa" w:w="1805"/>
            <w:vAlign w:val="center"/>
            <w:tcMar>
              <w:top w:w="90" w:type="dxa"/>
              <w:start w:w="100" w:type="dxa"/>
              <w:bottom w:w="90" w:type="dxa"/>
              <w:end w:w="100" w:type="dxa"/>
            </w:tcMar>
            <w:shd w:fill="1F4E78"/>
          </w:tcPr>
          <w:p>
            <w:pPr>
              <w:jc w:val="center"/>
            </w:pPr>
            <w:r>
              <w:rPr>
                <w:rFonts w:ascii="Times New Roman" w:hAnsi="Times New Roman"/>
                <w:b/>
                <w:color w:val="FFFFFF"/>
                <w:sz w:val="16"/>
              </w:rPr>
              <w:t>MAE diario (media ± desv.)</w:t>
            </w:r>
          </w:p>
        </w:tc>
        <w:tc>
          <w:tcPr>
            <w:tcW w:type="dxa" w:w="1805"/>
            <w:vAlign w:val="center"/>
            <w:tcMar>
              <w:top w:w="90" w:type="dxa"/>
              <w:start w:w="100" w:type="dxa"/>
              <w:bottom w:w="90" w:type="dxa"/>
              <w:end w:w="100" w:type="dxa"/>
            </w:tcMar>
            <w:shd w:fill="1F4E78"/>
          </w:tcPr>
          <w:p>
            <w:pPr>
              <w:jc w:val="center"/>
            </w:pPr>
            <w:r>
              <w:rPr>
                <w:rFonts w:ascii="Times New Roman" w:hAnsi="Times New Roman"/>
                <w:b/>
                <w:color w:val="FFFFFF"/>
                <w:sz w:val="16"/>
              </w:rPr>
              <w:t>RMSE diario</w:t>
            </w:r>
          </w:p>
        </w:tc>
        <w:tc>
          <w:tcPr>
            <w:tcW w:type="dxa" w:w="1805"/>
            <w:vAlign w:val="center"/>
            <w:tcMar>
              <w:top w:w="90" w:type="dxa"/>
              <w:start w:w="100" w:type="dxa"/>
              <w:bottom w:w="90" w:type="dxa"/>
              <w:end w:w="100" w:type="dxa"/>
            </w:tcMar>
            <w:shd w:fill="1F4E78"/>
          </w:tcPr>
          <w:p>
            <w:pPr>
              <w:jc w:val="center"/>
            </w:pPr>
            <w:r>
              <w:rPr>
                <w:rFonts w:ascii="Times New Roman" w:hAnsi="Times New Roman"/>
                <w:b/>
                <w:color w:val="FFFFFF"/>
                <w:sz w:val="16"/>
              </w:rPr>
              <w:t>Sesgo diario</w:t>
            </w:r>
          </w:p>
        </w:tc>
        <w:tc>
          <w:tcPr>
            <w:tcW w:type="dxa" w:w="1805"/>
            <w:vAlign w:val="center"/>
            <w:tcMar>
              <w:top w:w="90" w:type="dxa"/>
              <w:start w:w="100" w:type="dxa"/>
              <w:bottom w:w="90" w:type="dxa"/>
              <w:end w:w="100" w:type="dxa"/>
            </w:tcMar>
            <w:shd w:fill="1F4E78"/>
          </w:tcPr>
          <w:p>
            <w:pPr>
              <w:jc w:val="center"/>
            </w:pPr>
            <w:r>
              <w:rPr>
                <w:rFonts w:ascii="Times New Roman" w:hAnsi="Times New Roman"/>
                <w:b/>
                <w:color w:val="FFFFFF"/>
                <w:sz w:val="16"/>
              </w:rPr>
              <w:t>MAE semanal</w:t>
            </w:r>
          </w:p>
        </w:tc>
      </w:tr>
      <w:tr>
        <w:trPr>
          <w:cantSplit/>
        </w:trPr>
        <w:tc>
          <w:tcPr>
            <w:tcW w:type="dxa" w:w="1805"/>
            <w:vAlign w:val="center"/>
            <w:tcMar>
              <w:top w:w="90" w:type="dxa"/>
              <w:start w:w="100" w:type="dxa"/>
              <w:bottom w:w="90" w:type="dxa"/>
              <w:end w:w="100" w:type="dxa"/>
            </w:tcMar>
          </w:tcPr>
          <w:p>
            <w:pPr>
              <w:jc w:val="left"/>
            </w:pPr>
            <w:r>
              <w:rPr>
                <w:rFonts w:ascii="Times New Roman" w:hAnsi="Times New Roman"/>
                <w:color w:val="000000"/>
                <w:sz w:val="16"/>
              </w:rPr>
              <w:t>Persistencia</w:t>
            </w:r>
          </w:p>
        </w:tc>
        <w:tc>
          <w:tcPr>
            <w:tcW w:type="dxa" w:w="1805"/>
            <w:vAlign w:val="center"/>
            <w:tcMar>
              <w:top w:w="90" w:type="dxa"/>
              <w:start w:w="100" w:type="dxa"/>
              <w:bottom w:w="90" w:type="dxa"/>
              <w:end w:w="100" w:type="dxa"/>
            </w:tcMar>
          </w:tcPr>
          <w:p>
            <w:pPr>
              <w:jc w:val="center"/>
            </w:pPr>
            <w:r>
              <w:rPr>
                <w:rFonts w:ascii="Times New Roman" w:hAnsi="Times New Roman"/>
                <w:b/>
                <w:color w:val="000000"/>
                <w:sz w:val="16"/>
              </w:rPr>
              <w:t>0,434 ± 0,075</w:t>
            </w:r>
          </w:p>
        </w:tc>
        <w:tc>
          <w:tcPr>
            <w:tcW w:type="dxa" w:w="1805"/>
            <w:vAlign w:val="center"/>
            <w:tcMar>
              <w:top w:w="90" w:type="dxa"/>
              <w:start w:w="100" w:type="dxa"/>
              <w:bottom w:w="90" w:type="dxa"/>
              <w:end w:w="100" w:type="dxa"/>
            </w:tcMar>
          </w:tcPr>
          <w:p>
            <w:pPr>
              <w:jc w:val="center"/>
            </w:pPr>
            <w:r>
              <w:rPr>
                <w:rFonts w:ascii="Times New Roman" w:hAnsi="Times New Roman"/>
                <w:b/>
                <w:color w:val="000000"/>
                <w:sz w:val="16"/>
              </w:rPr>
              <w:t>0,644</w:t>
            </w:r>
          </w:p>
        </w:tc>
        <w:tc>
          <w:tcPr>
            <w:tcW w:type="dxa" w:w="1805"/>
            <w:vAlign w:val="center"/>
            <w:tcMar>
              <w:top w:w="90" w:type="dxa"/>
              <w:start w:w="100" w:type="dxa"/>
              <w:bottom w:w="90" w:type="dxa"/>
              <w:end w:w="100" w:type="dxa"/>
            </w:tcMar>
          </w:tcPr>
          <w:p>
            <w:pPr>
              <w:jc w:val="center"/>
            </w:pPr>
            <w:r>
              <w:rPr>
                <w:rFonts w:ascii="Times New Roman" w:hAnsi="Times New Roman"/>
                <w:b/>
                <w:color w:val="000000"/>
                <w:sz w:val="16"/>
              </w:rPr>
              <w:t>0,013</w:t>
            </w:r>
          </w:p>
        </w:tc>
        <w:tc>
          <w:tcPr>
            <w:tcW w:type="dxa" w:w="1805"/>
            <w:vAlign w:val="center"/>
            <w:tcMar>
              <w:top w:w="90" w:type="dxa"/>
              <w:start w:w="100" w:type="dxa"/>
              <w:bottom w:w="90" w:type="dxa"/>
              <w:end w:w="100" w:type="dxa"/>
            </w:tcMar>
          </w:tcPr>
          <w:p>
            <w:pPr>
              <w:jc w:val="center"/>
            </w:pPr>
            <w:r>
              <w:rPr>
                <w:rFonts w:ascii="Times New Roman" w:hAnsi="Times New Roman"/>
                <w:b/>
                <w:color w:val="000000"/>
                <w:sz w:val="16"/>
              </w:rPr>
              <w:t>0,926</w:t>
            </w:r>
          </w:p>
        </w:tc>
      </w:tr>
      <w:tr>
        <w:trPr>
          <w:cantSplit/>
        </w:trPr>
        <w:tc>
          <w:tcPr>
            <w:tcW w:type="dxa" w:w="1805"/>
            <w:vAlign w:val="center"/>
            <w:tcMar>
              <w:top w:w="90" w:type="dxa"/>
              <w:start w:w="100" w:type="dxa"/>
              <w:bottom w:w="90" w:type="dxa"/>
              <w:end w:w="100" w:type="dxa"/>
            </w:tcMar>
            <w:shd w:fill="EAF2F8"/>
          </w:tcPr>
          <w:p>
            <w:pPr>
              <w:jc w:val="left"/>
            </w:pPr>
            <w:r>
              <w:rPr>
                <w:rFonts w:ascii="Times New Roman" w:hAnsi="Times New Roman"/>
                <w:color w:val="000000"/>
                <w:sz w:val="16"/>
              </w:rPr>
              <w:t>Ridge</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0,602 ± 0,303</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0,742</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0,292</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2,803</w:t>
            </w:r>
          </w:p>
        </w:tc>
      </w:tr>
      <w:tr>
        <w:trPr>
          <w:cantSplit/>
        </w:trPr>
        <w:tc>
          <w:tcPr>
            <w:tcW w:type="dxa" w:w="1805"/>
            <w:vAlign w:val="center"/>
            <w:tcMar>
              <w:top w:w="90" w:type="dxa"/>
              <w:start w:w="100" w:type="dxa"/>
              <w:bottom w:w="90" w:type="dxa"/>
              <w:end w:w="100" w:type="dxa"/>
            </w:tcMar>
          </w:tcPr>
          <w:p>
            <w:pPr>
              <w:jc w:val="left"/>
            </w:pPr>
            <w:r>
              <w:rPr>
                <w:rFonts w:ascii="Times New Roman" w:hAnsi="Times New Roman"/>
                <w:color w:val="000000"/>
                <w:sz w:val="16"/>
              </w:rPr>
              <w:t>Random Forest</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1,118 ± 0,090</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1,385</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-0,432</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6,396</w:t>
            </w:r>
          </w:p>
        </w:tc>
      </w:tr>
      <w:tr>
        <w:trPr>
          <w:cantSplit/>
        </w:trPr>
        <w:tc>
          <w:tcPr>
            <w:tcW w:type="dxa" w:w="1805"/>
            <w:vAlign w:val="center"/>
            <w:tcMar>
              <w:top w:w="90" w:type="dxa"/>
              <w:start w:w="100" w:type="dxa"/>
              <w:bottom w:w="90" w:type="dxa"/>
              <w:end w:w="100" w:type="dxa"/>
            </w:tcMar>
            <w:shd w:fill="EAF2F8"/>
          </w:tcPr>
          <w:p>
            <w:pPr>
              <w:jc w:val="left"/>
            </w:pPr>
            <w:r>
              <w:rPr>
                <w:rFonts w:ascii="Times New Roman" w:hAnsi="Times New Roman"/>
                <w:color w:val="000000"/>
                <w:sz w:val="16"/>
              </w:rPr>
              <w:t>KNN</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0,937 ± 0,284</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1,113</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-0,413</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5,383</w:t>
            </w:r>
          </w:p>
        </w:tc>
      </w:tr>
      <w:tr>
        <w:trPr>
          <w:cantSplit/>
        </w:trPr>
        <w:tc>
          <w:tcPr>
            <w:tcW w:type="dxa" w:w="1805"/>
            <w:vAlign w:val="center"/>
            <w:tcMar>
              <w:top w:w="90" w:type="dxa"/>
              <w:start w:w="100" w:type="dxa"/>
              <w:bottom w:w="90" w:type="dxa"/>
              <w:end w:w="100" w:type="dxa"/>
            </w:tcMar>
          </w:tcPr>
          <w:p>
            <w:pPr>
              <w:jc w:val="left"/>
            </w:pPr>
            <w:r>
              <w:rPr>
                <w:rFonts w:ascii="Times New Roman" w:hAnsi="Times New Roman"/>
                <w:color w:val="000000"/>
                <w:sz w:val="16"/>
              </w:rPr>
              <w:t>SVR</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1,052 ± 0,136</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1,263</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-0,731</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5,876</w:t>
            </w:r>
          </w:p>
        </w:tc>
      </w:tr>
      <w:tr>
        <w:trPr>
          <w:cantSplit/>
        </w:trPr>
        <w:tc>
          <w:tcPr>
            <w:tcW w:type="dxa" w:w="1805"/>
            <w:vAlign w:val="center"/>
            <w:tcMar>
              <w:top w:w="90" w:type="dxa"/>
              <w:start w:w="100" w:type="dxa"/>
              <w:bottom w:w="90" w:type="dxa"/>
              <w:end w:w="100" w:type="dxa"/>
            </w:tcMar>
            <w:shd w:fill="EAF2F8"/>
          </w:tcPr>
          <w:p>
            <w:pPr>
              <w:jc w:val="left"/>
            </w:pPr>
            <w:r>
              <w:rPr>
                <w:rFonts w:ascii="Times New Roman" w:hAnsi="Times New Roman"/>
                <w:color w:val="000000"/>
                <w:sz w:val="16"/>
              </w:rPr>
              <w:t>XGBoost</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1,141 ± 0,340</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1,378</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-0,535</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6,607</w:t>
            </w:r>
          </w:p>
        </w:tc>
      </w:tr>
    </w:tbl>
    <w:p>
      <w:pPr>
        <w:spacing w:after="40"/>
      </w:pPr>
    </w:p>
    <w:p>
      <w:pPr>
        <w:spacing w:after="120"/>
      </w:pPr>
      <w:r>
        <w:t>La persistencia obtiene el menor MAE medio. Ridge solo supera ligeramente al baseline en el tercer corte (0,356 frente a 0,408 mm/día), pero su MAE aumenta hasta 1,029 mm/día en el segundo. KNN queda en una posición intermedia, mientras que Random Forest, SVR y XGBoost no compensan su mayor complejidad. Ningún algoritmo de aprendizaje supera de forma estable a la persistencia en los tres cortes. La Figura 4.6 hace visible esta inestabilidad y justifica seleccionar el baseline antes de consultar la prueba final.</w:t>
      </w:r>
    </w:p>
    <w:p>
      <w:pPr>
        <w:keepNext/>
        <w:jc w:val="center"/>
      </w:pPr>
      <w:r>
        <w:drawing>
          <wp:inline xmlns:wp="http://schemas.openxmlformats.org/drawingml/2006/wordprocessingDrawing" xmlns:a="http://schemas.openxmlformats.org/drawingml/2006/main" xmlns:pic="http://schemas.openxmlformats.org/drawingml/2006/picture">
            <wp:extent cx="5577840" cy="2710339"/>
            <wp:docPr id="23" name="Picture 23"/>
            <wp:cNvGraphicFramePr>
              <a:graphicFrameLocks noChangeAspect="1"/>
            </wp:cNvGraphicFramePr>
            <a:graphic>
              <a:graphicData uri="http://schemas.openxmlformats.org/drawingml/2006/picture">
                <pic:pic>
                  <pic:nvPicPr>
                    <pic:cNvPr id="0" name="image.png"/>
                    <pic:cNvPicPr/>
                  </pic:nvPicPr>
                  <pic:blipFill>
                    <a:blip ns1:embed="rId15"/>
                    <a:stretch>
                      <a:fillRect/>
                    </a:stretch>
                  </pic:blipFill>
                  <pic:spPr>
                    <a:xfrm>
                      <a:off x="0" y="0"/>
                      <a:ext cx="5577840" cy="2710339"/>
                    </a:xfrm>
                    <a:prstGeom prst="rect"/>
                  </pic:spPr>
                </pic:pic>
              </a:graphicData>
            </a:graphic>
          </wp:inline>
        </w:drawing>
      </w:r>
    </w:p>
    <w:p>
      <w:pPr>
        <w:keepLines/>
        <w:jc w:val="center"/>
      </w:pPr>
      <w:r>
        <w:rPr>
          <w:i/>
          <w:sz w:val="20"/>
        </w:rPr>
        <w:t>Figura 4.6. Estabilidad temporal de los modelos durante la validación y comparación con la prueba final.</w:t>
      </w:r>
    </w:p>
    <w:p>
      <w:pPr>
        <w:pStyle w:val="Heading3"/>
        <w:keepNext/>
      </w:pPr>
      <w:r>
        <w:rPr>
          <w:rFonts w:ascii="Times New Roman" w:hAnsi="Times New Roman"/>
          <w:color w:val="000000"/>
          <w:sz w:val="24"/>
        </w:rPr>
        <w:t>4.3.6. Evaluación sobre el tramo de prueba</w:t>
      </w:r>
    </w:p>
    <w:p>
      <w:pPr>
        <w:spacing w:after="120"/>
      </w:pPr>
      <w:r>
        <w:rPr>
          <w:b/>
        </w:rPr>
        <w:t>Tabla 4.14. Resultados sobre el periodo de prueba reservado.</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04"/>
        <w:gridCol w:w="1504"/>
        <w:gridCol w:w="1504"/>
        <w:gridCol w:w="1504"/>
        <w:gridCol w:w="1504"/>
        <w:gridCol w:w="1504"/>
      </w:tblGrid>
      <w:tr>
        <w:trPr>
          <w:tblHeader w:val="true"/>
          <w:cantSplit/>
        </w:trPr>
        <w:tc>
          <w:tcPr>
            <w:tcW w:type="dxa" w:w="1504"/>
            <w:vAlign w:val="center"/>
            <w:tcMar>
              <w:top w:w="90" w:type="dxa"/>
              <w:start w:w="100" w:type="dxa"/>
              <w:bottom w:w="90" w:type="dxa"/>
              <w:end w:w="100" w:type="dxa"/>
            </w:tcMar>
            <w:shd w:fill="1F4E78"/>
          </w:tcPr>
          <w:p>
            <w:pPr>
              <w:jc w:val="left"/>
            </w:pPr>
            <w:r>
              <w:rPr>
                <w:rFonts w:ascii="Times New Roman" w:hAnsi="Times New Roman"/>
                <w:b/>
                <w:color w:val="FFFFFF"/>
                <w:sz w:val="16"/>
              </w:rPr>
              <w:t>Enfoque</w:t>
            </w:r>
          </w:p>
        </w:tc>
        <w:tc>
          <w:tcPr>
            <w:tcW w:type="dxa" w:w="1504"/>
            <w:vAlign w:val="center"/>
            <w:tcMar>
              <w:top w:w="90" w:type="dxa"/>
              <w:start w:w="100" w:type="dxa"/>
              <w:bottom w:w="90" w:type="dxa"/>
              <w:end w:w="100" w:type="dxa"/>
            </w:tcMar>
            <w:shd w:fill="1F4E78"/>
          </w:tcPr>
          <w:p>
            <w:pPr>
              <w:jc w:val="center"/>
            </w:pPr>
            <w:r>
              <w:rPr>
                <w:rFonts w:ascii="Times New Roman" w:hAnsi="Times New Roman"/>
                <w:b/>
                <w:color w:val="FFFFFF"/>
                <w:sz w:val="16"/>
              </w:rPr>
              <w:t>MAE diario</w:t>
            </w:r>
          </w:p>
        </w:tc>
        <w:tc>
          <w:tcPr>
            <w:tcW w:type="dxa" w:w="1504"/>
            <w:vAlign w:val="center"/>
            <w:tcMar>
              <w:top w:w="90" w:type="dxa"/>
              <w:start w:w="100" w:type="dxa"/>
              <w:bottom w:w="90" w:type="dxa"/>
              <w:end w:w="100" w:type="dxa"/>
            </w:tcMar>
            <w:shd w:fill="1F4E78"/>
          </w:tcPr>
          <w:p>
            <w:pPr>
              <w:jc w:val="center"/>
            </w:pPr>
            <w:r>
              <w:rPr>
                <w:rFonts w:ascii="Times New Roman" w:hAnsi="Times New Roman"/>
                <w:b/>
                <w:color w:val="FFFFFF"/>
                <w:sz w:val="16"/>
              </w:rPr>
              <w:t>RMSE diario</w:t>
            </w:r>
          </w:p>
        </w:tc>
        <w:tc>
          <w:tcPr>
            <w:tcW w:type="dxa" w:w="1504"/>
            <w:vAlign w:val="center"/>
            <w:tcMar>
              <w:top w:w="90" w:type="dxa"/>
              <w:start w:w="100" w:type="dxa"/>
              <w:bottom w:w="90" w:type="dxa"/>
              <w:end w:w="100" w:type="dxa"/>
            </w:tcMar>
            <w:shd w:fill="1F4E78"/>
          </w:tcPr>
          <w:p>
            <w:pPr>
              <w:jc w:val="center"/>
            </w:pPr>
            <w:r>
              <w:rPr>
                <w:rFonts w:ascii="Times New Roman" w:hAnsi="Times New Roman"/>
                <w:b/>
                <w:color w:val="FFFFFF"/>
                <w:sz w:val="16"/>
              </w:rPr>
              <w:t>R²</w:t>
            </w:r>
          </w:p>
        </w:tc>
        <w:tc>
          <w:tcPr>
            <w:tcW w:type="dxa" w:w="1504"/>
            <w:vAlign w:val="center"/>
            <w:tcMar>
              <w:top w:w="90" w:type="dxa"/>
              <w:start w:w="100" w:type="dxa"/>
              <w:bottom w:w="90" w:type="dxa"/>
              <w:end w:w="100" w:type="dxa"/>
            </w:tcMar>
            <w:shd w:fill="1F4E78"/>
          </w:tcPr>
          <w:p>
            <w:pPr>
              <w:jc w:val="center"/>
            </w:pPr>
            <w:r>
              <w:rPr>
                <w:rFonts w:ascii="Times New Roman" w:hAnsi="Times New Roman"/>
                <w:b/>
                <w:color w:val="FFFFFF"/>
                <w:sz w:val="16"/>
              </w:rPr>
              <w:t>Sesgo diario</w:t>
            </w:r>
          </w:p>
        </w:tc>
        <w:tc>
          <w:tcPr>
            <w:tcW w:type="dxa" w:w="1504"/>
            <w:vAlign w:val="center"/>
            <w:tcMar>
              <w:top w:w="90" w:type="dxa"/>
              <w:start w:w="100" w:type="dxa"/>
              <w:bottom w:w="90" w:type="dxa"/>
              <w:end w:w="100" w:type="dxa"/>
            </w:tcMar>
            <w:shd w:fill="1F4E78"/>
          </w:tcPr>
          <w:p>
            <w:pPr>
              <w:jc w:val="center"/>
            </w:pPr>
            <w:r>
              <w:rPr>
                <w:rFonts w:ascii="Times New Roman" w:hAnsi="Times New Roman"/>
                <w:b/>
                <w:color w:val="FFFFFF"/>
                <w:sz w:val="16"/>
              </w:rPr>
              <w:t>MAE semanal</w:t>
            </w:r>
          </w:p>
        </w:tc>
      </w:tr>
      <w:tr>
        <w:trPr>
          <w:cantSplit/>
        </w:trPr>
        <w:tc>
          <w:tcPr>
            <w:tcW w:type="dxa" w:w="1504"/>
            <w:vAlign w:val="center"/>
            <w:tcMar>
              <w:top w:w="90" w:type="dxa"/>
              <w:start w:w="100" w:type="dxa"/>
              <w:bottom w:w="90" w:type="dxa"/>
              <w:end w:w="100" w:type="dxa"/>
            </w:tcMar>
          </w:tcPr>
          <w:p>
            <w:pPr>
              <w:jc w:val="left"/>
            </w:pPr>
            <w:r>
              <w:rPr>
                <w:rFonts w:ascii="Times New Roman" w:hAnsi="Times New Roman"/>
                <w:color w:val="000000"/>
                <w:sz w:val="16"/>
              </w:rPr>
              <w:t>Persistencia</w:t>
            </w:r>
          </w:p>
        </w:tc>
        <w:tc>
          <w:tcPr>
            <w:tcW w:type="dxa" w:w="1504"/>
            <w:vAlign w:val="center"/>
            <w:tcMar>
              <w:top w:w="90" w:type="dxa"/>
              <w:start w:w="100" w:type="dxa"/>
              <w:bottom w:w="90" w:type="dxa"/>
              <w:end w:w="100" w:type="dxa"/>
            </w:tcMar>
          </w:tcPr>
          <w:p>
            <w:pPr>
              <w:jc w:val="center"/>
            </w:pPr>
            <w:r>
              <w:rPr>
                <w:rFonts w:ascii="Times New Roman" w:hAnsi="Times New Roman"/>
                <w:b/>
                <w:color w:val="000000"/>
                <w:sz w:val="16"/>
              </w:rPr>
              <w:t>0,120</w:t>
            </w:r>
          </w:p>
        </w:tc>
        <w:tc>
          <w:tcPr>
            <w:tcW w:type="dxa" w:w="1504"/>
            <w:vAlign w:val="center"/>
            <w:tcMar>
              <w:top w:w="90" w:type="dxa"/>
              <w:start w:w="100" w:type="dxa"/>
              <w:bottom w:w="90" w:type="dxa"/>
              <w:end w:w="100" w:type="dxa"/>
            </w:tcMar>
          </w:tcPr>
          <w:p>
            <w:pPr>
              <w:jc w:val="center"/>
            </w:pPr>
            <w:r>
              <w:rPr>
                <w:rFonts w:ascii="Times New Roman" w:hAnsi="Times New Roman"/>
                <w:b/>
                <w:color w:val="000000"/>
                <w:sz w:val="16"/>
              </w:rPr>
              <w:t>0,156</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-0,561</w:t>
            </w:r>
          </w:p>
        </w:tc>
        <w:tc>
          <w:tcPr>
            <w:tcW w:type="dxa" w:w="1504"/>
            <w:vAlign w:val="center"/>
            <w:tcMar>
              <w:top w:w="90" w:type="dxa"/>
              <w:start w:w="100" w:type="dxa"/>
              <w:bottom w:w="90" w:type="dxa"/>
              <w:end w:w="100" w:type="dxa"/>
            </w:tcMar>
          </w:tcPr>
          <w:p>
            <w:pPr>
              <w:jc w:val="center"/>
            </w:pPr>
            <w:r>
              <w:rPr>
                <w:rFonts w:ascii="Times New Roman" w:hAnsi="Times New Roman"/>
                <w:b/>
                <w:color w:val="000000"/>
                <w:sz w:val="16"/>
              </w:rPr>
              <w:t>-0,000</w:t>
            </w:r>
          </w:p>
        </w:tc>
        <w:tc>
          <w:tcPr>
            <w:tcW w:type="dxa" w:w="1504"/>
            <w:vAlign w:val="center"/>
            <w:tcMar>
              <w:top w:w="90" w:type="dxa"/>
              <w:start w:w="100" w:type="dxa"/>
              <w:bottom w:w="90" w:type="dxa"/>
              <w:end w:w="100" w:type="dxa"/>
            </w:tcMar>
          </w:tcPr>
          <w:p>
            <w:pPr>
              <w:jc w:val="center"/>
            </w:pPr>
            <w:r>
              <w:rPr>
                <w:rFonts w:ascii="Times New Roman" w:hAnsi="Times New Roman"/>
                <w:b/>
                <w:color w:val="000000"/>
                <w:sz w:val="16"/>
              </w:rPr>
              <w:t>0,172</w:t>
            </w:r>
          </w:p>
        </w:tc>
      </w:tr>
      <w:tr>
        <w:trPr>
          <w:cantSplit/>
        </w:trPr>
        <w:tc>
          <w:tcPr>
            <w:tcW w:type="dxa" w:w="1504"/>
            <w:vAlign w:val="center"/>
            <w:tcMar>
              <w:top w:w="90" w:type="dxa"/>
              <w:start w:w="100" w:type="dxa"/>
              <w:bottom w:w="90" w:type="dxa"/>
              <w:end w:w="100" w:type="dxa"/>
            </w:tcMar>
            <w:shd w:fill="EAF2F8"/>
          </w:tcPr>
          <w:p>
            <w:pPr>
              <w:jc w:val="left"/>
            </w:pPr>
            <w:r>
              <w:rPr>
                <w:rFonts w:ascii="Times New Roman" w:hAnsi="Times New Roman"/>
                <w:color w:val="000000"/>
                <w:sz w:val="16"/>
              </w:rPr>
              <w:t>Ridge</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0,314</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0,352</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-6,962</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-0,310</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1,784</w:t>
            </w:r>
          </w:p>
        </w:tc>
      </w:tr>
      <w:tr>
        <w:trPr>
          <w:cantSplit/>
        </w:trPr>
        <w:tc>
          <w:tcPr>
            <w:tcW w:type="dxa" w:w="1504"/>
            <w:vAlign w:val="center"/>
            <w:tcMar>
              <w:top w:w="90" w:type="dxa"/>
              <w:start w:w="100" w:type="dxa"/>
              <w:bottom w:w="90" w:type="dxa"/>
              <w:end w:w="100" w:type="dxa"/>
            </w:tcMar>
          </w:tcPr>
          <w:p>
            <w:pPr>
              <w:jc w:val="left"/>
            </w:pPr>
            <w:r>
              <w:rPr>
                <w:rFonts w:ascii="Times New Roman" w:hAnsi="Times New Roman"/>
                <w:color w:val="000000"/>
                <w:sz w:val="16"/>
              </w:rPr>
              <w:t>Random Forest</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0,562</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0,583</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-20,780</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0,562</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3,232</w:t>
            </w:r>
          </w:p>
        </w:tc>
      </w:tr>
      <w:tr>
        <w:trPr>
          <w:cantSplit/>
        </w:trPr>
        <w:tc>
          <w:tcPr>
            <w:tcW w:type="dxa" w:w="1504"/>
            <w:vAlign w:val="center"/>
            <w:tcMar>
              <w:top w:w="90" w:type="dxa"/>
              <w:start w:w="100" w:type="dxa"/>
              <w:bottom w:w="90" w:type="dxa"/>
              <w:end w:w="100" w:type="dxa"/>
            </w:tcMar>
            <w:shd w:fill="EAF2F8"/>
          </w:tcPr>
          <w:p>
            <w:pPr>
              <w:jc w:val="left"/>
            </w:pPr>
            <w:r>
              <w:rPr>
                <w:rFonts w:ascii="Times New Roman" w:hAnsi="Times New Roman"/>
                <w:color w:val="000000"/>
                <w:sz w:val="16"/>
              </w:rPr>
              <w:t>KNN</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0,544</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0,562</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-19,211</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0,544</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3,128</w:t>
            </w:r>
          </w:p>
        </w:tc>
      </w:tr>
      <w:tr>
        <w:trPr>
          <w:cantSplit/>
        </w:trPr>
        <w:tc>
          <w:tcPr>
            <w:tcW w:type="dxa" w:w="1504"/>
            <w:vAlign w:val="center"/>
            <w:tcMar>
              <w:top w:w="90" w:type="dxa"/>
              <w:start w:w="100" w:type="dxa"/>
              <w:bottom w:w="90" w:type="dxa"/>
              <w:end w:w="100" w:type="dxa"/>
            </w:tcMar>
          </w:tcPr>
          <w:p>
            <w:pPr>
              <w:jc w:val="left"/>
            </w:pPr>
            <w:r>
              <w:rPr>
                <w:rFonts w:ascii="Times New Roman" w:hAnsi="Times New Roman"/>
                <w:color w:val="000000"/>
                <w:sz w:val="16"/>
              </w:rPr>
              <w:t>SVR</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1,486</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1,503</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-143,726</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1,486</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8,543</w:t>
            </w:r>
          </w:p>
        </w:tc>
      </w:tr>
      <w:tr>
        <w:trPr>
          <w:cantSplit/>
        </w:trPr>
        <w:tc>
          <w:tcPr>
            <w:tcW w:type="dxa" w:w="1504"/>
            <w:vAlign w:val="center"/>
            <w:tcMar>
              <w:top w:w="90" w:type="dxa"/>
              <w:start w:w="100" w:type="dxa"/>
              <w:bottom w:w="90" w:type="dxa"/>
              <w:end w:w="100" w:type="dxa"/>
            </w:tcMar>
            <w:shd w:fill="EAF2F8"/>
          </w:tcPr>
          <w:p>
            <w:pPr>
              <w:jc w:val="left"/>
            </w:pPr>
            <w:r>
              <w:rPr>
                <w:rFonts w:ascii="Times New Roman" w:hAnsi="Times New Roman"/>
                <w:color w:val="000000"/>
                <w:sz w:val="16"/>
              </w:rPr>
              <w:t>XGBoost</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0,766</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0,782</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-38,145</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0,766</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4,402</w:t>
            </w:r>
          </w:p>
        </w:tc>
      </w:tr>
    </w:tbl>
    <w:p>
      <w:pPr>
        <w:spacing w:after="40"/>
      </w:pPr>
    </w:p>
    <w:p>
      <w:pPr>
        <w:spacing w:after="120"/>
      </w:pPr>
      <w:r>
        <w:t>La persistencia sigue de cerca la referencia SiAR y no presenta sesgo apreciable. Ridge conserva el segundo mejor resultado y tiende a infraestimar conforme avanza septiembre. KNN, Random Forest, SVR y XGBoost sobreestiman el tramo final. El R² negativo de la persistencia no contradice su MAE de 0,120 mm/día: durante la prueba la referencia se concentra en un intervalo estrecho, aproximadamente entre 0,89 y 1,35 mm/día, por lo que el denominador del R² es pequeño. La Figura 4.7 muestra las predicciones y el error con signo de los seis enfoques.</w:t>
      </w:r>
    </w:p>
    <w:p>
      <w:pPr>
        <w:keepNext/>
        <w:jc w:val="center"/>
      </w:pPr>
      <w:r>
        <w:drawing>
          <wp:inline xmlns:wp="http://schemas.openxmlformats.org/drawingml/2006/wordprocessingDrawing" xmlns:a="http://schemas.openxmlformats.org/drawingml/2006/main" xmlns:pic="http://schemas.openxmlformats.org/drawingml/2006/picture">
            <wp:extent cx="5577840" cy="3537503"/>
            <wp:docPr id="24" name="Picture 24"/>
            <wp:cNvGraphicFramePr>
              <a:graphicFrameLocks noChangeAspect="1"/>
            </wp:cNvGraphicFramePr>
            <a:graphic>
              <a:graphicData uri="http://schemas.openxmlformats.org/drawingml/2006/picture">
                <pic:pic>
                  <pic:nvPicPr>
                    <pic:cNvPr id="0" name="image.png"/>
                    <pic:cNvPicPr/>
                  </pic:nvPicPr>
                  <pic:blipFill>
                    <a:blip ns1:embed="rId16"/>
                    <a:stretch>
                      <a:fillRect/>
                    </a:stretch>
                  </pic:blipFill>
                  <pic:spPr>
                    <a:xfrm>
                      <a:off x="0" y="0"/>
                      <a:ext cx="5577840" cy="3537503"/>
                    </a:xfrm>
                    <a:prstGeom prst="rect"/>
                  </pic:spPr>
                </pic:pic>
              </a:graphicData>
            </a:graphic>
          </wp:inline>
        </w:drawing>
      </w:r>
    </w:p>
    <w:p>
      <w:pPr>
        <w:keepLines/>
        <w:jc w:val="center"/>
      </w:pPr>
      <w:r>
        <w:rPr>
          <w:i/>
          <w:sz w:val="20"/>
        </w:rPr>
        <w:t>Figura 4.7. Predicciones y errores diarios de los seis enfoques en el tramo de prueba.</w:t>
      </w:r>
    </w:p>
    <w:p>
      <w:pPr>
        <w:pStyle w:val="Heading3"/>
        <w:keepNext/>
      </w:pPr>
      <w:r>
        <w:rPr>
          <w:rFonts w:ascii="Times New Roman" w:hAnsi="Times New Roman"/>
          <w:color w:val="000000"/>
          <w:sz w:val="24"/>
        </w:rPr>
        <w:t>4.3.7. Decisión e interpretación</w:t>
      </w:r>
    </w:p>
    <w:p>
      <w:pPr>
        <w:spacing w:after="120"/>
      </w:pPr>
      <w:r>
        <w:t>Con la evidencia disponible, la decisión técnica es mantener la persistencia como referencia predictiva del piloto y no desplegar todavía ninguno de los cinco algoritmos de aprendizaje. Ridge se conserva como el mejor candidato de machine learning para futuras comparaciones. Esto no significa que el aprendizaje automático carezca de utilidad, sino que la muestra actual —un único ciclo, cultivo y estación— no contiene información suficiente para demostrar una mejora estable frente a una serie muy autocorrelacionada.</w:t>
      </w:r>
    </w:p>
    <w:p>
      <w:pPr>
        <w:spacing w:after="120"/>
      </w:pPr>
      <w:r>
        <w:t>El buen resultado de la persistencia es coherente con el problema evaluado. El objetivo cambia gradualmente entre días consecutivos porque el Kc y gran parte de las condiciones meteorológicas presentan continuidad. Su uso operativo es de un día vista y supone que, al emitir la recomendación, la necesidad del día anterior ya está disponible. Para predecir una semana completa sin nuevas observaciones sería necesario evaluar una estrategia recursiva diferente, en la que cada predicción alimente el día siguiente.</w:t>
      </w:r>
    </w:p>
    <w:p>
      <w:pPr>
        <w:spacing w:after="120"/>
      </w:pPr>
      <w:r>
        <w:t>El resultado también evita confundir dos funciones del DSS. La fórmula SiAR sigue siendo el baseline agronómico explicable para calcular la necesidad cuando se conocen las variables meteorológicas del día. La persistencia es el baseline predictivo para anticiparla con información pasada. Un modelo futuro deberá superar ambos referentes en el contexto de uso que le corresponda.</w:t>
      </w:r>
    </w:p>
    <w:p>
      <w:pPr>
        <w:pStyle w:val="Heading3"/>
        <w:keepNext/>
      </w:pPr>
      <w:r>
        <w:rPr>
          <w:rFonts w:ascii="Times New Roman" w:hAnsi="Times New Roman"/>
          <w:color w:val="000000"/>
          <w:sz w:val="24"/>
        </w:rPr>
        <w:t>4.3.8. Limitaciones y evolución prevista</w:t>
      </w:r>
    </w:p>
    <w:p>
      <w:pPr>
        <w:spacing w:after="120"/>
      </w:pPr>
      <w:r>
        <w:t>La etiqueta reproduce una referencia calculada y no incorpora humedad del suelo, condiciones específicas de la parcela, eficiencia de la instalación, riego aplicado, drenaje, rendimiento ni estrés del cultivo. Además, la meteorología AEMET disponible no coincide temporalmente con el ciclo usado para entrenar. Por ello, las métricas no demuestran ahorro de agua ni generalización a otras parcelas.</w:t>
      </w:r>
    </w:p>
    <w:p>
      <w:pPr>
        <w:spacing w:after="120"/>
      </w:pPr>
      <w:r>
        <w:t>Antes de reconsiderar el despliegue se deben incorporar varias campañas y estaciones, alinear datos meteorológicos históricos y pronosticados, y registrar riego real y sensores de parcela. Una evolución coherente consiste en estimar primero la ET0 futura con predicciones meteorológicas y, cuando existan observaciones agronómicas suficientes, aprender una corrección sobre el baseline físico. La comparación deberá repetirse por campaña y estación, manteniendo grupos temporales independientes.</w:t>
      </w:r>
    </w:p>
    <w:p>
      <w:pPr>
        <w:pStyle w:val="Heading3"/>
        <w:keepNext/>
      </w:pPr>
      <w:r>
        <w:rPr>
          <w:rFonts w:ascii="Times New Roman" w:hAnsi="Times New Roman"/>
          <w:color w:val="000000"/>
          <w:sz w:val="24"/>
        </w:rPr>
        <w:t>4.3.9. Reproducibilidad y evidencias</w:t>
      </w:r>
    </w:p>
    <w:p>
      <w:pPr>
        <w:spacing w:after="120"/>
      </w:pPr>
      <w:r>
        <w:t xml:space="preserve">El flujo se implementa en </w:t>
      </w:r>
      <w:r>
        <w:rPr>
          <w:rFonts w:ascii="Consolas" w:hAnsi="Consolas"/>
          <w:sz w:val="19"/>
        </w:rPr>
        <w:t>src/models/train_evaluate.py</w:t>
      </w:r>
      <w:r>
        <w:t xml:space="preserve"> y se ejecuta con:</w:t>
      </w:r>
    </w:p>
    <w:p>
      <w:pPr>
        <w:spacing w:before="80" w:after="140"/>
        <w:ind w:left="360" w:right="216"/>
        <w:jc w:val="left"/>
        <w:shd w:fill="F2F2F2"/>
      </w:pPr>
      <w:r>
        <w:rPr>
          <w:rFonts w:ascii="Consolas" w:hAnsi="Consolas"/>
          <w:sz w:val="17"/>
        </w:rPr>
        <w:t>python -m src.models.train_evaluate</w:t>
      </w:r>
    </w:p>
    <w:p>
      <w:pPr>
        <w:spacing w:after="120"/>
      </w:pPr>
      <w:r>
        <w:t>El comando genera el informe completo de validación y prueba (</w:t>
      </w:r>
      <w:r>
        <w:rPr>
          <w:rFonts w:ascii="Consolas" w:hAnsi="Consolas"/>
          <w:sz w:val="19"/>
        </w:rPr>
        <w:t>docs/data_samples/model_evaluation_4_3.json</w:t>
      </w:r>
      <w:r>
        <w:t>), las predicciones de los seis enfoques para los 23 días finales (</w:t>
      </w:r>
      <w:r>
        <w:rPr>
          <w:rFonts w:ascii="Consolas" w:hAnsi="Consolas"/>
          <w:sz w:val="19"/>
        </w:rPr>
        <w:t>docs/data_samples/model_predictions_4_3.csv</w:t>
      </w:r>
      <w:r>
        <w:t>), las Figuras 4.6 y 4.7 y el modelo serializado localmente. Este último se excluye de Git por ser un artefacto reproducible. Las pruebas automatizadas verifican el orden temporal, el tratamiento de huecos, la reutilización de variables del 4.2, la exclusión de variables con fuga, la restricción no negativa y la reproducibilidad.</w:t>
      </w:r>
    </w:p>
    <w:p>
      <w:pPr>
        <w:pStyle w:val="Heading1"/>
      </w:pPr>
      <w:r>
        <w:t>5. Sistema de optimización y resultados</w:t>
      </w:r>
    </w:p>
    <w:p>
      <w:pPr>
        <w:pStyle w:val="Heading2"/>
      </w:pPr>
      <w:r>
        <w:t>5.1. Diseño del sistema de recomendación de riego</w:t>
      </w:r>
    </w:p>
    <w:p>
      <w:pPr>
        <w:spacing w:after="120"/>
      </w:pPr>
      <w:r>
        <w:t>El capítulo anterior dejó dos resultados que condicionan el diseño del sistema. Por un lado, la necesidad neta publicada por SiAR puede reconstruirse a partir de la ET0, el coeficiente de cultivo y la precipitación efectiva, de modo que existe una referencia agronómica explicable para los días ya cerrados. Por otro, ninguno de los cinco algoritmos de aprendizaje automático evaluados en el apartado 4.3 superó de forma estable a la persistencia cuando se trata de anticipar el día siguiente. El motor de recomendación se ha construido a partir de ambas constataciones. Su función consiste en transformar la información disponible en una dosis de riego diaria y en un total para el horizonte solicitado, dejando constancia del origen de cada cifra y de las situaciones en las que la propuesta merece menos confianza.</w:t>
      </w:r>
    </w:p>
    <w:p>
      <w:pPr>
        <w:spacing w:after="120"/>
      </w:pPr>
      <w:r>
        <w:t>El sistema se mantiene dentro del alcance definido en el apartado 1.3. No acciona válvulas ni programadores y no pretende sustituir el criterio del técnico o del agricultor. Tampoco estima el riego óptimo medido en parcela, porque no se dispone de humedad del suelo, riego aplicado ni respuesta productiva. Lo que ofrece es una referencia hídrica razonada, acompañada de las reglas que la han modificado y de las advertencias que deben revisarse antes de regar, en línea con el planteamiento híbrido descrito en el apartado 2.3 (Navarro-Hellín et al., 2016; Zhai et al., 2020).</w:t>
      </w:r>
    </w:p>
    <w:p>
      <w:pPr>
        <w:pStyle w:val="Heading3"/>
        <w:keepNext/>
      </w:pPr>
      <w:r>
        <w:rPr>
          <w:rFonts w:ascii="Times New Roman" w:hAnsi="Times New Roman"/>
          <w:color w:val="000000"/>
          <w:sz w:val="24"/>
        </w:rPr>
        <w:t>5.1.1. Requisitos de partida</w:t>
      </w:r>
    </w:p>
    <w:p>
      <w:pPr>
        <w:spacing w:after="120"/>
      </w:pPr>
      <w:r>
        <w:t>Los requisitos se derivaron de los objetivos del capítulo 1 y de las limitaciones detectadas durante el procesamiento de los datos. El usuario debe poder indicar la fecha en la que solicita la recomendación, el número de días que desea planificar, el sistema de riego o su eficiencia, la superficie de la parcela y, si existe, una dotación semanal máxima. Con esos parámetros el sistema tiene que devolver, para cada día, la necesidad neta en milímetros, la dosis bruta ajustada por eficiencia, el volumen cuando se conoce la superficie, un nivel de confianza, las advertencias pertinentes y una explicación en lenguaje llano.</w:t>
      </w:r>
    </w:p>
    <w:p>
      <w:pPr>
        <w:spacing w:after="120"/>
      </w:pPr>
      <w:r>
        <w:t>A estos requisitos funcionales se añadieron tres condiciones de diseño. La primera es temporal: una recomendación emitida en una fecha solo puede utilizar información disponible antes de esa fecha, igual que se exigió a los modelos del capítulo 4. La segunda es de trazabilidad: cada resultado debe poder relacionarse con el método que lo produjo, las reglas aplicadas, el archivo de origen y el último dato observado. La tercera es de prudencia: ante datos ausentes, desactualizados o fuera del intervalo conocido, el sistema debe avisar o abstenerse antes que ofrecer una cifra aparentemente precisa. La literatura sobre adopción de herramientas agrícolas insiste en que la confianza del usuario depende de que entienda por qué se le propone una actuación (Rose et al., 2016), y por esa razón la explicación forma parte de la salida y no de la documentación.</w:t>
      </w:r>
    </w:p>
    <w:p>
      <w:pPr>
        <w:pStyle w:val="Heading3"/>
        <w:keepNext/>
      </w:pPr>
      <w:r>
        <w:rPr>
          <w:rFonts w:ascii="Times New Roman" w:hAnsi="Times New Roman"/>
          <w:color w:val="000000"/>
          <w:sz w:val="24"/>
        </w:rPr>
        <w:t>5.1.2. Arquitectura del motor</w:t>
      </w:r>
    </w:p>
    <w:p>
      <w:pPr>
        <w:spacing w:after="120"/>
      </w:pPr>
      <w:r>
        <w:t xml:space="preserve">La Figura 5.1 resume el recorrido de una consulta. Las entradas del usuario y los datos de la fuente alimentan un módulo de estimación diaria; su resultado pasa por un conjunto de reglas numeradas y, finalmente, se genera una salida diaria y un resumen del horizonte. La lógica se encuentra en </w:t>
      </w:r>
      <w:r>
        <w:rPr>
          <w:rFonts w:ascii="Consolas" w:hAnsi="Consolas"/>
          <w:sz w:val="19"/>
        </w:rPr>
        <w:t>src/dss</w:t>
      </w:r>
      <w:r>
        <w:t>, separada de los clientes de las APIs y de los módulos de modelado, de forma que puede reutilizarse desde la línea de comandos, desde la interfaz del apartado 5.2 o desde los scripts de validación del apartado 5.3.</w:t>
      </w:r>
    </w:p>
    <w:p>
      <w:pPr>
        <w:keepNext/>
        <w:jc w:val="center"/>
      </w:pPr>
      <w:r>
        <w:drawing>
          <wp:inline xmlns:wp="http://schemas.openxmlformats.org/drawingml/2006/wordprocessingDrawing" xmlns:a="http://schemas.openxmlformats.org/drawingml/2006/main" xmlns:pic="http://schemas.openxmlformats.org/drawingml/2006/picture">
            <wp:extent cx="5577840" cy="2783278"/>
            <wp:docPr id="25" name="Picture 25"/>
            <wp:cNvGraphicFramePr>
              <a:graphicFrameLocks noChangeAspect="1"/>
            </wp:cNvGraphicFramePr>
            <a:graphic>
              <a:graphicData uri="http://schemas.openxmlformats.org/drawingml/2006/picture">
                <pic:pic>
                  <pic:nvPicPr>
                    <pic:cNvPr id="0" name="image.png"/>
                    <pic:cNvPicPr/>
                  </pic:nvPicPr>
                  <pic:blipFill>
                    <a:blip ns1:embed="rId18"/>
                    <a:stretch>
                      <a:fillRect/>
                    </a:stretch>
                  </pic:blipFill>
                  <pic:spPr>
                    <a:xfrm>
                      <a:off x="0" y="0"/>
                      <a:ext cx="5577840" cy="2783278"/>
                    </a:xfrm>
                    <a:prstGeom prst="rect"/>
                  </pic:spPr>
                </pic:pic>
              </a:graphicData>
            </a:graphic>
          </wp:inline>
        </w:drawing>
      </w:r>
    </w:p>
    <w:p>
      <w:pPr>
        <w:keepLines/>
        <w:jc w:val="center"/>
      </w:pPr>
      <w:r>
        <w:rPr>
          <w:i/>
          <w:sz w:val="20"/>
        </w:rPr>
        <w:t>Figura 5.1. Flujo de una consulta en el motor de recomendación.</w:t>
      </w:r>
    </w:p>
    <w:p>
      <w:pPr>
        <w:spacing w:after="120"/>
      </w:pPr>
      <w:r>
        <w:t>El caso analizado se describe mediante un objeto de configuración que reúne cultivo, sistema productivo, estación y archivo de origen. Para el piloto, ese objeto apunta al CSV oficial de necesidades de pimiento de la estación AL01 La Mojonera. Cambiar de cultivo o de estación consiste en declarar un caso nuevo con su propio archivo, sin modificar el motor. Al cargar la fuente, el sistema reconstruye el calendario diario completo: las tres fechas que SiAR no devolvió en julio se conservan como filas sin dato y no se interpretan como necesidad nula. Como el coeficiente de cultivo procede del calendario del cultivo y se conoce de antemano, en esas fechas se toma el último valor publicado y se marca la imputación.</w:t>
      </w:r>
    </w:p>
    <w:p>
      <w:pPr>
        <w:pStyle w:val="Heading3"/>
        <w:keepNext/>
      </w:pPr>
      <w:r>
        <w:rPr>
          <w:rFonts w:ascii="Times New Roman" w:hAnsi="Times New Roman"/>
          <w:color w:val="000000"/>
          <w:sz w:val="24"/>
        </w:rPr>
        <w:t>5.1.3. Estimación de la necesidad neta</w:t>
      </w:r>
    </w:p>
    <w:p>
      <w:pPr>
        <w:spacing w:after="120"/>
      </w:pPr>
      <w:r>
        <w:t>El motor distingue dos modos de consulta. En el modo de seguimiento se analizan días ya cerrados y se aplica la expresión agronómica con las variables observadas:</w:t>
      </w:r>
    </w:p>
    <w:p>
      <w:pPr>
        <w:spacing w:before="80" w:after="140"/>
        <w:ind w:left="360" w:right="216"/>
        <w:jc w:val="left"/>
        <w:shd w:fill="F2F2F2"/>
      </w:pPr>
      <w:r>
        <w:rPr>
          <w:rFonts w:ascii="Consolas" w:hAnsi="Consolas"/>
          <w:sz w:val="17"/>
        </w:rPr>
        <w:t>necesidad neta = max(ET0 × Kc − Pe, 0)</w:t>
      </w:r>
    </w:p>
    <w:p>
      <w:pPr>
        <w:spacing w:after="120"/>
      </w:pPr>
      <w:r>
        <w:t>Este modo sirve para revisar a posteriori lo que debería haberse aplicado y para comparar la planificación con la referencia. En el modo de planificación, que es el uso operativo, la ET0 y la precipitación efectiva del día que se quiere regar todavía no se conocen. Para ese caso se establecieron tres vías con un orden de preferencia fijo.</w:t>
      </w:r>
    </w:p>
    <w:p>
      <w:pPr>
        <w:spacing w:after="120"/>
      </w:pPr>
      <w:r>
        <w:t>La vía preferente utiliza una ET0 prevista cuando el usuario o la fuente la proporcionan, ya sea el producto pronosticado de SiAR o una estimación calculada a partir de la predicción de AEMET. La necesidad se obtiene multiplicando esa ET0 por el Kc del día. La segunda vía, que es la que se emplea por defecto en el piloto porque no se dispone de un histórico de predicciones alineado con la campaña, sustituye la ET0 futura por la media de la ET0 observada en los siete días anteriores y la combina con el Kc del día objetivo. La tercera vía es la persistencia del apartado 4.3: se repite la última necesidad neta conocida. Solo se recurre a ella cuando no hay ninguna ET0 reciente, y en todos los casos su valor se guarda junto a la recomendación como referencia de comparación.</w:t>
      </w:r>
    </w:p>
    <w:p>
      <w:pPr>
        <w:spacing w:after="120"/>
      </w:pPr>
      <w:r>
        <w:t>La segunda vía merece una justificación, porque no figuraba entre los enfoques comparados en el capítulo 4. La necesidad neta del piloto depende casi por completo de dos factores, la demanda evaporativa y el coeficiente de cultivo. El primero cambia de forma gradual entre días consecutivos; el segundo cambia de golpe al pasar de una fase a otra y, sin embargo, se conoce con antelación. La persistencia trata ambos factores como si fueran igual de inerciales y, por eso, arrastra durante días el valor de la fase anterior cuando el Kc salta de 0,70 a 0,90 el 1 de julio o de 1,00 a 0,30 el 1 de septiembre. Separar los dos componentes permite aprovechar la continuidad de la ET0 sin renunciar a lo que ya se sabe del calendario. La elección de la ventana de siete días y la comparación con la persistencia en cada horizonte se presentan en el apartado 5.3; aquí basta señalar que la ventana se fijó con el periodo de desarrollo y que el tramo de prueba reservado en el capítulo 4 no intervino en esa decisión.</w:t>
      </w:r>
    </w:p>
    <w:p>
      <w:pPr>
        <w:spacing w:after="120"/>
      </w:pPr>
      <w:r>
        <w:t>La lluvia prevista no se descuenta de forma automática. La precipitación efectiva depende de la intensidad, del estado del suelo y de las pérdidas por escorrentía o percolación, y solo puede valorarse con cierta fiabilidad una vez ha llovido (Allen et al., 1998). En un clima como el de la costa de Almería, donde la precipitación efectiva acumulada de toda la campaña fue de 2,51 mm, restar una lluvia pronosticada que finalmente no llega supondría dejar el cultivo sin agua en pleno verano. El sistema opta por mantener la dosis y avisar de que conviene aplazar el riego y recalcular cuando se conozca la precipitación real.</w:t>
      </w:r>
    </w:p>
    <w:p>
      <w:pPr>
        <w:pStyle w:val="Heading3"/>
        <w:keepNext/>
      </w:pPr>
      <w:r>
        <w:rPr>
          <w:rFonts w:ascii="Times New Roman" w:hAnsi="Times New Roman"/>
          <w:color w:val="000000"/>
          <w:sz w:val="24"/>
        </w:rPr>
        <w:t>5.1.4. Reglas de decisión</w:t>
      </w:r>
    </w:p>
    <w:p>
      <w:pPr>
        <w:spacing w:after="120"/>
      </w:pPr>
      <w:r>
        <w:t>Sobre la estimación se aplica un conjunto de diez reglas, numeradas para que aparezcan en la salida con la misma denominación que en esta memoria. La Tabla 5.1 recoge su finalidad y su efecto.</w:t>
      </w:r>
    </w:p>
    <w:p>
      <w:pPr>
        <w:keepNext/>
        <w:spacing w:after="120"/>
      </w:pPr>
      <w:r>
        <w:rPr>
          <w:b/>
        </w:rPr>
        <w:t>Tabla 5.1. Reglas aplicadas por el motor de recomendación.</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9"/>
        <w:gridCol w:w="3008"/>
        <w:gridCol w:w="3008"/>
      </w:tblGrid>
      <w:tr>
        <w:trPr>
          <w:tblHeader w:val="true"/>
          <w:cantSplit/>
        </w:trPr>
        <w:tc>
          <w:tcPr>
            <w:tcW w:type="dxa" w:w="3009"/>
            <w:vAlign w:val="center"/>
            <w:tcMar>
              <w:top w:w="90" w:type="dxa"/>
              <w:start w:w="100" w:type="dxa"/>
              <w:bottom w:w="90" w:type="dxa"/>
              <w:end w:w="100" w:type="dxa"/>
            </w:tcMar>
            <w:shd w:fill="1F4E78"/>
          </w:tcPr>
          <w:p>
            <w:pPr>
              <w:jc w:val="left"/>
            </w:pPr>
            <w:r>
              <w:rPr>
                <w:rFonts w:ascii="Times New Roman" w:hAnsi="Times New Roman"/>
                <w:color w:val="FFFFFF"/>
                <w:sz w:val="16"/>
                <w:b/>
              </w:rPr>
              <w:t>Regla</w:t>
            </w:r>
          </w:p>
        </w:tc>
        <w:tc>
          <w:tcPr>
            <w:tcW w:type="dxa" w:w="3008"/>
            <w:vAlign w:val="center"/>
            <w:tcMar>
              <w:top w:w="90" w:type="dxa"/>
              <w:start w:w="100" w:type="dxa"/>
              <w:bottom w:w="90" w:type="dxa"/>
              <w:end w:w="100" w:type="dxa"/>
            </w:tcMar>
            <w:shd w:fill="1F4E78"/>
          </w:tcPr>
          <w:p>
            <w:pPr>
              <w:jc w:val="center"/>
            </w:pPr>
            <w:r>
              <w:rPr>
                <w:rFonts w:ascii="Times New Roman" w:hAnsi="Times New Roman"/>
                <w:color w:val="FFFFFF"/>
                <w:sz w:val="16"/>
                <w:b/>
              </w:rPr>
              <w:t>Finalidad</w:t>
            </w:r>
          </w:p>
        </w:tc>
        <w:tc>
          <w:tcPr>
            <w:tcW w:type="dxa" w:w="3008"/>
            <w:vAlign w:val="center"/>
            <w:tcMar>
              <w:top w:w="90" w:type="dxa"/>
              <w:start w:w="100" w:type="dxa"/>
              <w:bottom w:w="90" w:type="dxa"/>
              <w:end w:w="100" w:type="dxa"/>
            </w:tcMar>
            <w:shd w:fill="1F4E78"/>
          </w:tcPr>
          <w:p>
            <w:pPr>
              <w:jc w:val="center"/>
            </w:pPr>
            <w:r>
              <w:rPr>
                <w:rFonts w:ascii="Times New Roman" w:hAnsi="Times New Roman"/>
                <w:color w:val="FFFFFF"/>
                <w:sz w:val="16"/>
                <w:b/>
              </w:rPr>
              <w:t>Efecto sobre la recomendación</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R1 Cobertura de datos</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Comprobar que existen observaciones recientes suficientes</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Cambia de vía de estimación y añade un aviso cuando faltan datos</w:t>
            </w:r>
          </w:p>
        </w:tc>
      </w:tr>
      <w:tr>
        <w:trPr>
          <w:cantSplit/>
        </w:trPr>
        <w:tc>
          <w:tcPr>
            <w:tcW w:type="dxa" w:w="3009"/>
            <w:vAlign w:val="center"/>
            <w:tcMar>
              <w:top w:w="90" w:type="dxa"/>
              <w:start w:w="100" w:type="dxa"/>
              <w:bottom w:w="90" w:type="dxa"/>
              <w:end w:w="100" w:type="dxa"/>
            </w:tcMar>
            <w:shd w:fill="EAF2F8"/>
          </w:tcPr>
          <w:p>
            <w:pPr>
              <w:jc w:val="left"/>
            </w:pPr>
            <w:r>
              <w:rPr>
                <w:rFonts w:ascii="Times New Roman" w:hAnsi="Times New Roman"/>
                <w:color w:val="000000"/>
                <w:sz w:val="16"/>
              </w:rPr>
              <w:t>R2 Ciclo del cultivo</w:t>
            </w:r>
          </w:p>
        </w:tc>
        <w:tc>
          <w:tcPr>
            <w:tcW w:type="dxa" w:w="3008"/>
            <w:vAlign w:val="center"/>
            <w:tcMar>
              <w:top w:w="90" w:type="dxa"/>
              <w:start w:w="100" w:type="dxa"/>
              <w:bottom w:w="90" w:type="dxa"/>
              <w:end w:w="100" w:type="dxa"/>
            </w:tcMar>
            <w:shd w:fill="EAF2F8"/>
          </w:tcPr>
          <w:p>
            <w:pPr>
              <w:jc w:val="center"/>
            </w:pPr>
            <w:r>
              <w:rPr>
                <w:rFonts w:ascii="Times New Roman" w:hAnsi="Times New Roman"/>
                <w:color w:val="000000"/>
                <w:sz w:val="16"/>
              </w:rPr>
              <w:t>Evitar recomendaciones fuera del calendario publicado</w:t>
            </w:r>
          </w:p>
        </w:tc>
        <w:tc>
          <w:tcPr>
            <w:tcW w:type="dxa" w:w="3008"/>
            <w:vAlign w:val="center"/>
            <w:tcMar>
              <w:top w:w="90" w:type="dxa"/>
              <w:start w:w="100" w:type="dxa"/>
              <w:bottom w:w="90" w:type="dxa"/>
              <w:end w:w="100" w:type="dxa"/>
            </w:tcMar>
            <w:shd w:fill="EAF2F8"/>
          </w:tcPr>
          <w:p>
            <w:pPr>
              <w:jc w:val="center"/>
            </w:pPr>
            <w:r>
              <w:rPr>
                <w:rFonts w:ascii="Times New Roman" w:hAnsi="Times New Roman"/>
                <w:color w:val="000000"/>
                <w:sz w:val="16"/>
              </w:rPr>
              <w:t>No se emite recomendación</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R3 Extrapolación</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Detectar una ET0 alejada más de un 10 % del intervalo observado</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Aviso de extrapolación y confianza baja</w:t>
            </w:r>
          </w:p>
        </w:tc>
      </w:tr>
      <w:tr>
        <w:trPr>
          <w:cantSplit/>
        </w:trPr>
        <w:tc>
          <w:tcPr>
            <w:tcW w:type="dxa" w:w="3009"/>
            <w:vAlign w:val="center"/>
            <w:tcMar>
              <w:top w:w="90" w:type="dxa"/>
              <w:start w:w="100" w:type="dxa"/>
              <w:bottom w:w="90" w:type="dxa"/>
              <w:end w:w="100" w:type="dxa"/>
            </w:tcMar>
            <w:shd w:fill="EAF2F8"/>
          </w:tcPr>
          <w:p>
            <w:pPr>
              <w:jc w:val="left"/>
            </w:pPr>
            <w:r>
              <w:rPr>
                <w:rFonts w:ascii="Times New Roman" w:hAnsi="Times New Roman"/>
                <w:color w:val="000000"/>
                <w:sz w:val="16"/>
              </w:rPr>
              <w:t>R4 No negatividad</w:t>
            </w:r>
          </w:p>
        </w:tc>
        <w:tc>
          <w:tcPr>
            <w:tcW w:type="dxa" w:w="3008"/>
            <w:vAlign w:val="center"/>
            <w:tcMar>
              <w:top w:w="90" w:type="dxa"/>
              <w:start w:w="100" w:type="dxa"/>
              <w:bottom w:w="90" w:type="dxa"/>
              <w:end w:w="100" w:type="dxa"/>
            </w:tcMar>
            <w:shd w:fill="EAF2F8"/>
          </w:tcPr>
          <w:p>
            <w:pPr>
              <w:jc w:val="center"/>
            </w:pPr>
            <w:r>
              <w:rPr>
                <w:rFonts w:ascii="Times New Roman" w:hAnsi="Times New Roman"/>
                <w:color w:val="000000"/>
                <w:sz w:val="16"/>
              </w:rPr>
              <w:t>Impedir dosis negativas cuando la lluvia supera la ETc</w:t>
            </w:r>
          </w:p>
        </w:tc>
        <w:tc>
          <w:tcPr>
            <w:tcW w:type="dxa" w:w="3008"/>
            <w:vAlign w:val="center"/>
            <w:tcMar>
              <w:top w:w="90" w:type="dxa"/>
              <w:start w:w="100" w:type="dxa"/>
              <w:bottom w:w="90" w:type="dxa"/>
              <w:end w:w="100" w:type="dxa"/>
            </w:tcMar>
            <w:shd w:fill="EAF2F8"/>
          </w:tcPr>
          <w:p>
            <w:pPr>
              <w:jc w:val="center"/>
            </w:pPr>
            <w:r>
              <w:rPr>
                <w:rFonts w:ascii="Times New Roman" w:hAnsi="Times New Roman"/>
                <w:color w:val="000000"/>
                <w:sz w:val="16"/>
              </w:rPr>
              <w:t>La necesidad se fija en 0 mm</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R5 Lluvia prevista</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Señalar episodios de lluvia de al menos 5 mm o probabilidad del 60 %</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Aviso de aplazamiento sin descontar la lluvia</w:t>
            </w:r>
          </w:p>
        </w:tc>
      </w:tr>
      <w:tr>
        <w:trPr>
          <w:cantSplit/>
        </w:trPr>
        <w:tc>
          <w:tcPr>
            <w:tcW w:type="dxa" w:w="3009"/>
            <w:vAlign w:val="center"/>
            <w:tcMar>
              <w:top w:w="90" w:type="dxa"/>
              <w:start w:w="100" w:type="dxa"/>
              <w:bottom w:w="90" w:type="dxa"/>
              <w:end w:w="100" w:type="dxa"/>
            </w:tcMar>
            <w:shd w:fill="EAF2F8"/>
          </w:tcPr>
          <w:p>
            <w:pPr>
              <w:jc w:val="left"/>
            </w:pPr>
            <w:r>
              <w:rPr>
                <w:rFonts w:ascii="Times New Roman" w:hAnsi="Times New Roman"/>
                <w:color w:val="000000"/>
                <w:sz w:val="16"/>
              </w:rPr>
              <w:t>R6 Dosis bruta</w:t>
            </w:r>
          </w:p>
        </w:tc>
        <w:tc>
          <w:tcPr>
            <w:tcW w:type="dxa" w:w="3008"/>
            <w:vAlign w:val="center"/>
            <w:tcMar>
              <w:top w:w="90" w:type="dxa"/>
              <w:start w:w="100" w:type="dxa"/>
              <w:bottom w:w="90" w:type="dxa"/>
              <w:end w:w="100" w:type="dxa"/>
            </w:tcMar>
            <w:shd w:fill="EAF2F8"/>
          </w:tcPr>
          <w:p>
            <w:pPr>
              <w:jc w:val="center"/>
            </w:pPr>
            <w:r>
              <w:rPr>
                <w:rFonts w:ascii="Times New Roman" w:hAnsi="Times New Roman"/>
                <w:color w:val="000000"/>
                <w:sz w:val="16"/>
              </w:rPr>
              <w:t>Incorporar las pérdidas del sistema de aplicación</w:t>
            </w:r>
          </w:p>
        </w:tc>
        <w:tc>
          <w:tcPr>
            <w:tcW w:type="dxa" w:w="3008"/>
            <w:vAlign w:val="center"/>
            <w:tcMar>
              <w:top w:w="90" w:type="dxa"/>
              <w:start w:w="100" w:type="dxa"/>
              <w:bottom w:w="90" w:type="dxa"/>
              <w:end w:w="100" w:type="dxa"/>
            </w:tcMar>
            <w:shd w:fill="EAF2F8"/>
          </w:tcPr>
          <w:p>
            <w:pPr>
              <w:jc w:val="center"/>
            </w:pPr>
            <w:r>
              <w:rPr>
                <w:rFonts w:ascii="Times New Roman" w:hAnsi="Times New Roman"/>
                <w:color w:val="000000"/>
                <w:sz w:val="16"/>
              </w:rPr>
              <w:t>Dosis bruta = necesidad neta / eficiencia</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R7 Dotación disponible</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Respetar un límite semanal de agua</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Reducción proporcional y aviso de déficit</w:t>
            </w:r>
          </w:p>
        </w:tc>
      </w:tr>
      <w:tr>
        <w:trPr>
          <w:cantSplit/>
        </w:trPr>
        <w:tc>
          <w:tcPr>
            <w:tcW w:type="dxa" w:w="3009"/>
            <w:vAlign w:val="center"/>
            <w:tcMar>
              <w:top w:w="90" w:type="dxa"/>
              <w:start w:w="100" w:type="dxa"/>
              <w:bottom w:w="90" w:type="dxa"/>
              <w:end w:w="100" w:type="dxa"/>
            </w:tcMar>
            <w:shd w:fill="EAF2F8"/>
          </w:tcPr>
          <w:p>
            <w:pPr>
              <w:jc w:val="left"/>
            </w:pPr>
            <w:r>
              <w:rPr>
                <w:rFonts w:ascii="Times New Roman" w:hAnsi="Times New Roman"/>
                <w:color w:val="000000"/>
                <w:sz w:val="16"/>
              </w:rPr>
              <w:t>R8 Volumen</w:t>
            </w:r>
          </w:p>
        </w:tc>
        <w:tc>
          <w:tcPr>
            <w:tcW w:type="dxa" w:w="3008"/>
            <w:vAlign w:val="center"/>
            <w:tcMar>
              <w:top w:w="90" w:type="dxa"/>
              <w:start w:w="100" w:type="dxa"/>
              <w:bottom w:w="90" w:type="dxa"/>
              <w:end w:w="100" w:type="dxa"/>
            </w:tcMar>
            <w:shd w:fill="EAF2F8"/>
          </w:tcPr>
          <w:p>
            <w:pPr>
              <w:jc w:val="center"/>
            </w:pPr>
            <w:r>
              <w:rPr>
                <w:rFonts w:ascii="Times New Roman" w:hAnsi="Times New Roman"/>
                <w:color w:val="000000"/>
                <w:sz w:val="16"/>
              </w:rPr>
              <w:t>Expresar la dosis por parcela</w:t>
            </w:r>
          </w:p>
        </w:tc>
        <w:tc>
          <w:tcPr>
            <w:tcW w:type="dxa" w:w="3008"/>
            <w:vAlign w:val="center"/>
            <w:tcMar>
              <w:top w:w="90" w:type="dxa"/>
              <w:start w:w="100" w:type="dxa"/>
              <w:bottom w:w="90" w:type="dxa"/>
              <w:end w:w="100" w:type="dxa"/>
            </w:tcMar>
            <w:shd w:fill="EAF2F8"/>
          </w:tcPr>
          <w:p>
            <w:pPr>
              <w:jc w:val="center"/>
            </w:pPr>
            <w:r>
              <w:rPr>
                <w:rFonts w:ascii="Times New Roman" w:hAnsi="Times New Roman"/>
                <w:color w:val="000000"/>
                <w:sz w:val="16"/>
              </w:rPr>
              <w:t>1 mm sobre 1 ha equivale a 10 m3</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R9 Horizonte</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Informar de que el error crece con la anticipación</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Se indica el error medio esperado para ese día</w:t>
            </w:r>
          </w:p>
        </w:tc>
      </w:tr>
      <w:tr>
        <w:trPr>
          <w:cantSplit/>
        </w:trPr>
        <w:tc>
          <w:tcPr>
            <w:tcW w:type="dxa" w:w="3009"/>
            <w:vAlign w:val="center"/>
            <w:tcMar>
              <w:top w:w="90" w:type="dxa"/>
              <w:start w:w="100" w:type="dxa"/>
              <w:bottom w:w="90" w:type="dxa"/>
              <w:end w:w="100" w:type="dxa"/>
            </w:tcMar>
            <w:shd w:fill="EAF2F8"/>
          </w:tcPr>
          <w:p>
            <w:pPr>
              <w:jc w:val="left"/>
            </w:pPr>
            <w:r>
              <w:rPr>
                <w:rFonts w:ascii="Times New Roman" w:hAnsi="Times New Roman"/>
                <w:color w:val="000000"/>
                <w:sz w:val="16"/>
              </w:rPr>
              <w:t>R10 Kc completado</w:t>
            </w:r>
          </w:p>
        </w:tc>
        <w:tc>
          <w:tcPr>
            <w:tcW w:type="dxa" w:w="3008"/>
            <w:vAlign w:val="center"/>
            <w:tcMar>
              <w:top w:w="90" w:type="dxa"/>
              <w:start w:w="100" w:type="dxa"/>
              <w:bottom w:w="90" w:type="dxa"/>
              <w:end w:w="100" w:type="dxa"/>
            </w:tcMar>
            <w:shd w:fill="EAF2F8"/>
          </w:tcPr>
          <w:p>
            <w:pPr>
              <w:jc w:val="center"/>
            </w:pPr>
            <w:r>
              <w:rPr>
                <w:rFonts w:ascii="Times New Roman" w:hAnsi="Times New Roman"/>
                <w:color w:val="000000"/>
                <w:sz w:val="16"/>
              </w:rPr>
              <w:t>Dejar constancia de fechas no devueltas por la fuente</w:t>
            </w:r>
          </w:p>
        </w:tc>
        <w:tc>
          <w:tcPr>
            <w:tcW w:type="dxa" w:w="3008"/>
            <w:vAlign w:val="center"/>
            <w:tcMar>
              <w:top w:w="90" w:type="dxa"/>
              <w:start w:w="100" w:type="dxa"/>
              <w:bottom w:w="90" w:type="dxa"/>
              <w:end w:w="100" w:type="dxa"/>
            </w:tcMar>
            <w:shd w:fill="EAF2F8"/>
          </w:tcPr>
          <w:p>
            <w:pPr>
              <w:jc w:val="center"/>
            </w:pPr>
            <w:r>
              <w:rPr>
                <w:rFonts w:ascii="Times New Roman" w:hAnsi="Times New Roman"/>
                <w:color w:val="000000"/>
                <w:sz w:val="16"/>
              </w:rPr>
              <w:t>Aviso de imputación del Kc</w:t>
            </w:r>
          </w:p>
        </w:tc>
      </w:tr>
    </w:tbl>
    <w:p>
      <w:pPr>
        <w:spacing w:after="40"/>
      </w:pPr>
    </w:p>
    <w:p>
      <w:pPr>
        <w:spacing w:after="120"/>
      </w:pPr>
      <w:r>
        <w:t>La regla R6 incorpora la diferencia entre lo que necesita el cultivo y lo que hay que aplicar. Las eficiencias por defecto son las orientativas de la FAO para riego de superficie, aspersión y goteo, del 60 %, 75 % y 90 % respectivamente (Brouwer et al., 1989). El usuario puede sustituirlas por la eficiencia medida en su instalación, que es preferible porque la eficiencia real depende del diseño, del mantenimiento y de la uniformidad de cada sistema (Burt et al., 1997). El valor admitido se limita al intervalo entre 0,30 y 1,00 para evitar errores de introducción.</w:t>
      </w:r>
    </w:p>
    <w:p>
      <w:pPr>
        <w:spacing w:after="120"/>
      </w:pPr>
      <w:r>
        <w:t>La regla R7 es la forma en la que el prototipo incorpora una restricción de disponibilidad hídrica. El anteproyecto contemplaba utilizar el Boletín Hidrológico del MITECO, pero sus datos se publican a escala de embalse y de cuenca, con frecuencia semanal y carácter provisional (MITECO, s. f.), lo que no permite deducir de forma directa cuánta agua corresponde a una parcela. Se ha preferido que la restricción la introduzca el usuario como dotación semanal, que es el dato que realmente recibe de su comunidad de regantes. Cuando la dosis planificada supera esa dotación, el sistema la reduce de forma proporcional y lo indica. Esta reducción es una simplificación consciente: el riego deficitario bien diseñado concentra el déficit en las fases menos sensibles del cultivo (Fereres &amp; Soriano, 2007), y por eso el aviso invita a revisar qué días conviene recortar en lugar de presentar el reparto como óptimo.</w:t>
      </w:r>
    </w:p>
    <w:p>
      <w:pPr>
        <w:spacing w:after="120"/>
      </w:pPr>
      <w:r>
        <w:t>Las reglas R1, R2, R3 y R9 traducen a la práctica la exigencia, recogida en el apartado 2.3, de que la incertidumbre forme parte de la salida. A partir de ellas se asigna a cada día un nivel de confianza. Es alta cuando se trata de un día cerrado calculado con datos observados; media en los tres primeros días de una planificación sin incidencias; y baja a partir del cuarto día o cuando existe cualquier aviso, incluido el de datos con más de dos días de antigüedad. Los umbrales de horizonte se apoyan en los errores medidos en el apartado 5.3 y pueden ajustarse cuando se disponga de más campañas.</w:t>
      </w:r>
    </w:p>
    <w:p>
      <w:pPr>
        <w:pStyle w:val="Heading3"/>
        <w:keepNext/>
      </w:pPr>
      <w:r>
        <w:rPr>
          <w:rFonts w:ascii="Times New Roman" w:hAnsi="Times New Roman"/>
          <w:color w:val="000000"/>
          <w:sz w:val="24"/>
        </w:rPr>
        <w:t>5.1.5. Estructura de la salida</w:t>
      </w:r>
    </w:p>
    <w:p>
      <w:pPr>
        <w:spacing w:after="120"/>
      </w:pPr>
      <w:r>
        <w:t>Cada consulta genera una tabla diaria con dieciocho campos y un resumen del horizonte. La tabla incluye la fecha, el día del horizonte, el Kc, la ET0 utilizada y su origen, la necesidad neta, el método, la persistencia como referencia, la dosis bruta, el factor de dotación, el volumen, la confianza, las reglas aplicadas, los avisos, la explicación, la fecha del último dato observado y el archivo de origen. El resumen agrega los totales, el método principal, la eficiencia aplicada y el número de días con avisos. La cabecera conserva la versión del motor, los parámetros de la consulta, la URL de la fuente y la fecha de descarga. Todo ello se exporta en CSV y JSON, lo que permite archivar las recomendaciones emitidas y compararlas más adelante con lo que realmente se regó.</w:t>
      </w:r>
    </w:p>
    <w:p>
      <w:pPr>
        <w:spacing w:after="120"/>
      </w:pPr>
      <w:r>
        <w:t>La explicación se redacta a partir de los mismos valores que aparecen en la tabla. Para el 1 de julio de 2025, por ejemplo, la salida indica que la necesidad neta estimada es de 6,2 mm a partir de una ET0 media reciente de 6,84 mm y un Kc de 0,90, y que con una eficiencia del 90 % la dosis bruta propuesta es de 6,8 mm, unos 103 m3 para una parcela de 1,5 ha. La frase no añade información que no esté en los datos, pero permite que el usuario compruebe el razonamiento sin interpretar una tabla de dieciocho columnas.</w:t>
      </w:r>
    </w:p>
    <w:p>
      <w:pPr>
        <w:pStyle w:val="Heading3"/>
        <w:keepNext/>
      </w:pPr>
      <w:r>
        <w:rPr>
          <w:rFonts w:ascii="Times New Roman" w:hAnsi="Times New Roman"/>
          <w:color w:val="000000"/>
          <w:sz w:val="24"/>
        </w:rPr>
        <w:t>5.1.6. Decisiones descartadas</w:t>
      </w:r>
    </w:p>
    <w:p>
      <w:pPr>
        <w:spacing w:after="120"/>
      </w:pPr>
      <w:r>
        <w:t>Durante el diseño se valoraron otras alternativas que finalmente no se incorporaron. La primera fue utilizar como motor el modelo Ridge, segundo clasificado en el apartado 4.3. Se descartó porque no superó de forma estable a la persistencia y porque su comportamiento ante un cambio de fase del cultivo resulta menos transparente que una multiplicación por el Kc. La segunda fue estimar la ET0 futura con la ecuación de Hargreaves a partir de las temperaturas previstas por AEMET. Es una opción contemplada en FAO-56 para cuando faltan variables (Allen et al., 1998), pero no se dispone de un histórico de predicciones de la campaña de 2025 con el que calibrarla, y presentar una vía no evaluada como parte del sistema habría contradicho el criterio seguido en el resto del trabajo. El motor admite una ET0 prevista como entrada para que esa vía pueda incorporarse cuando exista la evidencia. La tercera alternativa fue un balance hídrico del suelo con agotamiento admisible, que permitiría decidir no solo cuánto sino cuándo regar. Requiere capacidad de retención, profundidad radicular y riegos previos de la parcela, datos que el piloto no tiene, y se plantea como evolución en el capítulo 6.</w:t>
      </w:r>
    </w:p>
    <w:p>
      <w:pPr>
        <w:pStyle w:val="Heading2"/>
      </w:pPr>
      <w:r>
        <w:t>5.2. Aplicación y visualización de resultados</w:t>
      </w:r>
    </w:p>
    <w:p>
      <w:pPr>
        <w:spacing w:after="120"/>
      </w:pPr>
      <w:r>
        <w:t xml:space="preserve">El motor descrito en el apartado anterior solo resulta útil si una persona puede consultarlo sin abrir el código. Para ello se han preparado dos formas de acceso que comparten exactamente la misma lógica: una ejecución por línea de comandos, pensada para automatizar consultas y archivar resultados, y una aplicación web ligera, pensada para la demostración y para el usuario que quiere explorar escenarios. Ninguna de las dos realiza cálculos propios; ambas llaman a la función de recomendación de </w:t>
      </w:r>
      <w:r>
        <w:rPr>
          <w:rFonts w:ascii="Consolas" w:hAnsi="Consolas"/>
          <w:sz w:val="19"/>
        </w:rPr>
        <w:t>src/dss/engine.py</w:t>
      </w:r>
      <w:r>
        <w:t>, de modo que lo que se ve en pantalla coincide con lo que se valida en el apartado 5.3.</w:t>
      </w:r>
    </w:p>
    <w:p>
      <w:pPr>
        <w:pStyle w:val="Heading3"/>
        <w:keepNext/>
      </w:pPr>
      <w:r>
        <w:rPr>
          <w:rFonts w:ascii="Times New Roman" w:hAnsi="Times New Roman"/>
          <w:color w:val="000000"/>
          <w:sz w:val="24"/>
        </w:rPr>
        <w:t>5.2.1. Elección de la tecnología de presentación</w:t>
      </w:r>
    </w:p>
    <w:p>
      <w:pPr>
        <w:spacing w:after="120"/>
      </w:pPr>
      <w:r>
        <w:t>El anteproyecto contemplaba un cuadro de mando en Power BI o Tableau. Se mantuvo esa opción hasta disponer de un motor funcional, y en ese momento se comprobó que la herramienta debía cumplir dos condiciones que un cuadro de mando convencional resuelve con dificultad. La primera es interactiva: cambiar la fecha de emisión, el horizonte o la eficiencia tiene que volver a ejecutar el motor, no solo filtrar una tabla ya calculada. La segunda es de reproducibilidad: cualquier miembro del tribunal o del equipo debería poder lanzar la aplicación desde el repositorio con las mismas dependencias que el resto del proyecto.</w:t>
      </w:r>
    </w:p>
    <w:p>
      <w:pPr>
        <w:spacing w:after="120"/>
      </w:pPr>
      <w:r>
        <w:t xml:space="preserve">Por esas razones se optó por Streamlit, una librería de Python que construye la interfaz a partir de un único script y vuelve a ejecutarlo cada vez que el usuario modifica un control (Streamlit, 2024). La aplicación se encuentra en </w:t>
      </w:r>
      <w:r>
        <w:rPr>
          <w:rFonts w:ascii="Consolas" w:hAnsi="Consolas"/>
          <w:sz w:val="19"/>
        </w:rPr>
        <w:t>src/dss/app_streamlit.py</w:t>
      </w:r>
      <w:r>
        <w:t xml:space="preserve"> y se arranca desde la raíz del repositorio con </w:t>
      </w:r>
      <w:r>
        <w:rPr>
          <w:rFonts w:ascii="Consolas" w:hAnsi="Consolas"/>
          <w:sz w:val="19"/>
        </w:rPr>
        <w:t>streamlit run src/dss/app_streamlit.py</w:t>
      </w:r>
      <w:r>
        <w:t>. Power BI y Tableau quedan como alternativa para un uso agregado, por ejemplo para una cooperativa que quiera comparar parcelas a partir de las recomendaciones archivadas en CSV, pero no se presentan como implementados porque no existe un archivo funcional en el repositorio que lo demuestre.</w:t>
      </w:r>
    </w:p>
    <w:p>
      <w:pPr>
        <w:pStyle w:val="Heading3"/>
        <w:keepNext/>
      </w:pPr>
      <w:r>
        <w:rPr>
          <w:rFonts w:ascii="Times New Roman" w:hAnsi="Times New Roman"/>
          <w:color w:val="000000"/>
          <w:sz w:val="24"/>
        </w:rPr>
        <w:t>5.2.2. Organización de la interfaz</w:t>
      </w:r>
    </w:p>
    <w:p>
      <w:pPr>
        <w:spacing w:after="120"/>
      </w:pPr>
      <w:r>
        <w:t>La pantalla se divide en un panel lateral de entrada y un área principal de resultados. El panel lateral agrupa los controles en tres bloques. En el primero se muestran el cultivo y la estación del caso analizado; están bloqueados porque el piloto valida una sola combinación, aunque el texto recuerda que el motor admite otras fuentes con el mismo formato. El segundo bloque recoge la consulta: el modo de planificación o seguimiento, la fecha de emisión y el horizonte de uno a siete días. El tercero describe la parcela: el sistema de riego, la eficiencia, que se rellena con el valor orientativo del sistema pero puede modificarse, la superficie y, de manera opcional, una dotación semanal. Una casilla final permite superponer la referencia SiAR calculada a posteriori, algo que solo tiene sentido en una demostración retrospectiva como la de este trabajo.</w:t>
      </w:r>
    </w:p>
    <w:p>
      <w:pPr>
        <w:spacing w:after="120"/>
      </w:pPr>
      <w:r>
        <w:t>El área principal sigue el orden en el que un técnico suele leer una recomendación. Arriba aparecen cuatro indicadores: la necesidad neta del horizonte, la dosis bruta propuesta, el volumen estimado y el número de días con recomendación. Debajo se sitúa un gráfico de barras con la dosis bruta de cada día y la necesidad neta superpuesta, acompañado de un bloque titulado Fundamento que indica el método principal, la eficiencia aplicada, la fuente con su fecha de descarga y el último dato observado. Si existe algún aviso general, como datos desactualizados o una dotación insuficiente, se muestra en un recuadro destacado encima de los indicadores. La parte inferior contiene la tabla diaria con la confianza y los avisos, un desplegable con la explicación y las reglas aplicadas a cada día, y un botón para descargar la recomendación en CSV.</w:t>
      </w:r>
    </w:p>
    <w:p>
      <w:pPr>
        <w:spacing w:after="120"/>
      </w:pPr>
      <w:r>
        <w:t>Las cifras de resultados se presentan con coma decimal y las fechas en formato día, mes y año. Puede parecer un detalle menor, pero la aplicación está dirigida a usuarios españoles y una tabla con puntos decimales obliga a una lectura más lenta y propicia errores al trasladar los valores a un programador de riego.</w:t>
      </w:r>
    </w:p>
    <w:p>
      <w:pPr>
        <w:pStyle w:val="Heading3"/>
        <w:keepNext/>
      </w:pPr>
      <w:r>
        <w:rPr>
          <w:rFonts w:ascii="Times New Roman" w:hAnsi="Times New Roman"/>
          <w:color w:val="000000"/>
          <w:sz w:val="24"/>
        </w:rPr>
        <w:t>5.2.3. Ejemplo de uso en un cambio de fase del cultivo</w:t>
      </w:r>
    </w:p>
    <w:p>
      <w:pPr>
        <w:spacing w:after="120"/>
      </w:pPr>
      <w:r>
        <w:t>Para ilustrar el funcionamiento se ha elegido una situación exigente: una planificación emitida el 28 de junio de 2025 con un horizonte de siete días, que atraviesa el paso del Kc de 0,70 a 0,90 el 1 de julio. Se considera riego por goteo con eficiencia del 90 % y una parcela de 1,5 ha. La Figura 5.2 reproduce la pantalla obtenida con la referencia SiAR superpuesta.</w:t>
      </w:r>
    </w:p>
    <w:p>
      <w:pPr>
        <w:keepNext/>
        <w:jc w:val="center"/>
      </w:pPr>
      <w:r>
        <w:drawing>
          <wp:inline xmlns:wp="http://schemas.openxmlformats.org/drawingml/2006/wordprocessingDrawing" xmlns:a="http://schemas.openxmlformats.org/drawingml/2006/main" xmlns:pic="http://schemas.openxmlformats.org/drawingml/2006/picture">
            <wp:extent cx="5577840" cy="4648200"/>
            <wp:docPr id="26" name="Picture 26"/>
            <wp:cNvGraphicFramePr>
              <a:graphicFrameLocks noChangeAspect="1"/>
            </wp:cNvGraphicFramePr>
            <a:graphic>
              <a:graphicData uri="http://schemas.openxmlformats.org/drawingml/2006/picture">
                <pic:pic>
                  <pic:nvPicPr>
                    <pic:cNvPr id="0" name="image.png"/>
                    <pic:cNvPicPr/>
                  </pic:nvPicPr>
                  <pic:blipFill>
                    <a:blip ns1:embed="rId19"/>
                    <a:stretch>
                      <a:fillRect/>
                    </a:stretch>
                  </pic:blipFill>
                  <pic:spPr>
                    <a:xfrm>
                      <a:off x="0" y="0"/>
                      <a:ext cx="5577840" cy="4648200"/>
                    </a:xfrm>
                    <a:prstGeom prst="rect"/>
                  </pic:spPr>
                </pic:pic>
              </a:graphicData>
            </a:graphic>
          </wp:inline>
        </w:drawing>
      </w:r>
    </w:p>
    <w:p>
      <w:pPr>
        <w:keepLines/>
        <w:jc w:val="center"/>
      </w:pPr>
      <w:r>
        <w:rPr>
          <w:i/>
          <w:sz w:val="20"/>
        </w:rPr>
        <w:t>Figura 5.2. Interfaz del DSS para una planificación emitida el 28 de junio de 2025, con la referencia SiAR superpuesta.</w:t>
      </w:r>
    </w:p>
    <w:p>
      <w:pPr>
        <w:spacing w:after="120"/>
      </w:pPr>
      <w:r>
        <w:t>Con la información disponible hasta el 27 de junio, la ET0 media de los siete días anteriores es de 6,84 mm. Multiplicada por el Kc de cada día, da lugar a una necesidad neta de 4,79 mm para los tres últimos días de junio y de 6,15 mm a partir del 1 de julio. La Tabla 5.2 compara esa planificación con la referencia que SiAR publicó después y con lo que habría propuesto la persistencia.</w:t>
      </w:r>
    </w:p>
    <w:p>
      <w:pPr>
        <w:keepNext/>
        <w:spacing w:after="120"/>
      </w:pPr>
      <w:r>
        <w:rPr>
          <w:b/>
        </w:rPr>
        <w:t>Tabla 5.2. Planificación emitida el 28 de junio de 2025 frente a la referencia SiAR.</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29"/>
        <w:gridCol w:w="1128"/>
        <w:gridCol w:w="1128"/>
        <w:gridCol w:w="1128"/>
        <w:gridCol w:w="1128"/>
        <w:gridCol w:w="1128"/>
        <w:gridCol w:w="1128"/>
        <w:gridCol w:w="1128"/>
      </w:tblGrid>
      <w:tr>
        <w:trPr>
          <w:tblHeader w:val="true"/>
          <w:cantSplit/>
        </w:trPr>
        <w:tc>
          <w:tcPr>
            <w:tcW w:type="dxa" w:w="1129"/>
            <w:vAlign w:val="center"/>
            <w:tcMar>
              <w:top w:w="90" w:type="dxa"/>
              <w:start w:w="100" w:type="dxa"/>
              <w:bottom w:w="90" w:type="dxa"/>
              <w:end w:w="100" w:type="dxa"/>
            </w:tcMar>
            <w:shd w:fill="1F4E78"/>
          </w:tcPr>
          <w:p>
            <w:pPr>
              <w:jc w:val="left"/>
            </w:pPr>
            <w:r>
              <w:rPr>
                <w:rFonts w:ascii="Times New Roman" w:hAnsi="Times New Roman"/>
                <w:color w:val="FFFFFF"/>
                <w:sz w:val="16"/>
                <w:b/>
              </w:rPr>
              <w:t>Fecha</w:t>
            </w:r>
          </w:p>
        </w:tc>
        <w:tc>
          <w:tcPr>
            <w:tcW w:type="dxa" w:w="1128"/>
            <w:vAlign w:val="center"/>
            <w:tcMar>
              <w:top w:w="90" w:type="dxa"/>
              <w:start w:w="100" w:type="dxa"/>
              <w:bottom w:w="90" w:type="dxa"/>
              <w:end w:w="100" w:type="dxa"/>
            </w:tcMar>
            <w:shd w:fill="1F4E78"/>
          </w:tcPr>
          <w:p>
            <w:pPr>
              <w:jc w:val="center"/>
            </w:pPr>
            <w:r>
              <w:rPr>
                <w:rFonts w:ascii="Times New Roman" w:hAnsi="Times New Roman"/>
                <w:color w:val="FFFFFF"/>
                <w:sz w:val="16"/>
                <w:b/>
              </w:rPr>
              <w:t>Kc</w:t>
            </w:r>
          </w:p>
        </w:tc>
        <w:tc>
          <w:tcPr>
            <w:tcW w:type="dxa" w:w="1128"/>
            <w:vAlign w:val="center"/>
            <w:tcMar>
              <w:top w:w="90" w:type="dxa"/>
              <w:start w:w="100" w:type="dxa"/>
              <w:bottom w:w="90" w:type="dxa"/>
              <w:end w:w="100" w:type="dxa"/>
            </w:tcMar>
            <w:shd w:fill="1F4E78"/>
          </w:tcPr>
          <w:p>
            <w:pPr>
              <w:jc w:val="center"/>
            </w:pPr>
            <w:r>
              <w:rPr>
                <w:rFonts w:ascii="Times New Roman" w:hAnsi="Times New Roman"/>
                <w:color w:val="FFFFFF"/>
                <w:sz w:val="16"/>
                <w:b/>
              </w:rPr>
              <w:t>Necesidad DSS (mm)</w:t>
            </w:r>
          </w:p>
        </w:tc>
        <w:tc>
          <w:tcPr>
            <w:tcW w:type="dxa" w:w="1128"/>
            <w:vAlign w:val="center"/>
            <w:tcMar>
              <w:top w:w="90" w:type="dxa"/>
              <w:start w:w="100" w:type="dxa"/>
              <w:bottom w:w="90" w:type="dxa"/>
              <w:end w:w="100" w:type="dxa"/>
            </w:tcMar>
            <w:shd w:fill="1F4E78"/>
          </w:tcPr>
          <w:p>
            <w:pPr>
              <w:jc w:val="center"/>
            </w:pPr>
            <w:r>
              <w:rPr>
                <w:rFonts w:ascii="Times New Roman" w:hAnsi="Times New Roman"/>
                <w:color w:val="FFFFFF"/>
                <w:sz w:val="16"/>
                <w:b/>
              </w:rPr>
              <w:t>Persistencia (mm)</w:t>
            </w:r>
          </w:p>
        </w:tc>
        <w:tc>
          <w:tcPr>
            <w:tcW w:type="dxa" w:w="1128"/>
            <w:vAlign w:val="center"/>
            <w:tcMar>
              <w:top w:w="90" w:type="dxa"/>
              <w:start w:w="100" w:type="dxa"/>
              <w:bottom w:w="90" w:type="dxa"/>
              <w:end w:w="100" w:type="dxa"/>
            </w:tcMar>
            <w:shd w:fill="1F4E78"/>
          </w:tcPr>
          <w:p>
            <w:pPr>
              <w:jc w:val="center"/>
            </w:pPr>
            <w:r>
              <w:rPr>
                <w:rFonts w:ascii="Times New Roman" w:hAnsi="Times New Roman"/>
                <w:color w:val="FFFFFF"/>
                <w:sz w:val="16"/>
                <w:b/>
              </w:rPr>
              <w:t>Referencia SiAR (mm)</w:t>
            </w:r>
          </w:p>
        </w:tc>
        <w:tc>
          <w:tcPr>
            <w:tcW w:type="dxa" w:w="1128"/>
            <w:vAlign w:val="center"/>
            <w:tcMar>
              <w:top w:w="90" w:type="dxa"/>
              <w:start w:w="100" w:type="dxa"/>
              <w:bottom w:w="90" w:type="dxa"/>
              <w:end w:w="100" w:type="dxa"/>
            </w:tcMar>
            <w:shd w:fill="1F4E78"/>
          </w:tcPr>
          <w:p>
            <w:pPr>
              <w:jc w:val="center"/>
            </w:pPr>
            <w:r>
              <w:rPr>
                <w:rFonts w:ascii="Times New Roman" w:hAnsi="Times New Roman"/>
                <w:color w:val="FFFFFF"/>
                <w:sz w:val="16"/>
                <w:b/>
              </w:rPr>
              <w:t>Dosis bruta (mm)</w:t>
            </w:r>
          </w:p>
        </w:tc>
        <w:tc>
          <w:tcPr>
            <w:tcW w:type="dxa" w:w="1128"/>
            <w:vAlign w:val="center"/>
            <w:tcMar>
              <w:top w:w="90" w:type="dxa"/>
              <w:start w:w="100" w:type="dxa"/>
              <w:bottom w:w="90" w:type="dxa"/>
              <w:end w:w="100" w:type="dxa"/>
            </w:tcMar>
            <w:shd w:fill="1F4E78"/>
          </w:tcPr>
          <w:p>
            <w:pPr>
              <w:jc w:val="center"/>
            </w:pPr>
            <w:r>
              <w:rPr>
                <w:rFonts w:ascii="Times New Roman" w:hAnsi="Times New Roman"/>
                <w:color w:val="FFFFFF"/>
                <w:sz w:val="16"/>
                <w:b/>
              </w:rPr>
              <w:t>Volumen (m3)</w:t>
            </w:r>
          </w:p>
        </w:tc>
        <w:tc>
          <w:tcPr>
            <w:tcW w:type="dxa" w:w="1128"/>
            <w:vAlign w:val="center"/>
            <w:tcMar>
              <w:top w:w="90" w:type="dxa"/>
              <w:start w:w="100" w:type="dxa"/>
              <w:bottom w:w="90" w:type="dxa"/>
              <w:end w:w="100" w:type="dxa"/>
            </w:tcMar>
            <w:shd w:fill="1F4E78"/>
          </w:tcPr>
          <w:p>
            <w:pPr>
              <w:jc w:val="center"/>
            </w:pPr>
            <w:r>
              <w:rPr>
                <w:rFonts w:ascii="Times New Roman" w:hAnsi="Times New Roman"/>
                <w:color w:val="FFFFFF"/>
                <w:sz w:val="16"/>
                <w:b/>
              </w:rPr>
              <w:t>Confianza</w:t>
            </w:r>
          </w:p>
        </w:tc>
      </w:tr>
      <w:tr>
        <w:trPr>
          <w:cantSplit/>
        </w:trPr>
        <w:tc>
          <w:tcPr>
            <w:tcW w:type="dxa" w:w="1129"/>
            <w:vAlign w:val="center"/>
            <w:tcMar>
              <w:top w:w="90" w:type="dxa"/>
              <w:start w:w="100" w:type="dxa"/>
              <w:bottom w:w="90" w:type="dxa"/>
              <w:end w:w="100" w:type="dxa"/>
            </w:tcMar>
          </w:tcPr>
          <w:p>
            <w:pPr>
              <w:jc w:val="left"/>
            </w:pPr>
            <w:r>
              <w:rPr>
                <w:rFonts w:ascii="Times New Roman" w:hAnsi="Times New Roman"/>
                <w:color w:val="000000"/>
                <w:sz w:val="16"/>
              </w:rPr>
              <w:t>28/06/2025</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0,70</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4,79</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4,34</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4,44</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5,32</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80</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media</w:t>
            </w:r>
          </w:p>
        </w:tc>
      </w:tr>
      <w:tr>
        <w:trPr>
          <w:cantSplit/>
        </w:trPr>
        <w:tc>
          <w:tcPr>
            <w:tcW w:type="dxa" w:w="1129"/>
            <w:vAlign w:val="center"/>
            <w:tcMar>
              <w:top w:w="90" w:type="dxa"/>
              <w:start w:w="100" w:type="dxa"/>
              <w:bottom w:w="90" w:type="dxa"/>
              <w:end w:w="100" w:type="dxa"/>
            </w:tcMar>
            <w:shd w:fill="EAF2F8"/>
          </w:tcPr>
          <w:p>
            <w:pPr>
              <w:jc w:val="left"/>
            </w:pPr>
            <w:r>
              <w:rPr>
                <w:rFonts w:ascii="Times New Roman" w:hAnsi="Times New Roman"/>
                <w:color w:val="000000"/>
                <w:sz w:val="16"/>
              </w:rPr>
              <w:t>29/06/2025</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0,70</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4,79</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4,34</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4,17</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5,32</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80</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media</w:t>
            </w:r>
          </w:p>
        </w:tc>
      </w:tr>
      <w:tr>
        <w:trPr>
          <w:cantSplit/>
        </w:trPr>
        <w:tc>
          <w:tcPr>
            <w:tcW w:type="dxa" w:w="1129"/>
            <w:vAlign w:val="center"/>
            <w:tcMar>
              <w:top w:w="90" w:type="dxa"/>
              <w:start w:w="100" w:type="dxa"/>
              <w:bottom w:w="90" w:type="dxa"/>
              <w:end w:w="100" w:type="dxa"/>
            </w:tcMar>
          </w:tcPr>
          <w:p>
            <w:pPr>
              <w:jc w:val="left"/>
            </w:pPr>
            <w:r>
              <w:rPr>
                <w:rFonts w:ascii="Times New Roman" w:hAnsi="Times New Roman"/>
                <w:color w:val="000000"/>
                <w:sz w:val="16"/>
              </w:rPr>
              <w:t>30/06/2025</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0,70</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4,79</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4,34</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4,26</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5,32</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80</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media</w:t>
            </w:r>
          </w:p>
        </w:tc>
      </w:tr>
      <w:tr>
        <w:trPr>
          <w:cantSplit/>
        </w:trPr>
        <w:tc>
          <w:tcPr>
            <w:tcW w:type="dxa" w:w="1129"/>
            <w:vAlign w:val="center"/>
            <w:tcMar>
              <w:top w:w="90" w:type="dxa"/>
              <w:start w:w="100" w:type="dxa"/>
              <w:bottom w:w="90" w:type="dxa"/>
              <w:end w:w="100" w:type="dxa"/>
            </w:tcMar>
            <w:shd w:fill="EAF2F8"/>
          </w:tcPr>
          <w:p>
            <w:pPr>
              <w:jc w:val="left"/>
            </w:pPr>
            <w:r>
              <w:rPr>
                <w:rFonts w:ascii="Times New Roman" w:hAnsi="Times New Roman"/>
                <w:color w:val="000000"/>
                <w:sz w:val="16"/>
              </w:rPr>
              <w:t>01/07/2025</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0,90</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6,15</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4,34</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5,45</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6,84</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103</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baja</w:t>
            </w:r>
          </w:p>
        </w:tc>
      </w:tr>
      <w:tr>
        <w:trPr>
          <w:cantSplit/>
        </w:trPr>
        <w:tc>
          <w:tcPr>
            <w:tcW w:type="dxa" w:w="1129"/>
            <w:vAlign w:val="center"/>
            <w:tcMar>
              <w:top w:w="90" w:type="dxa"/>
              <w:start w:w="100" w:type="dxa"/>
              <w:bottom w:w="90" w:type="dxa"/>
              <w:end w:w="100" w:type="dxa"/>
            </w:tcMar>
          </w:tcPr>
          <w:p>
            <w:pPr>
              <w:jc w:val="left"/>
            </w:pPr>
            <w:r>
              <w:rPr>
                <w:rFonts w:ascii="Times New Roman" w:hAnsi="Times New Roman"/>
                <w:color w:val="000000"/>
                <w:sz w:val="16"/>
              </w:rPr>
              <w:t>02/07/2025</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0,90</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6,15</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4,34</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5,52</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6,84</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103</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baja</w:t>
            </w:r>
          </w:p>
        </w:tc>
      </w:tr>
      <w:tr>
        <w:trPr>
          <w:cantSplit/>
        </w:trPr>
        <w:tc>
          <w:tcPr>
            <w:tcW w:type="dxa" w:w="1129"/>
            <w:vAlign w:val="center"/>
            <w:tcMar>
              <w:top w:w="90" w:type="dxa"/>
              <w:start w:w="100" w:type="dxa"/>
              <w:bottom w:w="90" w:type="dxa"/>
              <w:end w:w="100" w:type="dxa"/>
            </w:tcMar>
            <w:shd w:fill="EAF2F8"/>
          </w:tcPr>
          <w:p>
            <w:pPr>
              <w:jc w:val="left"/>
            </w:pPr>
            <w:r>
              <w:rPr>
                <w:rFonts w:ascii="Times New Roman" w:hAnsi="Times New Roman"/>
                <w:color w:val="000000"/>
                <w:sz w:val="16"/>
              </w:rPr>
              <w:t>03/07/2025</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0,90</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6,15</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4,34</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6,24</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6,84</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103</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rPr>
              <w:t>baja</w:t>
            </w:r>
          </w:p>
        </w:tc>
      </w:tr>
      <w:tr>
        <w:trPr>
          <w:cantSplit/>
        </w:trPr>
        <w:tc>
          <w:tcPr>
            <w:tcW w:type="dxa" w:w="1129"/>
            <w:vAlign w:val="center"/>
            <w:tcMar>
              <w:top w:w="90" w:type="dxa"/>
              <w:start w:w="100" w:type="dxa"/>
              <w:bottom w:w="90" w:type="dxa"/>
              <w:end w:w="100" w:type="dxa"/>
            </w:tcMar>
          </w:tcPr>
          <w:p>
            <w:pPr>
              <w:jc w:val="left"/>
            </w:pPr>
            <w:r>
              <w:rPr>
                <w:rFonts w:ascii="Times New Roman" w:hAnsi="Times New Roman"/>
                <w:color w:val="000000"/>
                <w:sz w:val="16"/>
              </w:rPr>
              <w:t>04/07/2025</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0,90</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6,15</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4,34</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7,07</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6,84</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103</w:t>
            </w:r>
          </w:p>
        </w:tc>
        <w:tc>
          <w:tcPr>
            <w:tcW w:type="dxa" w:w="1128"/>
            <w:vAlign w:val="center"/>
            <w:tcMar>
              <w:top w:w="90" w:type="dxa"/>
              <w:start w:w="100" w:type="dxa"/>
              <w:bottom w:w="90" w:type="dxa"/>
              <w:end w:w="100" w:type="dxa"/>
            </w:tcMar>
          </w:tcPr>
          <w:p>
            <w:pPr>
              <w:jc w:val="center"/>
            </w:pPr>
            <w:r>
              <w:rPr>
                <w:rFonts w:ascii="Times New Roman" w:hAnsi="Times New Roman"/>
                <w:color w:val="000000"/>
                <w:sz w:val="16"/>
              </w:rPr>
              <w:t>baja</w:t>
            </w:r>
          </w:p>
        </w:tc>
      </w:tr>
      <w:tr>
        <w:trPr>
          <w:cantSplit/>
        </w:trPr>
        <w:tc>
          <w:tcPr>
            <w:tcW w:type="dxa" w:w="1129"/>
            <w:vAlign w:val="center"/>
            <w:tcMar>
              <w:top w:w="90" w:type="dxa"/>
              <w:start w:w="100" w:type="dxa"/>
              <w:bottom w:w="90" w:type="dxa"/>
              <w:end w:w="100" w:type="dxa"/>
            </w:tcMar>
            <w:shd w:fill="EAF2F8"/>
          </w:tcPr>
          <w:p>
            <w:pPr>
              <w:jc w:val="left"/>
            </w:pPr>
            <w:r>
              <w:rPr>
                <w:rFonts w:ascii="Times New Roman" w:hAnsi="Times New Roman"/>
                <w:color w:val="000000"/>
                <w:sz w:val="16"/>
                <w:b/>
              </w:rPr>
              <w:t>Total</w:t>
            </w:r>
          </w:p>
        </w:tc>
        <w:tc>
          <w:tcPr>
            <w:tcW w:type="dxa" w:w="1128"/>
            <w:vAlign w:val="center"/>
            <w:tcMar>
              <w:top w:w="90" w:type="dxa"/>
              <w:start w:w="100" w:type="dxa"/>
              <w:bottom w:w="90" w:type="dxa"/>
              <w:end w:w="100" w:type="dxa"/>
            </w:tcMar>
            <w:shd w:fill="EAF2F8"/>
          </w:tcPr>
          <w:p>
            <w:pPr>
              <w:jc w:val="center"/>
            </w:pPr>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b/>
              </w:rPr>
              <w:t>38,96</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b/>
              </w:rPr>
              <w:t>30,38</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b/>
              </w:rPr>
              <w:t>37,15</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b/>
              </w:rPr>
              <w:t>43,29</w:t>
            </w:r>
          </w:p>
        </w:tc>
        <w:tc>
          <w:tcPr>
            <w:tcW w:type="dxa" w:w="1128"/>
            <w:vAlign w:val="center"/>
            <w:tcMar>
              <w:top w:w="90" w:type="dxa"/>
              <w:start w:w="100" w:type="dxa"/>
              <w:bottom w:w="90" w:type="dxa"/>
              <w:end w:w="100" w:type="dxa"/>
            </w:tcMar>
            <w:shd w:fill="EAF2F8"/>
          </w:tcPr>
          <w:p>
            <w:pPr>
              <w:jc w:val="center"/>
            </w:pPr>
            <w:r>
              <w:rPr>
                <w:rFonts w:ascii="Times New Roman" w:hAnsi="Times New Roman"/>
                <w:color w:val="000000"/>
                <w:sz w:val="16"/>
                <w:b/>
              </w:rPr>
              <w:t>649</w:t>
            </w:r>
          </w:p>
        </w:tc>
        <w:tc>
          <w:tcPr>
            <w:tcW w:type="dxa" w:w="1128"/>
            <w:vAlign w:val="center"/>
            <w:tcMar>
              <w:top w:w="90" w:type="dxa"/>
              <w:start w:w="100" w:type="dxa"/>
              <w:bottom w:w="90" w:type="dxa"/>
              <w:end w:w="100" w:type="dxa"/>
            </w:tcMar>
            <w:shd w:fill="EAF2F8"/>
          </w:tcPr>
          <w:p>
            <w:pPr>
              <w:jc w:val="center"/>
            </w:pPr>
            <w:r/>
          </w:p>
        </w:tc>
      </w:tr>
    </w:tbl>
    <w:p>
      <w:pPr>
        <w:spacing w:after="40"/>
      </w:pPr>
    </w:p>
    <w:p>
      <w:pPr>
        <w:spacing w:after="120"/>
      </w:pPr>
      <w:r>
        <w:t>En el conjunto de la semana, el sistema planifica 38,96 mm netos frente a los 37,15 mm de la referencia, una diferencia de 1,81 mm o del 4,9 %. La persistencia habría propuesto 30,38 mm, es decir, 6,77 mm menos de lo que finalmente necesitó el cultivo, porque mantiene durante toda la semana el valor de junio. El ejemplo muestra el motivo por el que se separaron la ET0 y el Kc en el diseño: la subida de la demanda al cambiar de fase se anticipa desde el primer día, aunque la ET0 se suponga constante.</w:t>
      </w:r>
    </w:p>
    <w:p>
      <w:pPr>
        <w:spacing w:after="120"/>
      </w:pPr>
      <w:r>
        <w:t>El ejemplo también deja ver las limitaciones. Los días 28 a 30 de junio el sistema sobrestima, porque la semana anterior tuvo una demanda evaporativa mayor que la siguiente, y el 3 y el 4 de julio infraestima por la razón contraria. Una media de siete días no puede anticipar un cambio de tiempo; para ello haría falta una ET0 prevista. La interfaz lo refleja asignando confianza media a los tres primeros días y baja a los cuatro siguientes, e indicando en las reglas el error medio esperado para cada día del horizonte.</w:t>
      </w:r>
    </w:p>
    <w:p>
      <w:pPr>
        <w:pStyle w:val="Heading3"/>
        <w:keepNext/>
      </w:pPr>
      <w:r>
        <w:rPr>
          <w:rFonts w:ascii="Times New Roman" w:hAnsi="Times New Roman"/>
          <w:color w:val="000000"/>
          <w:sz w:val="24"/>
        </w:rPr>
        <w:t>5.2.4. Uso desde la línea de comandos</w:t>
      </w:r>
    </w:p>
    <w:p>
      <w:pPr>
        <w:spacing w:after="120"/>
      </w:pPr>
      <w:r>
        <w:t>La misma consulta puede lanzarse sin interfaz, lo que resulta útil para programar una recomendación diaria o para integrarla en otro sistema:</w:t>
      </w:r>
    </w:p>
    <w:p>
      <w:pPr>
        <w:spacing w:before="80" w:after="140"/>
        <w:ind w:left="360" w:right="216"/>
        <w:jc w:val="left"/>
        <w:shd w:fill="F2F2F2"/>
      </w:pPr>
      <w:r>
        <w:rPr>
          <w:rFonts w:ascii="Consolas" w:hAnsi="Consolas"/>
          <w:sz w:val="17"/>
        </w:rPr>
        <w:t>python -m src.dss.recommend --fecha 2025-06-28 --horizonte 7 --superficie 1.5</w:t>
      </w:r>
    </w:p>
    <w:p>
      <w:pPr>
        <w:spacing w:after="120"/>
      </w:pPr>
      <w:r>
        <w:t xml:space="preserve">El comando escribe en la consola la explicación de cada día y los totales, y guarda la tabla diaria y el resumen en </w:t>
      </w:r>
      <w:r>
        <w:rPr>
          <w:rFonts w:ascii="Consolas" w:hAnsi="Consolas"/>
          <w:sz w:val="19"/>
        </w:rPr>
        <w:t>results/reports</w:t>
      </w:r>
      <w:r>
        <w:t xml:space="preserve"> en formato CSV y JSON. Los argumentos opcionales permiten indicar otro sistema de riego, una eficiencia propia, una dotación semanal, el modo de seguimiento o un archivo con ET0 o lluvia prevista. El ejemplo de la Tabla 5.2 se conserva también como muestra versionada en </w:t>
      </w:r>
      <w:r>
        <w:rPr>
          <w:rFonts w:ascii="Consolas" w:hAnsi="Consolas"/>
          <w:sz w:val="19"/>
        </w:rPr>
        <w:t>docs/data_samples/dss_recommendation_example_5_2.csv</w:t>
      </w:r>
      <w:r>
        <w:t>.</w:t>
      </w:r>
    </w:p>
    <w:p>
      <w:pPr>
        <w:pStyle w:val="Heading3"/>
        <w:keepNext/>
      </w:pPr>
      <w:r>
        <w:rPr>
          <w:rFonts w:ascii="Times New Roman" w:hAnsi="Times New Roman"/>
          <w:color w:val="000000"/>
          <w:sz w:val="24"/>
        </w:rPr>
        <w:t>5.2.5. Visualización de la campaña</w:t>
      </w:r>
    </w:p>
    <w:p>
      <w:pPr>
        <w:spacing w:after="120"/>
      </w:pPr>
      <w:r>
        <w:t>Además de la consulta puntual, se han generado dos figuras que resumen el comportamiento del sistema a lo largo de toda la campaña y que se analizan en el apartado 5.3. La primera simula que el agricultor consulta el sistema cada mañana con la información del día anterior y compara cada recomendación con la referencia SiAR. La segunda agrega los resultados por semanas naturales, que es la escala en la que suelen planificarse los turnos de riego y las dotaciones. Ambas se generan con el mismo código que valida el sistema, de manera que cualquier cambio en el motor se refleja automáticamente en las figuras de la memoria.</w:t>
      </w:r>
    </w:p>
    <w:p>
      <w:pPr>
        <w:pStyle w:val="Heading3"/>
        <w:keepNext/>
      </w:pPr>
      <w:r>
        <w:rPr>
          <w:rFonts w:ascii="Times New Roman" w:hAnsi="Times New Roman"/>
          <w:color w:val="000000"/>
          <w:sz w:val="24"/>
        </w:rPr>
        <w:t>5.2.6. Limitaciones de la aplicación</w:t>
      </w:r>
    </w:p>
    <w:p>
      <w:pPr>
        <w:spacing w:after="120"/>
      </w:pPr>
      <w:r>
        <w:t>La aplicación es un prototipo de demostración. No dispone de usuarios ni de control de acceso, no guarda un histórico de consultas por parcela y lee la fuente desde un archivo local en lugar de una base de datos. Tampoco descarga por sí misma la predicción de AEMET; la vía de ET0 prevista está implementada en el motor y se ha probado con datos de ejemplo, pero la interfaz trabaja con la vía por defecto. Estas carencias no impiden demostrar el funcionamiento del sistema, aunque sí condicionan su uso real. Por último, la interfaz no se ha evaluado con agricultores ni técnicos. La literatura señala que la facilidad de uso y la relevancia percibida son determinantes para que una herramienta de este tipo se adopte (Rose et al., 2016), por lo que esa evaluación con usuarios se considera un paso necesario antes de cualquier despliegue.</w:t>
      </w:r>
    </w:p>
    <w:p>
      <w:pPr>
        <w:pStyle w:val="Heading2"/>
      </w:pPr>
      <w:r>
        <w:t>5.3. Validación, resultados y análisis crítico</w:t>
      </w:r>
    </w:p>
    <w:p>
      <w:pPr>
        <w:spacing w:after="120"/>
      </w:pPr>
      <w:r>
        <w:t xml:space="preserve">La validación del sistema no puede limitarse a repetir las métricas del capítulo 4. Allí se evaluaba si un modelo anticipaba bien una variable; aquí interesa saber si el conjunto formado por la estimación, las reglas y la salida produce recomendaciones correctas, coherentes y seguras en las condiciones en las que se utilizaría. Siguiendo las dimensiones planteadas en el apartado 2.3, la evaluación se ha organizado en cuatro niveles: la fidelidad de la vía agronómica, el error de la planificación frente a la referencia, el comportamiento ante situaciones anómalas y el rendimiento operativo. Todas las cifras proceden de </w:t>
      </w:r>
      <w:r>
        <w:rPr>
          <w:rFonts w:ascii="Consolas" w:hAnsi="Consolas"/>
          <w:sz w:val="19"/>
        </w:rPr>
        <w:t>src/analysis/build_validation_5_3.py</w:t>
      </w:r>
      <w:r>
        <w:t>, que las regenera a partir del CSV oficial del piloto.</w:t>
      </w:r>
    </w:p>
    <w:p>
      <w:pPr>
        <w:spacing w:after="120"/>
      </w:pPr>
      <w:r>
        <w:t>Conviene precisar desde el principio qué significa validar en este contexto. La referencia utilizada es la necesidad neta calculada por SiAR, no el riego aplicado por un agricultor ni la respuesta del cultivo. Tampoco se ha contado con técnicos o regantes que revisaran las recomendaciones. Lo que se presenta es, por tanto, una validación técnica del prototipo con escenarios documentados. Demostrar un ahorro de agua o una mejora productiva exigiría un ensayo de campo con un diseño distinto, algo que queda fuera del alcance declarado en el apartado 1.3.</w:t>
      </w:r>
    </w:p>
    <w:p>
      <w:pPr>
        <w:pStyle w:val="Heading3"/>
        <w:keepNext/>
      </w:pPr>
      <w:r>
        <w:rPr>
          <w:rFonts w:ascii="Times New Roman" w:hAnsi="Times New Roman"/>
          <w:color w:val="000000"/>
          <w:sz w:val="24"/>
        </w:rPr>
        <w:t>5.3.1. Fidelidad de la vía agronómica</w:t>
      </w:r>
    </w:p>
    <w:p>
      <w:pPr>
        <w:spacing w:after="120"/>
      </w:pPr>
      <w:r>
        <w:t>El primer control consistió en comprobar que el modo de seguimiento reproduce la referencia publicada. En los 148 días con ET0 observada, la diferencia máxima entre la necesidad calculada por el motor y la publicada por SiAR fue de 0,008 mm, atribuible al redondeo a dos decimales de la fuente. Este resultado confirma que el sistema interpreta correctamente las columnas del CSV y que la expresión agronómica es la misma que utiliza SiAR.</w:t>
      </w:r>
    </w:p>
    <w:p>
      <w:pPr>
        <w:spacing w:after="120"/>
      </w:pPr>
      <w:r>
        <w:t>La comprobación reveló además un matiz del total oficial. El metadato de la descarga indica una necesidad neta de 530,47 mm para la campaña, mientras que la suma de las necesidades diarias es de 531,05 mm. La diferencia procede del 23 de mayo, el único día en que la lluvia efectiva (2,34 mm) superó a la ETc (1,75 mm). SiAR obtiene el total como suma de la ETc menos suma de la lluvia efectiva y deja que ese excedente de 0,58 mm compense necesidades de otros días; el motor, en cambio, fija la necesidad de ese día en cero y no traslada el excedente. Para un sistema que no modela el almacenamiento del suelo, el segundo criterio es el más prudente, pero la discrepancia se documenta para que nadie la confunda con un error de cálculo.</w:t>
      </w:r>
    </w:p>
    <w:p>
      <w:pPr>
        <w:pStyle w:val="Heading3"/>
        <w:keepNext/>
      </w:pPr>
      <w:r>
        <w:rPr>
          <w:rFonts w:ascii="Times New Roman" w:hAnsi="Times New Roman"/>
          <w:color w:val="000000"/>
          <w:sz w:val="24"/>
        </w:rPr>
        <w:t>5.3.2. Selección de la ventana de ET0</w:t>
      </w:r>
    </w:p>
    <w:p>
      <w:pPr>
        <w:spacing w:after="120"/>
      </w:pPr>
      <w:r>
        <w:t>La vía por defecto del sistema promedia la ET0 de los días anteriores. Antes de fijar la longitud de esa ventana se evaluaron cinco alternativas, de uno a catorce días, simulando emisiones diarias con horizontes de uno a siete días. Para mantener la coherencia con el capítulo 4, se utilizó como prueba el mismo tramo reservado, del 8 al 30 de septiembre, y la selección se hizo únicamente con el periodo de desarrollo. Como criterio se fijó, antes de calcular los resultados, elegir la ventana más corta cuyo error no superase al mínimo en más de un 1 %, porque una ventana corta reacciona antes ante un cambio de tiempo.</w:t>
      </w:r>
    </w:p>
    <w:p>
      <w:pPr>
        <w:keepNext/>
        <w:spacing w:after="120"/>
      </w:pPr>
      <w:r>
        <w:rPr>
          <w:b/>
        </w:rPr>
        <w:t>Tabla 5.3. MAE medio de los horizontes 1 a 7 según la ventana de ET0 (mm/día).</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9"/>
        <w:gridCol w:w="3008"/>
        <w:gridCol w:w="3008"/>
      </w:tblGrid>
      <w:tr>
        <w:trPr>
          <w:tblHeader w:val="true"/>
          <w:cantSplit/>
        </w:trPr>
        <w:tc>
          <w:tcPr>
            <w:tcW w:type="dxa" w:w="3009"/>
            <w:vAlign w:val="center"/>
            <w:tcMar>
              <w:top w:w="90" w:type="dxa"/>
              <w:start w:w="100" w:type="dxa"/>
              <w:bottom w:w="90" w:type="dxa"/>
              <w:end w:w="100" w:type="dxa"/>
            </w:tcMar>
            <w:shd w:fill="1F4E78"/>
          </w:tcPr>
          <w:p>
            <w:pPr>
              <w:jc w:val="left"/>
            </w:pPr>
            <w:r>
              <w:rPr>
                <w:rFonts w:ascii="Times New Roman" w:hAnsi="Times New Roman"/>
                <w:color w:val="FFFFFF"/>
                <w:sz w:val="16"/>
                <w:b/>
              </w:rPr>
              <w:t>Ventana</w:t>
            </w:r>
          </w:p>
        </w:tc>
        <w:tc>
          <w:tcPr>
            <w:tcW w:type="dxa" w:w="3008"/>
            <w:vAlign w:val="center"/>
            <w:tcMar>
              <w:top w:w="90" w:type="dxa"/>
              <w:start w:w="100" w:type="dxa"/>
              <w:bottom w:w="90" w:type="dxa"/>
              <w:end w:w="100" w:type="dxa"/>
            </w:tcMar>
            <w:shd w:fill="1F4E78"/>
          </w:tcPr>
          <w:p>
            <w:pPr>
              <w:jc w:val="center"/>
            </w:pPr>
            <w:r>
              <w:rPr>
                <w:rFonts w:ascii="Times New Roman" w:hAnsi="Times New Roman"/>
                <w:color w:val="FFFFFF"/>
                <w:sz w:val="16"/>
                <w:b/>
              </w:rPr>
              <w:t>Desarrollo</w:t>
            </w:r>
          </w:p>
        </w:tc>
        <w:tc>
          <w:tcPr>
            <w:tcW w:type="dxa" w:w="3008"/>
            <w:vAlign w:val="center"/>
            <w:tcMar>
              <w:top w:w="90" w:type="dxa"/>
              <w:start w:w="100" w:type="dxa"/>
              <w:bottom w:w="90" w:type="dxa"/>
              <w:end w:w="100" w:type="dxa"/>
            </w:tcMar>
            <w:shd w:fill="1F4E78"/>
          </w:tcPr>
          <w:p>
            <w:pPr>
              <w:jc w:val="center"/>
            </w:pPr>
            <w:r>
              <w:rPr>
                <w:rFonts w:ascii="Times New Roman" w:hAnsi="Times New Roman"/>
                <w:color w:val="FFFFFF"/>
                <w:sz w:val="16"/>
                <w:b/>
              </w:rPr>
              <w:t>Prueba</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1 día</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0,517</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0,127</w:t>
            </w:r>
          </w:p>
        </w:tc>
      </w:tr>
      <w:tr>
        <w:trPr>
          <w:cantSplit/>
        </w:trPr>
        <w:tc>
          <w:tcPr>
            <w:tcW w:type="dxa" w:w="3009"/>
            <w:vAlign w:val="center"/>
            <w:tcMar>
              <w:top w:w="90" w:type="dxa"/>
              <w:start w:w="100" w:type="dxa"/>
              <w:bottom w:w="90" w:type="dxa"/>
              <w:end w:w="100" w:type="dxa"/>
            </w:tcMar>
            <w:shd w:fill="EAF2F8"/>
          </w:tcPr>
          <w:p>
            <w:pPr>
              <w:jc w:val="left"/>
            </w:pPr>
            <w:r>
              <w:rPr>
                <w:rFonts w:ascii="Times New Roman" w:hAnsi="Times New Roman"/>
                <w:color w:val="000000"/>
                <w:sz w:val="16"/>
              </w:rPr>
              <w:t>3 días</w:t>
            </w:r>
          </w:p>
        </w:tc>
        <w:tc>
          <w:tcPr>
            <w:tcW w:type="dxa" w:w="3008"/>
            <w:vAlign w:val="center"/>
            <w:tcMar>
              <w:top w:w="90" w:type="dxa"/>
              <w:start w:w="100" w:type="dxa"/>
              <w:bottom w:w="90" w:type="dxa"/>
              <w:end w:w="100" w:type="dxa"/>
            </w:tcMar>
            <w:shd w:fill="EAF2F8"/>
          </w:tcPr>
          <w:p>
            <w:pPr>
              <w:jc w:val="center"/>
            </w:pPr>
            <w:r>
              <w:rPr>
                <w:rFonts w:ascii="Times New Roman" w:hAnsi="Times New Roman"/>
                <w:color w:val="000000"/>
                <w:sz w:val="16"/>
              </w:rPr>
              <w:t>0,494</w:t>
            </w:r>
          </w:p>
        </w:tc>
        <w:tc>
          <w:tcPr>
            <w:tcW w:type="dxa" w:w="3008"/>
            <w:vAlign w:val="center"/>
            <w:tcMar>
              <w:top w:w="90" w:type="dxa"/>
              <w:start w:w="100" w:type="dxa"/>
              <w:bottom w:w="90" w:type="dxa"/>
              <w:end w:w="100" w:type="dxa"/>
            </w:tcMar>
            <w:shd w:fill="EAF2F8"/>
          </w:tcPr>
          <w:p>
            <w:pPr>
              <w:jc w:val="center"/>
            </w:pPr>
            <w:r>
              <w:rPr>
                <w:rFonts w:ascii="Times New Roman" w:hAnsi="Times New Roman"/>
                <w:color w:val="000000"/>
                <w:sz w:val="16"/>
              </w:rPr>
              <w:t>0,110</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5 días</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0,484</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0,101</w:t>
            </w:r>
          </w:p>
        </w:tc>
      </w:tr>
      <w:tr>
        <w:trPr>
          <w:cantSplit/>
        </w:trPr>
        <w:tc>
          <w:tcPr>
            <w:tcW w:type="dxa" w:w="3009"/>
            <w:vAlign w:val="center"/>
            <w:tcMar>
              <w:top w:w="90" w:type="dxa"/>
              <w:start w:w="100" w:type="dxa"/>
              <w:bottom w:w="90" w:type="dxa"/>
              <w:end w:w="100" w:type="dxa"/>
            </w:tcMar>
            <w:shd w:fill="EAF2F8"/>
          </w:tcPr>
          <w:p>
            <w:pPr>
              <w:jc w:val="left"/>
            </w:pPr>
            <w:r>
              <w:rPr>
                <w:rFonts w:ascii="Times New Roman" w:hAnsi="Times New Roman"/>
                <w:color w:val="000000"/>
                <w:sz w:val="16"/>
              </w:rPr>
              <w:t>7 días</w:t>
            </w:r>
          </w:p>
        </w:tc>
        <w:tc>
          <w:tcPr>
            <w:tcW w:type="dxa" w:w="3008"/>
            <w:vAlign w:val="center"/>
            <w:tcMar>
              <w:top w:w="90" w:type="dxa"/>
              <w:start w:w="100" w:type="dxa"/>
              <w:bottom w:w="90" w:type="dxa"/>
              <w:end w:w="100" w:type="dxa"/>
            </w:tcMar>
            <w:shd w:fill="EAF2F8"/>
          </w:tcPr>
          <w:p>
            <w:pPr>
              <w:jc w:val="center"/>
            </w:pPr>
            <w:r>
              <w:rPr>
                <w:rFonts w:ascii="Times New Roman" w:hAnsi="Times New Roman"/>
                <w:color w:val="000000"/>
                <w:sz w:val="16"/>
                <w:b/>
              </w:rPr>
              <w:t>0,471</w:t>
            </w:r>
          </w:p>
        </w:tc>
        <w:tc>
          <w:tcPr>
            <w:tcW w:type="dxa" w:w="3008"/>
            <w:vAlign w:val="center"/>
            <w:tcMar>
              <w:top w:w="90" w:type="dxa"/>
              <w:start w:w="100" w:type="dxa"/>
              <w:bottom w:w="90" w:type="dxa"/>
              <w:end w:w="100" w:type="dxa"/>
            </w:tcMar>
            <w:shd w:fill="EAF2F8"/>
          </w:tcPr>
          <w:p>
            <w:pPr>
              <w:jc w:val="center"/>
            </w:pPr>
            <w:r>
              <w:rPr>
                <w:rFonts w:ascii="Times New Roman" w:hAnsi="Times New Roman"/>
                <w:color w:val="000000"/>
                <w:sz w:val="16"/>
                <w:b/>
              </w:rPr>
              <w:t>0,101</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14 días</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0,469</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0,124</w:t>
            </w:r>
          </w:p>
        </w:tc>
      </w:tr>
    </w:tbl>
    <w:p>
      <w:pPr>
        <w:spacing w:after="40"/>
      </w:pPr>
    </w:p>
    <w:p>
      <w:pPr>
        <w:spacing w:after="120"/>
      </w:pPr>
      <w:r>
        <w:t>Las ventanas de siete y catorce días son prácticamente equivalentes en desarrollo, con una diferencia de 0,002 mm, y el criterio selecciona la de siete. En la prueba esa elección resulta favorable, aunque no se utilizó para decidir. La tabla muestra también que las ventanas de uno y tres días son claramente peores: la ET0 de un día aislado incorpora demasiado ruido para representar la demanda de los días siguientes.</w:t>
      </w:r>
    </w:p>
    <w:p>
      <w:pPr>
        <w:pStyle w:val="Heading3"/>
        <w:keepNext/>
      </w:pPr>
      <w:r>
        <w:rPr>
          <w:rFonts w:ascii="Times New Roman" w:hAnsi="Times New Roman"/>
          <w:color w:val="000000"/>
          <w:sz w:val="24"/>
        </w:rPr>
        <w:t>5.3.3. Error de la recomendación a un día</w:t>
      </w:r>
    </w:p>
    <w:p>
      <w:pPr>
        <w:spacing w:after="120"/>
      </w:pPr>
      <w:r>
        <w:t>El uso principal del sistema es la consulta diaria con la información del día anterior. Para evaluarlo se simuló una campaña completa en la que el sistema emite una recomendación cada mañana, del 2 de mayo al 30 de septiembre, y se comparó cada una con la referencia SiAR del mismo día. Se emitieron 152 recomendaciones, de las cuales 147 pudieron contrastarse; las cinco restantes corresponden a fechas sin referencia publicada.</w:t>
      </w:r>
    </w:p>
    <w:p>
      <w:pPr>
        <w:keepNext/>
        <w:spacing w:after="120"/>
      </w:pPr>
      <w:r>
        <w:rPr>
          <w:b/>
        </w:rPr>
        <w:t>Tabla 5.4. Error de la recomendación a un día frente a la referencia SiAR.</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05"/>
        <w:gridCol w:w="1504"/>
        <w:gridCol w:w="1504"/>
        <w:gridCol w:w="1504"/>
        <w:gridCol w:w="1504"/>
        <w:gridCol w:w="1504"/>
      </w:tblGrid>
      <w:tr>
        <w:trPr>
          <w:tblHeader w:val="true"/>
          <w:cantSplit/>
        </w:trPr>
        <w:tc>
          <w:tcPr>
            <w:tcW w:type="dxa" w:w="1505"/>
            <w:vAlign w:val="center"/>
            <w:tcMar>
              <w:top w:w="90" w:type="dxa"/>
              <w:start w:w="100" w:type="dxa"/>
              <w:bottom w:w="90" w:type="dxa"/>
              <w:end w:w="100" w:type="dxa"/>
            </w:tcMar>
            <w:shd w:fill="1F4E78"/>
          </w:tcPr>
          <w:p>
            <w:pPr>
              <w:jc w:val="left"/>
            </w:pPr>
            <w:r>
              <w:rPr>
                <w:rFonts w:ascii="Times New Roman" w:hAnsi="Times New Roman"/>
                <w:color w:val="FFFFFF"/>
                <w:sz w:val="16"/>
                <w:b/>
              </w:rPr>
              <w:t>Periodo</w:t>
            </w:r>
          </w:p>
        </w:tc>
        <w:tc>
          <w:tcPr>
            <w:tcW w:type="dxa" w:w="1504"/>
            <w:vAlign w:val="center"/>
            <w:tcMar>
              <w:top w:w="90" w:type="dxa"/>
              <w:start w:w="100" w:type="dxa"/>
              <w:bottom w:w="90" w:type="dxa"/>
              <w:end w:w="100" w:type="dxa"/>
            </w:tcMar>
            <w:shd w:fill="1F4E78"/>
          </w:tcPr>
          <w:p>
            <w:pPr>
              <w:jc w:val="center"/>
            </w:pPr>
            <w:r>
              <w:rPr>
                <w:rFonts w:ascii="Times New Roman" w:hAnsi="Times New Roman"/>
                <w:color w:val="FFFFFF"/>
                <w:sz w:val="16"/>
                <w:b/>
              </w:rPr>
              <w:t>Enfoque</w:t>
            </w:r>
          </w:p>
        </w:tc>
        <w:tc>
          <w:tcPr>
            <w:tcW w:type="dxa" w:w="1504"/>
            <w:vAlign w:val="center"/>
            <w:tcMar>
              <w:top w:w="90" w:type="dxa"/>
              <w:start w:w="100" w:type="dxa"/>
              <w:bottom w:w="90" w:type="dxa"/>
              <w:end w:w="100" w:type="dxa"/>
            </w:tcMar>
            <w:shd w:fill="1F4E78"/>
          </w:tcPr>
          <w:p>
            <w:pPr>
              <w:jc w:val="center"/>
            </w:pPr>
            <w:r>
              <w:rPr>
                <w:rFonts w:ascii="Times New Roman" w:hAnsi="Times New Roman"/>
                <w:color w:val="FFFFFF"/>
                <w:sz w:val="16"/>
                <w:b/>
              </w:rPr>
              <w:t>Días</w:t>
            </w:r>
          </w:p>
        </w:tc>
        <w:tc>
          <w:tcPr>
            <w:tcW w:type="dxa" w:w="1504"/>
            <w:vAlign w:val="center"/>
            <w:tcMar>
              <w:top w:w="90" w:type="dxa"/>
              <w:start w:w="100" w:type="dxa"/>
              <w:bottom w:w="90" w:type="dxa"/>
              <w:end w:w="100" w:type="dxa"/>
            </w:tcMar>
            <w:shd w:fill="1F4E78"/>
          </w:tcPr>
          <w:p>
            <w:pPr>
              <w:jc w:val="center"/>
            </w:pPr>
            <w:r>
              <w:rPr>
                <w:rFonts w:ascii="Times New Roman" w:hAnsi="Times New Roman"/>
                <w:color w:val="FFFFFF"/>
                <w:sz w:val="16"/>
                <w:b/>
              </w:rPr>
              <w:t>MAE (mm)</w:t>
            </w:r>
          </w:p>
        </w:tc>
        <w:tc>
          <w:tcPr>
            <w:tcW w:type="dxa" w:w="1504"/>
            <w:vAlign w:val="center"/>
            <w:tcMar>
              <w:top w:w="90" w:type="dxa"/>
              <w:start w:w="100" w:type="dxa"/>
              <w:bottom w:w="90" w:type="dxa"/>
              <w:end w:w="100" w:type="dxa"/>
            </w:tcMar>
            <w:shd w:fill="1F4E78"/>
          </w:tcPr>
          <w:p>
            <w:pPr>
              <w:jc w:val="center"/>
            </w:pPr>
            <w:r>
              <w:rPr>
                <w:rFonts w:ascii="Times New Roman" w:hAnsi="Times New Roman"/>
                <w:color w:val="FFFFFF"/>
                <w:sz w:val="16"/>
                <w:b/>
              </w:rPr>
              <w:t>RMSE (mm)</w:t>
            </w:r>
          </w:p>
        </w:tc>
        <w:tc>
          <w:tcPr>
            <w:tcW w:type="dxa" w:w="1504"/>
            <w:vAlign w:val="center"/>
            <w:tcMar>
              <w:top w:w="90" w:type="dxa"/>
              <w:start w:w="100" w:type="dxa"/>
              <w:bottom w:w="90" w:type="dxa"/>
              <w:end w:w="100" w:type="dxa"/>
            </w:tcMar>
            <w:shd w:fill="1F4E78"/>
          </w:tcPr>
          <w:p>
            <w:pPr>
              <w:jc w:val="center"/>
            </w:pPr>
            <w:r>
              <w:rPr>
                <w:rFonts w:ascii="Times New Roman" w:hAnsi="Times New Roman"/>
                <w:color w:val="FFFFFF"/>
                <w:sz w:val="16"/>
                <w:b/>
              </w:rPr>
              <w:t>Sesgo (mm)</w:t>
            </w:r>
          </w:p>
        </w:tc>
      </w:tr>
      <w:tr>
        <w:trPr>
          <w:cantSplit/>
        </w:trPr>
        <w:tc>
          <w:tcPr>
            <w:tcW w:type="dxa" w:w="1505"/>
            <w:vAlign w:val="center"/>
            <w:tcMar>
              <w:top w:w="90" w:type="dxa"/>
              <w:start w:w="100" w:type="dxa"/>
              <w:bottom w:w="90" w:type="dxa"/>
              <w:end w:w="100" w:type="dxa"/>
            </w:tcMar>
          </w:tcPr>
          <w:p>
            <w:pPr>
              <w:jc w:val="left"/>
            </w:pPr>
            <w:r>
              <w:rPr>
                <w:rFonts w:ascii="Times New Roman" w:hAnsi="Times New Roman"/>
                <w:color w:val="000000"/>
                <w:sz w:val="16"/>
              </w:rPr>
              <w:t>Desarrollo</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DSS (ET0 reciente × Kc)</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124</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b/>
              </w:rPr>
              <w:t>0,417</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b/>
              </w:rPr>
              <w:t>0,583</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0,044</w:t>
            </w:r>
          </w:p>
        </w:tc>
      </w:tr>
      <w:tr>
        <w:trPr>
          <w:cantSplit/>
        </w:trPr>
        <w:tc>
          <w:tcPr>
            <w:tcW w:type="dxa" w:w="1505"/>
            <w:vAlign w:val="center"/>
            <w:tcMar>
              <w:top w:w="90" w:type="dxa"/>
              <w:start w:w="100" w:type="dxa"/>
              <w:bottom w:w="90" w:type="dxa"/>
              <w:end w:w="100" w:type="dxa"/>
            </w:tcMar>
            <w:shd w:fill="EAF2F8"/>
          </w:tcPr>
          <w:p>
            <w:pPr>
              <w:jc w:val="left"/>
            </w:pPr>
            <w:r>
              <w:rPr>
                <w:rFonts w:ascii="Times New Roman" w:hAnsi="Times New Roman"/>
                <w:color w:val="000000"/>
                <w:sz w:val="16"/>
              </w:rPr>
              <w:t>Desarrollo</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Persistencia</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124</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0,449</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0,710</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0,012</w:t>
            </w:r>
          </w:p>
        </w:tc>
      </w:tr>
      <w:tr>
        <w:trPr>
          <w:cantSplit/>
        </w:trPr>
        <w:tc>
          <w:tcPr>
            <w:tcW w:type="dxa" w:w="1505"/>
            <w:vAlign w:val="center"/>
            <w:tcMar>
              <w:top w:w="90" w:type="dxa"/>
              <w:start w:w="100" w:type="dxa"/>
              <w:bottom w:w="90" w:type="dxa"/>
              <w:end w:w="100" w:type="dxa"/>
            </w:tcMar>
          </w:tcPr>
          <w:p>
            <w:pPr>
              <w:jc w:val="left"/>
            </w:pPr>
            <w:r>
              <w:rPr>
                <w:rFonts w:ascii="Times New Roman" w:hAnsi="Times New Roman"/>
                <w:color w:val="000000"/>
                <w:sz w:val="16"/>
              </w:rPr>
              <w:t>Prueba</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DSS (ET0 reciente × Kc)</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23</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b/>
              </w:rPr>
              <w:t>0,090</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b/>
              </w:rPr>
              <w:t>0,113</w:t>
            </w:r>
          </w:p>
        </w:tc>
        <w:tc>
          <w:tcPr>
            <w:tcW w:type="dxa" w:w="1504"/>
            <w:vAlign w:val="center"/>
            <w:tcMar>
              <w:top w:w="90" w:type="dxa"/>
              <w:start w:w="100" w:type="dxa"/>
              <w:bottom w:w="90" w:type="dxa"/>
              <w:end w:w="100" w:type="dxa"/>
            </w:tcMar>
          </w:tcPr>
          <w:p>
            <w:pPr>
              <w:jc w:val="center"/>
            </w:pPr>
            <w:r>
              <w:rPr>
                <w:rFonts w:ascii="Times New Roman" w:hAnsi="Times New Roman"/>
                <w:color w:val="000000"/>
                <w:sz w:val="16"/>
              </w:rPr>
              <w:t>0,047</w:t>
            </w:r>
          </w:p>
        </w:tc>
      </w:tr>
      <w:tr>
        <w:trPr>
          <w:cantSplit/>
        </w:trPr>
        <w:tc>
          <w:tcPr>
            <w:tcW w:type="dxa" w:w="1505"/>
            <w:vAlign w:val="center"/>
            <w:tcMar>
              <w:top w:w="90" w:type="dxa"/>
              <w:start w:w="100" w:type="dxa"/>
              <w:bottom w:w="90" w:type="dxa"/>
              <w:end w:w="100" w:type="dxa"/>
            </w:tcMar>
            <w:shd w:fill="EAF2F8"/>
          </w:tcPr>
          <w:p>
            <w:pPr>
              <w:jc w:val="left"/>
            </w:pPr>
            <w:r>
              <w:rPr>
                <w:rFonts w:ascii="Times New Roman" w:hAnsi="Times New Roman"/>
                <w:color w:val="000000"/>
                <w:sz w:val="16"/>
              </w:rPr>
              <w:t>Prueba</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Persistencia</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23</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0,120</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0,156</w:t>
            </w:r>
          </w:p>
        </w:tc>
        <w:tc>
          <w:tcPr>
            <w:tcW w:type="dxa" w:w="1504"/>
            <w:vAlign w:val="center"/>
            <w:tcMar>
              <w:top w:w="90" w:type="dxa"/>
              <w:start w:w="100" w:type="dxa"/>
              <w:bottom w:w="90" w:type="dxa"/>
              <w:end w:w="100" w:type="dxa"/>
            </w:tcMar>
            <w:shd w:fill="EAF2F8"/>
          </w:tcPr>
          <w:p>
            <w:pPr>
              <w:jc w:val="center"/>
            </w:pPr>
            <w:r>
              <w:rPr>
                <w:rFonts w:ascii="Times New Roman" w:hAnsi="Times New Roman"/>
                <w:color w:val="000000"/>
                <w:sz w:val="16"/>
              </w:rPr>
              <w:t>0,000</w:t>
            </w:r>
          </w:p>
        </w:tc>
      </w:tr>
    </w:tbl>
    <w:p>
      <w:pPr>
        <w:spacing w:after="40"/>
      </w:pPr>
    </w:p>
    <w:p>
      <w:pPr>
        <w:spacing w:after="120"/>
      </w:pPr>
      <w:r>
        <w:t>El sistema reduce el MAE respecto a la persistencia en un 7 % en desarrollo y en un 25 % en la prueba. La reducción es mayor en el RMSE, un 18 % en desarrollo, lo que indica que la mejora se concentra en los errores grandes. La Figura 5.3 ayuda a entenderlo. Los mayores errores de la persistencia se producen el primer día de cada fase, cuando repite el valor de la fase anterior; el 1 de septiembre, con el paso del Kc de 1,00 a 0,30, se desvía 3,52 mm, mientras que el sistema lo hace en 0,01 mm. El otro episodio destacado es la lluvia del 23 de mayo, que ninguna de las dos vías puede anticipar sin una predicción de precipitación y que la persistencia arrastra además al día siguiente. El MAE de la persistencia en la prueba, 0,120 mm, coincide con el obtenido en el apartado 4.3, lo que confirma que ambos experimentos parten de la misma referencia. En desarrollo los valores no son directamente comparables con los de la Tabla 4.13, porque aquí se evalúan todas las emisiones del periodo y no tres cortes de validación.</w:t>
      </w:r>
    </w:p>
    <w:p>
      <w:pPr>
        <w:keepNext/>
        <w:jc w:val="center"/>
      </w:pPr>
      <w:r>
        <w:drawing>
          <wp:inline xmlns:wp="http://schemas.openxmlformats.org/drawingml/2006/wordprocessingDrawing" xmlns:a="http://schemas.openxmlformats.org/drawingml/2006/main" xmlns:pic="http://schemas.openxmlformats.org/drawingml/2006/picture">
            <wp:extent cx="5577840" cy="3442602"/>
            <wp:docPr id="27" name="Picture 27"/>
            <wp:cNvGraphicFramePr>
              <a:graphicFrameLocks noChangeAspect="1"/>
            </wp:cNvGraphicFramePr>
            <a:graphic>
              <a:graphicData uri="http://schemas.openxmlformats.org/drawingml/2006/picture">
                <pic:pic>
                  <pic:nvPicPr>
                    <pic:cNvPr id="0" name="image.png"/>
                    <pic:cNvPicPr/>
                  </pic:nvPicPr>
                  <pic:blipFill>
                    <a:blip ns1:embed="rId20"/>
                    <a:stretch>
                      <a:fillRect/>
                    </a:stretch>
                  </pic:blipFill>
                  <pic:spPr>
                    <a:xfrm>
                      <a:off x="0" y="0"/>
                      <a:ext cx="5577840" cy="3442602"/>
                    </a:xfrm>
                    <a:prstGeom prst="rect"/>
                  </pic:spPr>
                </pic:pic>
              </a:graphicData>
            </a:graphic>
          </wp:inline>
        </w:drawing>
      </w:r>
    </w:p>
    <w:p>
      <w:pPr>
        <w:keepLines/>
        <w:jc w:val="center"/>
      </w:pPr>
      <w:r>
        <w:rPr>
          <w:i/>
          <w:sz w:val="20"/>
        </w:rPr>
        <w:t>Figura 5.3. Recomendaciones emitidas cada día con la información del día anterior y error frente a la referencia SiAR.</w:t>
      </w:r>
    </w:p>
    <w:p>
      <w:pPr>
        <w:spacing w:after="120"/>
      </w:pPr>
      <w:r>
        <w:t>El sesgo del sistema es ligeramente positivo, de 0,04 a 0,05 mm al día. Tiende por tanto a recomendar algo más de agua que la referencia, sobre todo en septiembre, cuando la ET0 desciende de forma sostenida y la media de los siete días anteriores queda siempre por encima del valor del día. En una herramienta de apoyo al riego un sesgo pequeño y positivo es preferible a uno negativo, porque el déficit hídrico tiene consecuencias más difíciles de revertir que un ligero exceso. Aun así, a lo largo de la campaña ese sesgo se traduce en 535,2 mm recomendados frente a 528,7 mm de referencia en los mismos días, un 1,2 % más, y esta cifra debe tenerse presente si el sistema se utiliza para planificar volúmenes.</w:t>
      </w:r>
    </w:p>
    <w:p>
      <w:pPr>
        <w:spacing w:after="120"/>
      </w:pPr>
      <w:r>
        <w:t>Los valores absolutos del MAE no deben compararse sin más entre periodos, porque la necesidad de septiembre es cinco veces menor que la de agosto. En términos relativos, el error acumulado equivale al 10,3 % de la necesidad de referencia en desarrollo y al 8,0 % en la prueba, una diferencia mucho menor de lo que sugieren los 0,417 y 0,090 mm de la Tabla 5.4. El MAE se ha mantenido como métrica principal por su interpretación directa en milímetros y su menor sensibilidad a valores extremos (Willmott &amp; Matsuura, 2005), y se acompaña del RMSE precisamente para no ocultar los errores grandes.</w:t>
      </w:r>
    </w:p>
    <w:p>
      <w:pPr>
        <w:pStyle w:val="Heading3"/>
        <w:keepNext/>
      </w:pPr>
      <w:r>
        <w:rPr>
          <w:rFonts w:ascii="Times New Roman" w:hAnsi="Times New Roman"/>
          <w:color w:val="000000"/>
          <w:sz w:val="24"/>
        </w:rPr>
        <w:t>5.3.4. Error según el horizonte de planificación</w:t>
      </w:r>
    </w:p>
    <w:p>
      <w:pPr>
        <w:spacing w:after="120"/>
      </w:pPr>
      <w:r>
        <w:t>Cuando el usuario planifica varios días, el sistema no recibe observaciones nuevas y el error crece con la anticipación. La Figura 5.4 y la Tabla 5.5 comparan la vía del sistema con una persistencia extendida, que repite la última necesidad conocida durante todo el horizonte y es el punto de partida habitual en predicción de series temporales (Hyndman &amp; Athanasopoulos, 2021).</w:t>
      </w:r>
    </w:p>
    <w:p>
      <w:pPr>
        <w:keepNext/>
        <w:jc w:val="center"/>
      </w:pPr>
      <w:r>
        <w:drawing>
          <wp:inline xmlns:wp="http://schemas.openxmlformats.org/drawingml/2006/wordprocessingDrawing" xmlns:a="http://schemas.openxmlformats.org/drawingml/2006/main" xmlns:pic="http://schemas.openxmlformats.org/drawingml/2006/picture">
            <wp:extent cx="5577840" cy="1981650"/>
            <wp:docPr id="28" name="Picture 28"/>
            <wp:cNvGraphicFramePr>
              <a:graphicFrameLocks noChangeAspect="1"/>
            </wp:cNvGraphicFramePr>
            <a:graphic>
              <a:graphicData uri="http://schemas.openxmlformats.org/drawingml/2006/picture">
                <pic:pic>
                  <pic:nvPicPr>
                    <pic:cNvPr id="0" name="image.png"/>
                    <pic:cNvPicPr/>
                  </pic:nvPicPr>
                  <pic:blipFill>
                    <a:blip ns1:embed="rId21"/>
                    <a:stretch>
                      <a:fillRect/>
                    </a:stretch>
                  </pic:blipFill>
                  <pic:spPr>
                    <a:xfrm>
                      <a:off x="0" y="0"/>
                      <a:ext cx="5577840" cy="1981650"/>
                    </a:xfrm>
                    <a:prstGeom prst="rect"/>
                  </pic:spPr>
                </pic:pic>
              </a:graphicData>
            </a:graphic>
          </wp:inline>
        </w:drawing>
      </w:r>
    </w:p>
    <w:p>
      <w:pPr>
        <w:keepLines/>
        <w:jc w:val="center"/>
      </w:pPr>
      <w:r>
        <w:rPr>
          <w:i/>
          <w:sz w:val="20"/>
        </w:rPr>
        <w:t>Figura 5.4. MAE diario según el día del horizonte en los periodos de desarrollo y prueba.</w:t>
      </w:r>
    </w:p>
    <w:p>
      <w:pPr>
        <w:keepNext/>
        <w:spacing w:after="120"/>
      </w:pPr>
      <w:r>
        <w:rPr>
          <w:b/>
        </w:rPr>
        <w:t>Tabla 5.5. MAE diario según el día del horizonte (mm/día).</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5"/>
        <w:gridCol w:w="1805"/>
        <w:gridCol w:w="1805"/>
        <w:gridCol w:w="1805"/>
        <w:gridCol w:w="1805"/>
      </w:tblGrid>
      <w:tr>
        <w:trPr>
          <w:tblHeader w:val="true"/>
          <w:cantSplit/>
        </w:trPr>
        <w:tc>
          <w:tcPr>
            <w:tcW w:type="dxa" w:w="1805"/>
            <w:vAlign w:val="center"/>
            <w:tcMar>
              <w:top w:w="90" w:type="dxa"/>
              <w:start w:w="100" w:type="dxa"/>
              <w:bottom w:w="90" w:type="dxa"/>
              <w:end w:w="100" w:type="dxa"/>
            </w:tcMar>
            <w:shd w:fill="1F4E78"/>
          </w:tcPr>
          <w:p>
            <w:pPr>
              <w:jc w:val="left"/>
            </w:pPr>
            <w:r>
              <w:rPr>
                <w:rFonts w:ascii="Times New Roman" w:hAnsi="Times New Roman"/>
                <w:color w:val="FFFFFF"/>
                <w:sz w:val="16"/>
                <w:b/>
              </w:rPr>
              <w:t>Día del horizonte</w:t>
            </w:r>
          </w:p>
        </w:tc>
        <w:tc>
          <w:tcPr>
            <w:tcW w:type="dxa" w:w="1805"/>
            <w:vAlign w:val="center"/>
            <w:tcMar>
              <w:top w:w="90" w:type="dxa"/>
              <w:start w:w="100" w:type="dxa"/>
              <w:bottom w:w="90" w:type="dxa"/>
              <w:end w:w="100" w:type="dxa"/>
            </w:tcMar>
            <w:shd w:fill="1F4E78"/>
          </w:tcPr>
          <w:p>
            <w:pPr>
              <w:jc w:val="center"/>
            </w:pPr>
            <w:r>
              <w:rPr>
                <w:rFonts w:ascii="Times New Roman" w:hAnsi="Times New Roman"/>
                <w:color w:val="FFFFFF"/>
                <w:sz w:val="16"/>
                <w:b/>
              </w:rPr>
              <w:t>Persistencia, desarrollo</w:t>
            </w:r>
          </w:p>
        </w:tc>
        <w:tc>
          <w:tcPr>
            <w:tcW w:type="dxa" w:w="1805"/>
            <w:vAlign w:val="center"/>
            <w:tcMar>
              <w:top w:w="90" w:type="dxa"/>
              <w:start w:w="100" w:type="dxa"/>
              <w:bottom w:w="90" w:type="dxa"/>
              <w:end w:w="100" w:type="dxa"/>
            </w:tcMar>
            <w:shd w:fill="1F4E78"/>
          </w:tcPr>
          <w:p>
            <w:pPr>
              <w:jc w:val="center"/>
            </w:pPr>
            <w:r>
              <w:rPr>
                <w:rFonts w:ascii="Times New Roman" w:hAnsi="Times New Roman"/>
                <w:color w:val="FFFFFF"/>
                <w:sz w:val="16"/>
                <w:b/>
              </w:rPr>
              <w:t>DSS, desarrollo</w:t>
            </w:r>
          </w:p>
        </w:tc>
        <w:tc>
          <w:tcPr>
            <w:tcW w:type="dxa" w:w="1805"/>
            <w:vAlign w:val="center"/>
            <w:tcMar>
              <w:top w:w="90" w:type="dxa"/>
              <w:start w:w="100" w:type="dxa"/>
              <w:bottom w:w="90" w:type="dxa"/>
              <w:end w:w="100" w:type="dxa"/>
            </w:tcMar>
            <w:shd w:fill="1F4E78"/>
          </w:tcPr>
          <w:p>
            <w:pPr>
              <w:jc w:val="center"/>
            </w:pPr>
            <w:r>
              <w:rPr>
                <w:rFonts w:ascii="Times New Roman" w:hAnsi="Times New Roman"/>
                <w:color w:val="FFFFFF"/>
                <w:sz w:val="16"/>
                <w:b/>
              </w:rPr>
              <w:t>Persistencia, prueba</w:t>
            </w:r>
          </w:p>
        </w:tc>
        <w:tc>
          <w:tcPr>
            <w:tcW w:type="dxa" w:w="1805"/>
            <w:vAlign w:val="center"/>
            <w:tcMar>
              <w:top w:w="90" w:type="dxa"/>
              <w:start w:w="100" w:type="dxa"/>
              <w:bottom w:w="90" w:type="dxa"/>
              <w:end w:w="100" w:type="dxa"/>
            </w:tcMar>
            <w:shd w:fill="1F4E78"/>
          </w:tcPr>
          <w:p>
            <w:pPr>
              <w:jc w:val="center"/>
            </w:pPr>
            <w:r>
              <w:rPr>
                <w:rFonts w:ascii="Times New Roman" w:hAnsi="Times New Roman"/>
                <w:color w:val="FFFFFF"/>
                <w:sz w:val="16"/>
                <w:b/>
              </w:rPr>
              <w:t>DSS, prueba</w:t>
            </w:r>
          </w:p>
        </w:tc>
      </w:tr>
      <w:tr>
        <w:trPr>
          <w:cantSplit/>
        </w:trPr>
        <w:tc>
          <w:tcPr>
            <w:tcW w:type="dxa" w:w="1805"/>
            <w:vAlign w:val="center"/>
            <w:tcMar>
              <w:top w:w="90" w:type="dxa"/>
              <w:start w:w="100" w:type="dxa"/>
              <w:bottom w:w="90" w:type="dxa"/>
              <w:end w:w="100" w:type="dxa"/>
            </w:tcMar>
          </w:tcPr>
          <w:p>
            <w:pPr>
              <w:jc w:val="left"/>
            </w:pPr>
            <w:r>
              <w:rPr>
                <w:rFonts w:ascii="Times New Roman" w:hAnsi="Times New Roman"/>
                <w:color w:val="000000"/>
                <w:sz w:val="16"/>
              </w:rPr>
              <w:t>1</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0,467</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0,435</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0,120</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0,090</w:t>
            </w:r>
          </w:p>
        </w:tc>
      </w:tr>
      <w:tr>
        <w:trPr>
          <w:cantSplit/>
        </w:trPr>
        <w:tc>
          <w:tcPr>
            <w:tcW w:type="dxa" w:w="1805"/>
            <w:vAlign w:val="center"/>
            <w:tcMar>
              <w:top w:w="90" w:type="dxa"/>
              <w:start w:w="100" w:type="dxa"/>
              <w:bottom w:w="90" w:type="dxa"/>
              <w:end w:w="100" w:type="dxa"/>
            </w:tcMar>
            <w:shd w:fill="EAF2F8"/>
          </w:tcPr>
          <w:p>
            <w:pPr>
              <w:jc w:val="left"/>
            </w:pPr>
            <w:r>
              <w:rPr>
                <w:rFonts w:ascii="Times New Roman" w:hAnsi="Times New Roman"/>
                <w:color w:val="000000"/>
                <w:sz w:val="16"/>
              </w:rPr>
              <w:t>2</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0,613</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0,469</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0,115</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0,092</w:t>
            </w:r>
          </w:p>
        </w:tc>
      </w:tr>
      <w:tr>
        <w:trPr>
          <w:cantSplit/>
        </w:trPr>
        <w:tc>
          <w:tcPr>
            <w:tcW w:type="dxa" w:w="1805"/>
            <w:vAlign w:val="center"/>
            <w:tcMar>
              <w:top w:w="90" w:type="dxa"/>
              <w:start w:w="100" w:type="dxa"/>
              <w:bottom w:w="90" w:type="dxa"/>
              <w:end w:w="100" w:type="dxa"/>
            </w:tcMar>
          </w:tcPr>
          <w:p>
            <w:pPr>
              <w:jc w:val="left"/>
            </w:pPr>
            <w:r>
              <w:rPr>
                <w:rFonts w:ascii="Times New Roman" w:hAnsi="Times New Roman"/>
                <w:color w:val="000000"/>
                <w:sz w:val="16"/>
              </w:rPr>
              <w:t>3</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0,652</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0,476</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0,130</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0,084</w:t>
            </w:r>
          </w:p>
        </w:tc>
      </w:tr>
      <w:tr>
        <w:trPr>
          <w:cantSplit/>
        </w:trPr>
        <w:tc>
          <w:tcPr>
            <w:tcW w:type="dxa" w:w="1805"/>
            <w:vAlign w:val="center"/>
            <w:tcMar>
              <w:top w:w="90" w:type="dxa"/>
              <w:start w:w="100" w:type="dxa"/>
              <w:bottom w:w="90" w:type="dxa"/>
              <w:end w:w="100" w:type="dxa"/>
            </w:tcMar>
            <w:shd w:fill="EAF2F8"/>
          </w:tcPr>
          <w:p>
            <w:pPr>
              <w:jc w:val="left"/>
            </w:pPr>
            <w:r>
              <w:rPr>
                <w:rFonts w:ascii="Times New Roman" w:hAnsi="Times New Roman"/>
                <w:color w:val="000000"/>
                <w:sz w:val="16"/>
              </w:rPr>
              <w:t>4</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0,702</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0,477</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0,122</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0,092</w:t>
            </w:r>
          </w:p>
        </w:tc>
      </w:tr>
      <w:tr>
        <w:trPr>
          <w:cantSplit/>
        </w:trPr>
        <w:tc>
          <w:tcPr>
            <w:tcW w:type="dxa" w:w="1805"/>
            <w:vAlign w:val="center"/>
            <w:tcMar>
              <w:top w:w="90" w:type="dxa"/>
              <w:start w:w="100" w:type="dxa"/>
              <w:bottom w:w="90" w:type="dxa"/>
              <w:end w:w="100" w:type="dxa"/>
            </w:tcMar>
          </w:tcPr>
          <w:p>
            <w:pPr>
              <w:jc w:val="left"/>
            </w:pPr>
            <w:r>
              <w:rPr>
                <w:rFonts w:ascii="Times New Roman" w:hAnsi="Times New Roman"/>
                <w:color w:val="000000"/>
                <w:sz w:val="16"/>
              </w:rPr>
              <w:t>5</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0,754</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0,481</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0,132</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0,101</w:t>
            </w:r>
          </w:p>
        </w:tc>
      </w:tr>
      <w:tr>
        <w:trPr>
          <w:cantSplit/>
        </w:trPr>
        <w:tc>
          <w:tcPr>
            <w:tcW w:type="dxa" w:w="1805"/>
            <w:vAlign w:val="center"/>
            <w:tcMar>
              <w:top w:w="90" w:type="dxa"/>
              <w:start w:w="100" w:type="dxa"/>
              <w:bottom w:w="90" w:type="dxa"/>
              <w:end w:w="100" w:type="dxa"/>
            </w:tcMar>
            <w:shd w:fill="EAF2F8"/>
          </w:tcPr>
          <w:p>
            <w:pPr>
              <w:jc w:val="left"/>
            </w:pPr>
            <w:r>
              <w:rPr>
                <w:rFonts w:ascii="Times New Roman" w:hAnsi="Times New Roman"/>
                <w:color w:val="000000"/>
                <w:sz w:val="16"/>
              </w:rPr>
              <w:t>6</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0,813</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0,482</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0,141</w:t>
            </w:r>
          </w:p>
        </w:tc>
        <w:tc>
          <w:tcPr>
            <w:tcW w:type="dxa" w:w="1805"/>
            <w:vAlign w:val="center"/>
            <w:tcMar>
              <w:top w:w="90" w:type="dxa"/>
              <w:start w:w="100" w:type="dxa"/>
              <w:bottom w:w="90" w:type="dxa"/>
              <w:end w:w="100" w:type="dxa"/>
            </w:tcMar>
            <w:shd w:fill="EAF2F8"/>
          </w:tcPr>
          <w:p>
            <w:pPr>
              <w:jc w:val="center"/>
            </w:pPr>
            <w:r>
              <w:rPr>
                <w:rFonts w:ascii="Times New Roman" w:hAnsi="Times New Roman"/>
                <w:color w:val="000000"/>
                <w:sz w:val="16"/>
              </w:rPr>
              <w:t>0,122</w:t>
            </w:r>
          </w:p>
        </w:tc>
      </w:tr>
      <w:tr>
        <w:trPr>
          <w:cantSplit/>
        </w:trPr>
        <w:tc>
          <w:tcPr>
            <w:tcW w:type="dxa" w:w="1805"/>
            <w:vAlign w:val="center"/>
            <w:tcMar>
              <w:top w:w="90" w:type="dxa"/>
              <w:start w:w="100" w:type="dxa"/>
              <w:bottom w:w="90" w:type="dxa"/>
              <w:end w:w="100" w:type="dxa"/>
            </w:tcMar>
          </w:tcPr>
          <w:p>
            <w:pPr>
              <w:jc w:val="left"/>
            </w:pPr>
            <w:r>
              <w:rPr>
                <w:rFonts w:ascii="Times New Roman" w:hAnsi="Times New Roman"/>
                <w:color w:val="000000"/>
                <w:sz w:val="16"/>
              </w:rPr>
              <w:t>7</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0,871</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0,477</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0,126</w:t>
            </w:r>
          </w:p>
        </w:tc>
        <w:tc>
          <w:tcPr>
            <w:tcW w:type="dxa" w:w="1805"/>
            <w:vAlign w:val="center"/>
            <w:tcMar>
              <w:top w:w="90" w:type="dxa"/>
              <w:start w:w="100" w:type="dxa"/>
              <w:bottom w:w="90" w:type="dxa"/>
              <w:end w:w="100" w:type="dxa"/>
            </w:tcMar>
          </w:tcPr>
          <w:p>
            <w:pPr>
              <w:jc w:val="center"/>
            </w:pPr>
            <w:r>
              <w:rPr>
                <w:rFonts w:ascii="Times New Roman" w:hAnsi="Times New Roman"/>
                <w:color w:val="000000"/>
                <w:sz w:val="16"/>
              </w:rPr>
              <w:t>0,134</w:t>
            </w:r>
          </w:p>
        </w:tc>
      </w:tr>
    </w:tbl>
    <w:p>
      <w:pPr>
        <w:spacing w:after="40"/>
      </w:pPr>
    </w:p>
    <w:p>
      <w:pPr>
        <w:spacing w:after="120"/>
      </w:pPr>
      <w:r>
        <w:t>En el periodo de desarrollo el error de la persistencia casi se duplica entre el primer y el séptimo día, mientras que el del sistema se mantiene entre 0,44 y 0,48 mm. Al separar los casos se aprecian dos causas. Cuando el horizonte cruza un cambio de fase, lo que ocurre en el 4 % de las emisiones a un día y en el 25 % a siete días, la persistencia comete un error medio de unos 1,6 mm y el sistema de 0,33 a 0,43 mm. Cuando no lo cruza, la persistencia pasa de 0,42 a 0,63 mm entre el primer y el séptimo día y el sistema de 0,44 a 0,51 mm, porque la media de siete días filtra las oscilaciones de un día concreto y representa mejor el nivel de demanda de los días siguientes. En ese último subconjunto la persistencia es ligeramente mejor a un día, con 0,42 frente a 0,44 mm, de modo que la ventaja del sistema en el primer día procede sobre todo de los cambios de fase. En la prueba el comportamiento es distinto. Septiembre tiene un Kc constante y una ET0 en descenso continuo, de modo que ninguna de las dos vías dispone de información sobre esa tendencia. El sistema mantiene la ventaja hasta el quinto día, la reduce en el sexto y pierde frente a la persistencia en el séptimo, con 0,134 frente a 0,126 mm.</w:t>
      </w:r>
    </w:p>
    <w:p>
      <w:pPr>
        <w:spacing w:after="120"/>
      </w:pPr>
      <w:r>
        <w:t>Estos resultados justifican tres decisiones del diseño. La primera es ofrecer horizontes de hasta siete días, puesto que el error se mantiene acotado y nunca empeora de manera brusca. La segunda es asignar confianza baja a partir del cuarto día, porque es a partir de ahí cuando el comportamiento empieza a depender de la evolución del tiempo. La tercera es mostrar en cada día el error esperado de la tabla anterior mediante la regla R9, en lugar de presentar una semana entera con la misma apariencia de certeza. Una mejora real en los horizontes largos requiere una ET0 prevista, cuya vía ya está preparada en el motor.</w:t>
      </w:r>
    </w:p>
    <w:p>
      <w:pPr>
        <w:pStyle w:val="Heading3"/>
        <w:keepNext/>
      </w:pPr>
      <w:r>
        <w:rPr>
          <w:rFonts w:ascii="Times New Roman" w:hAnsi="Times New Roman"/>
          <w:color w:val="000000"/>
          <w:sz w:val="24"/>
        </w:rPr>
        <w:t>5.3.5. Coherencia semanal</w:t>
      </w:r>
    </w:p>
    <w:p>
      <w:pPr>
        <w:spacing w:after="120"/>
      </w:pPr>
      <w:r>
        <w:t>Muchas decisiones de riego, como los turnos de una comunidad o la solicitud de agua, se toman a escala semanal. Se agregaron por ello las recomendaciones diarias en semanas naturales de lunes a domingo y se compararon con la referencia. Se consideraron solo las diecinueve semanas completas; las dos semanas de julio afectadas por fechas sin datos se excluyeron para no comparar totales con un número distinto de días.</w:t>
      </w:r>
    </w:p>
    <w:p>
      <w:pPr>
        <w:keepNext/>
        <w:jc w:val="center"/>
      </w:pPr>
      <w:r>
        <w:drawing>
          <wp:inline xmlns:wp="http://schemas.openxmlformats.org/drawingml/2006/wordprocessingDrawing" xmlns:a="http://schemas.openxmlformats.org/drawingml/2006/main" xmlns:pic="http://schemas.openxmlformats.org/drawingml/2006/picture">
            <wp:extent cx="5577840" cy="1981650"/>
            <wp:docPr id="29" name="Picture 29"/>
            <wp:cNvGraphicFramePr>
              <a:graphicFrameLocks noChangeAspect="1"/>
            </wp:cNvGraphicFramePr>
            <a:graphic>
              <a:graphicData uri="http://schemas.openxmlformats.org/drawingml/2006/picture">
                <pic:pic>
                  <pic:nvPicPr>
                    <pic:cNvPr id="0" name="image.png"/>
                    <pic:cNvPicPr/>
                  </pic:nvPicPr>
                  <pic:blipFill>
                    <a:blip ns1:embed="rId22"/>
                    <a:stretch>
                      <a:fillRect/>
                    </a:stretch>
                  </pic:blipFill>
                  <pic:spPr>
                    <a:xfrm>
                      <a:off x="0" y="0"/>
                      <a:ext cx="5577840" cy="1981650"/>
                    </a:xfrm>
                    <a:prstGeom prst="rect"/>
                  </pic:spPr>
                </pic:pic>
              </a:graphicData>
            </a:graphic>
          </wp:inline>
        </w:drawing>
      </w:r>
    </w:p>
    <w:p>
      <w:pPr>
        <w:keepLines/>
        <w:jc w:val="center"/>
      </w:pPr>
      <w:r>
        <w:rPr>
          <w:i/>
          <w:sz w:val="20"/>
        </w:rPr>
        <w:t>Figura 5.5. Necesidad neta semanal planificada por el DSS frente a la referencia SiAR y dosis bruta para riego por goteo.</w:t>
      </w:r>
    </w:p>
    <w:p>
      <w:pPr>
        <w:spacing w:after="120"/>
      </w:pPr>
      <w:r>
        <w:t>El error absoluto medio semanal es de 1,21 mm, con un máximo de 4,10 mm, lo que equivale a un 4,8 % de la necesidad total de esas semanas. Las mayores diferencias aparecen en las semanas que comienzan el 7 de julio y el 4 y el 18 de agosto, con 2,32, 4,10 y 2,73 mm, cuando la necesidad semanal se sitúa entre 33 y 40 mm y la ET0 cambia de forma apreciable de una semana a otra. La Figura 5.5 permite comprobar también que la dosis bruta mantiene siempre la proporción fijada por la eficiencia y que la caída de septiembre se refleja desde la primera semana del mes.</w:t>
      </w:r>
    </w:p>
    <w:p>
      <w:pPr>
        <w:spacing w:after="120"/>
      </w:pPr>
      <w:r>
        <w:t>Además de la exactitud, se verificó la coherencia interna. En todas las consultas comprobadas la suma de las dosis diarias coincide con el total del resumen y el volumen coincide con diez metros cúbicos por milímetro y hectárea. A lo largo de la campaña no se generó ninguna dosis negativa.</w:t>
      </w:r>
    </w:p>
    <w:p>
      <w:pPr>
        <w:pStyle w:val="Heading3"/>
        <w:keepNext/>
      </w:pPr>
      <w:r>
        <w:rPr>
          <w:rFonts w:ascii="Times New Roman" w:hAnsi="Times New Roman"/>
          <w:color w:val="000000"/>
          <w:sz w:val="24"/>
        </w:rPr>
        <w:t>5.3.6. Sensibilidad a la eficiencia del riego</w:t>
      </w:r>
    </w:p>
    <w:p>
      <w:pPr>
        <w:spacing w:after="120"/>
      </w:pPr>
      <w:r>
        <w:t>La eficiencia es el parámetro que más modifica la cantidad de agua propuesta, y es también el más difícil de conocer con precisión. Aplicada sobre la necesidad neta de toda la campaña, la diferencia entre sistemas resulta considerable.</w:t>
      </w:r>
    </w:p>
    <w:p>
      <w:pPr>
        <w:keepNext/>
        <w:spacing w:after="120"/>
      </w:pPr>
      <w:r>
        <w:rPr>
          <w:b/>
        </w:rPr>
        <w:t>Tabla 5.6. Dosis bruta de la campaña según el sistema de riego.</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57"/>
        <w:gridCol w:w="2256"/>
        <w:gridCol w:w="2256"/>
        <w:gridCol w:w="2256"/>
      </w:tblGrid>
      <w:tr>
        <w:trPr>
          <w:tblHeader w:val="true"/>
          <w:cantSplit/>
        </w:trPr>
        <w:tc>
          <w:tcPr>
            <w:tcW w:type="dxa" w:w="2257"/>
            <w:vAlign w:val="center"/>
            <w:tcMar>
              <w:top w:w="90" w:type="dxa"/>
              <w:start w:w="100" w:type="dxa"/>
              <w:bottom w:w="90" w:type="dxa"/>
              <w:end w:w="100" w:type="dxa"/>
            </w:tcMar>
            <w:shd w:fill="1F4E78"/>
          </w:tcPr>
          <w:p>
            <w:pPr>
              <w:jc w:val="left"/>
            </w:pPr>
            <w:r>
              <w:rPr>
                <w:rFonts w:ascii="Times New Roman" w:hAnsi="Times New Roman"/>
                <w:color w:val="FFFFFF"/>
                <w:sz w:val="16"/>
                <w:b/>
              </w:rPr>
              <w:t>Sistema</w:t>
            </w:r>
          </w:p>
        </w:tc>
        <w:tc>
          <w:tcPr>
            <w:tcW w:type="dxa" w:w="2256"/>
            <w:vAlign w:val="center"/>
            <w:tcMar>
              <w:top w:w="90" w:type="dxa"/>
              <w:start w:w="100" w:type="dxa"/>
              <w:bottom w:w="90" w:type="dxa"/>
              <w:end w:w="100" w:type="dxa"/>
            </w:tcMar>
            <w:shd w:fill="1F4E78"/>
          </w:tcPr>
          <w:p>
            <w:pPr>
              <w:jc w:val="center"/>
            </w:pPr>
            <w:r>
              <w:rPr>
                <w:rFonts w:ascii="Times New Roman" w:hAnsi="Times New Roman"/>
                <w:color w:val="FFFFFF"/>
                <w:sz w:val="16"/>
                <w:b/>
              </w:rPr>
              <w:t>Eficiencia</w:t>
            </w:r>
          </w:p>
        </w:tc>
        <w:tc>
          <w:tcPr>
            <w:tcW w:type="dxa" w:w="2256"/>
            <w:vAlign w:val="center"/>
            <w:tcMar>
              <w:top w:w="90" w:type="dxa"/>
              <w:start w:w="100" w:type="dxa"/>
              <w:bottom w:w="90" w:type="dxa"/>
              <w:end w:w="100" w:type="dxa"/>
            </w:tcMar>
            <w:shd w:fill="1F4E78"/>
          </w:tcPr>
          <w:p>
            <w:pPr>
              <w:jc w:val="center"/>
            </w:pPr>
            <w:r>
              <w:rPr>
                <w:rFonts w:ascii="Times New Roman" w:hAnsi="Times New Roman"/>
                <w:color w:val="FFFFFF"/>
                <w:sz w:val="16"/>
                <w:b/>
              </w:rPr>
              <w:t>Dosis bruta (mm)</w:t>
            </w:r>
          </w:p>
        </w:tc>
        <w:tc>
          <w:tcPr>
            <w:tcW w:type="dxa" w:w="2256"/>
            <w:vAlign w:val="center"/>
            <w:tcMar>
              <w:top w:w="90" w:type="dxa"/>
              <w:start w:w="100" w:type="dxa"/>
              <w:bottom w:w="90" w:type="dxa"/>
              <w:end w:w="100" w:type="dxa"/>
            </w:tcMar>
            <w:shd w:fill="1F4E78"/>
          </w:tcPr>
          <w:p>
            <w:pPr>
              <w:jc w:val="center"/>
            </w:pPr>
            <w:r>
              <w:rPr>
                <w:rFonts w:ascii="Times New Roman" w:hAnsi="Times New Roman"/>
                <w:color w:val="FFFFFF"/>
                <w:sz w:val="16"/>
                <w:b/>
              </w:rPr>
              <w:t>Volumen (m3/ha)</w:t>
            </w:r>
          </w:p>
        </w:tc>
      </w:tr>
      <w:tr>
        <w:trPr>
          <w:cantSplit/>
        </w:trPr>
        <w:tc>
          <w:tcPr>
            <w:tcW w:type="dxa" w:w="2257"/>
            <w:vAlign w:val="center"/>
            <w:tcMar>
              <w:top w:w="90" w:type="dxa"/>
              <w:start w:w="100" w:type="dxa"/>
              <w:bottom w:w="90" w:type="dxa"/>
              <w:end w:w="100" w:type="dxa"/>
            </w:tcMar>
          </w:tcPr>
          <w:p>
            <w:pPr>
              <w:jc w:val="left"/>
            </w:pPr>
            <w:r>
              <w:rPr>
                <w:rFonts w:ascii="Times New Roman" w:hAnsi="Times New Roman"/>
                <w:color w:val="000000"/>
                <w:sz w:val="16"/>
              </w:rPr>
              <w:t>Goteo</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0,90</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590,1</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5.901</w:t>
            </w:r>
          </w:p>
        </w:tc>
      </w:tr>
      <w:tr>
        <w:trPr>
          <w:cantSplit/>
        </w:trPr>
        <w:tc>
          <w:tcPr>
            <w:tcW w:type="dxa" w:w="2257"/>
            <w:vAlign w:val="center"/>
            <w:tcMar>
              <w:top w:w="90" w:type="dxa"/>
              <w:start w:w="100" w:type="dxa"/>
              <w:bottom w:w="90" w:type="dxa"/>
              <w:end w:w="100" w:type="dxa"/>
            </w:tcMar>
            <w:shd w:fill="EAF2F8"/>
          </w:tcPr>
          <w:p>
            <w:pPr>
              <w:jc w:val="left"/>
            </w:pPr>
            <w:r>
              <w:rPr>
                <w:rFonts w:ascii="Times New Roman" w:hAnsi="Times New Roman"/>
                <w:color w:val="000000"/>
                <w:sz w:val="16"/>
              </w:rPr>
              <w:t>Aspersión</w:t>
            </w:r>
          </w:p>
        </w:tc>
        <w:tc>
          <w:tcPr>
            <w:tcW w:type="dxa" w:w="2256"/>
            <w:vAlign w:val="center"/>
            <w:tcMar>
              <w:top w:w="90" w:type="dxa"/>
              <w:start w:w="100" w:type="dxa"/>
              <w:bottom w:w="90" w:type="dxa"/>
              <w:end w:w="100" w:type="dxa"/>
            </w:tcMar>
            <w:shd w:fill="EAF2F8"/>
          </w:tcPr>
          <w:p>
            <w:pPr>
              <w:jc w:val="center"/>
            </w:pPr>
            <w:r>
              <w:rPr>
                <w:rFonts w:ascii="Times New Roman" w:hAnsi="Times New Roman"/>
                <w:color w:val="000000"/>
                <w:sz w:val="16"/>
              </w:rPr>
              <w:t>0,75</w:t>
            </w:r>
          </w:p>
        </w:tc>
        <w:tc>
          <w:tcPr>
            <w:tcW w:type="dxa" w:w="2256"/>
            <w:vAlign w:val="center"/>
            <w:tcMar>
              <w:top w:w="90" w:type="dxa"/>
              <w:start w:w="100" w:type="dxa"/>
              <w:bottom w:w="90" w:type="dxa"/>
              <w:end w:w="100" w:type="dxa"/>
            </w:tcMar>
            <w:shd w:fill="EAF2F8"/>
          </w:tcPr>
          <w:p>
            <w:pPr>
              <w:jc w:val="center"/>
            </w:pPr>
            <w:r>
              <w:rPr>
                <w:rFonts w:ascii="Times New Roman" w:hAnsi="Times New Roman"/>
                <w:color w:val="000000"/>
                <w:sz w:val="16"/>
              </w:rPr>
              <w:t>708,1</w:t>
            </w:r>
          </w:p>
        </w:tc>
        <w:tc>
          <w:tcPr>
            <w:tcW w:type="dxa" w:w="2256"/>
            <w:vAlign w:val="center"/>
            <w:tcMar>
              <w:top w:w="90" w:type="dxa"/>
              <w:start w:w="100" w:type="dxa"/>
              <w:bottom w:w="90" w:type="dxa"/>
              <w:end w:w="100" w:type="dxa"/>
            </w:tcMar>
            <w:shd w:fill="EAF2F8"/>
          </w:tcPr>
          <w:p>
            <w:pPr>
              <w:jc w:val="center"/>
            </w:pPr>
            <w:r>
              <w:rPr>
                <w:rFonts w:ascii="Times New Roman" w:hAnsi="Times New Roman"/>
                <w:color w:val="000000"/>
                <w:sz w:val="16"/>
              </w:rPr>
              <w:t>7.081</w:t>
            </w:r>
          </w:p>
        </w:tc>
      </w:tr>
      <w:tr>
        <w:trPr>
          <w:cantSplit/>
        </w:trPr>
        <w:tc>
          <w:tcPr>
            <w:tcW w:type="dxa" w:w="2257"/>
            <w:vAlign w:val="center"/>
            <w:tcMar>
              <w:top w:w="90" w:type="dxa"/>
              <w:start w:w="100" w:type="dxa"/>
              <w:bottom w:w="90" w:type="dxa"/>
              <w:end w:w="100" w:type="dxa"/>
            </w:tcMar>
          </w:tcPr>
          <w:p>
            <w:pPr>
              <w:jc w:val="left"/>
            </w:pPr>
            <w:r>
              <w:rPr>
                <w:rFonts w:ascii="Times New Roman" w:hAnsi="Times New Roman"/>
                <w:color w:val="000000"/>
                <w:sz w:val="16"/>
              </w:rPr>
              <w:t>Superficie</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0,60</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885,1</w:t>
            </w:r>
          </w:p>
        </w:tc>
        <w:tc>
          <w:tcPr>
            <w:tcW w:type="dxa" w:w="2256"/>
            <w:vAlign w:val="center"/>
            <w:tcMar>
              <w:top w:w="90" w:type="dxa"/>
              <w:start w:w="100" w:type="dxa"/>
              <w:bottom w:w="90" w:type="dxa"/>
              <w:end w:w="100" w:type="dxa"/>
            </w:tcMar>
          </w:tcPr>
          <w:p>
            <w:pPr>
              <w:jc w:val="center"/>
            </w:pPr>
            <w:r>
              <w:rPr>
                <w:rFonts w:ascii="Times New Roman" w:hAnsi="Times New Roman"/>
                <w:color w:val="000000"/>
                <w:sz w:val="16"/>
              </w:rPr>
              <w:t>8.851</w:t>
            </w:r>
          </w:p>
        </w:tc>
      </w:tr>
    </w:tbl>
    <w:p>
      <w:pPr>
        <w:spacing w:after="40"/>
      </w:pPr>
    </w:p>
    <w:p>
      <w:pPr>
        <w:spacing w:after="120"/>
      </w:pPr>
      <w:r>
        <w:t>Con la misma necesidad del cultivo, pasar del riego por goteo al de superficie supone aplicar un 50 % más de agua. Una desviación de diez puntos en la eficiencia introducida, por ejemplo usar 0,90 cuando la instalación real trabaja a 0,80, genera un error de alrededor del 12 % en la dosis bruta, bastante mayor que el error de estimación de la necesidad neta medido en los apartados anteriores. Esta comparación sitúa las prioridades de mejora: en una explotación real, medir la eficiencia y la uniformidad de la instalación aportaría más precisión que refinar el modelo de ET0 (Burt et al., 1997). También recuerda que una dosis menor no equivale a un ahorro neto de agua a escala de cuenca, porque parte de las pérdidas en parcela retorna al sistema hidrológico (Perry, 2007).</w:t>
      </w:r>
    </w:p>
    <w:p>
      <w:pPr>
        <w:pStyle w:val="Heading3"/>
        <w:keepNext/>
      </w:pPr>
      <w:r>
        <w:rPr>
          <w:rFonts w:ascii="Times New Roman" w:hAnsi="Times New Roman"/>
          <w:color w:val="000000"/>
          <w:sz w:val="24"/>
        </w:rPr>
        <w:t>5.3.7. Escenarios de robustez y trazabilidad</w:t>
      </w:r>
    </w:p>
    <w:p>
      <w:pPr>
        <w:spacing w:after="120"/>
      </w:pPr>
      <w:r>
        <w:t xml:space="preserve">El último bloque de la validación sometió al sistema a situaciones en las que una recomendación incorrecta podría causar daños o confusión. Se definieron trece escenarios con un comportamiento esperado fijado de antemano; los resultados se guardan en </w:t>
      </w:r>
      <w:r>
        <w:rPr>
          <w:rFonts w:ascii="Consolas" w:hAnsi="Consolas"/>
          <w:sz w:val="19"/>
        </w:rPr>
        <w:t>docs/data_samples/dss_scenarios_5_3.csv</w:t>
      </w:r>
      <w:r>
        <w:t xml:space="preserve"> y se resumen en la Tabla 5.7.</w:t>
      </w:r>
    </w:p>
    <w:p>
      <w:pPr>
        <w:keepNext/>
        <w:spacing w:after="120"/>
      </w:pPr>
      <w:r>
        <w:rPr>
          <w:b/>
        </w:rPr>
        <w:t>Tabla 5.7. Escenarios de validación del comportamiento del sistema.</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9"/>
        <w:gridCol w:w="3008"/>
        <w:gridCol w:w="3008"/>
      </w:tblGrid>
      <w:tr>
        <w:trPr>
          <w:tblHeader w:val="true"/>
          <w:cantSplit/>
        </w:trPr>
        <w:tc>
          <w:tcPr>
            <w:tcW w:type="dxa" w:w="3009"/>
            <w:vAlign w:val="center"/>
            <w:tcMar>
              <w:top w:w="90" w:type="dxa"/>
              <w:start w:w="100" w:type="dxa"/>
              <w:bottom w:w="90" w:type="dxa"/>
              <w:end w:w="100" w:type="dxa"/>
            </w:tcMar>
            <w:shd w:fill="1F4E78"/>
          </w:tcPr>
          <w:p>
            <w:pPr>
              <w:jc w:val="left"/>
            </w:pPr>
            <w:r>
              <w:rPr>
                <w:rFonts w:ascii="Times New Roman" w:hAnsi="Times New Roman"/>
                <w:color w:val="FFFFFF"/>
                <w:sz w:val="16"/>
                <w:b/>
              </w:rPr>
              <w:t>Escenario</w:t>
            </w:r>
          </w:p>
        </w:tc>
        <w:tc>
          <w:tcPr>
            <w:tcW w:type="dxa" w:w="3008"/>
            <w:vAlign w:val="center"/>
            <w:tcMar>
              <w:top w:w="90" w:type="dxa"/>
              <w:start w:w="100" w:type="dxa"/>
              <w:bottom w:w="90" w:type="dxa"/>
              <w:end w:w="100" w:type="dxa"/>
            </w:tcMar>
            <w:shd w:fill="1F4E78"/>
          </w:tcPr>
          <w:p>
            <w:pPr>
              <w:jc w:val="center"/>
            </w:pPr>
            <w:r>
              <w:rPr>
                <w:rFonts w:ascii="Times New Roman" w:hAnsi="Times New Roman"/>
                <w:color w:val="FFFFFF"/>
                <w:sz w:val="16"/>
                <w:b/>
              </w:rPr>
              <w:t>Comportamiento esperado</w:t>
            </w:r>
          </w:p>
        </w:tc>
        <w:tc>
          <w:tcPr>
            <w:tcW w:type="dxa" w:w="3008"/>
            <w:vAlign w:val="center"/>
            <w:tcMar>
              <w:top w:w="90" w:type="dxa"/>
              <w:start w:w="100" w:type="dxa"/>
              <w:bottom w:w="90" w:type="dxa"/>
              <w:end w:w="100" w:type="dxa"/>
            </w:tcMar>
            <w:shd w:fill="1F4E78"/>
          </w:tcPr>
          <w:p>
            <w:pPr>
              <w:jc w:val="center"/>
            </w:pPr>
            <w:r>
              <w:rPr>
                <w:rFonts w:ascii="Times New Roman" w:hAnsi="Times New Roman"/>
                <w:color w:val="FFFFFF"/>
                <w:sz w:val="16"/>
                <w:b/>
              </w:rPr>
              <w:t>Resultado observado</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Lluvia observada superior a la ETc (23/05)</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Dosis nula, nunca negativa</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Necesidad de 0,00 mm por la regla R4</w:t>
            </w:r>
          </w:p>
        </w:tc>
      </w:tr>
      <w:tr>
        <w:trPr>
          <w:cantSplit/>
        </w:trPr>
        <w:tc>
          <w:tcPr>
            <w:tcW w:type="dxa" w:w="3009"/>
            <w:vAlign w:val="center"/>
            <w:tcMar>
              <w:top w:w="90" w:type="dxa"/>
              <w:start w:w="100" w:type="dxa"/>
              <w:bottom w:w="90" w:type="dxa"/>
              <w:end w:w="100" w:type="dxa"/>
            </w:tcMar>
            <w:shd w:fill="EAF2F8"/>
          </w:tcPr>
          <w:p>
            <w:pPr>
              <w:jc w:val="left"/>
            </w:pPr>
            <w:r>
              <w:rPr>
                <w:rFonts w:ascii="Times New Roman" w:hAnsi="Times New Roman"/>
                <w:color w:val="000000"/>
                <w:sz w:val="16"/>
              </w:rPr>
              <w:t>Lluvia prevista de 12 mm con probabilidad del 80 %</w:t>
            </w:r>
          </w:p>
        </w:tc>
        <w:tc>
          <w:tcPr>
            <w:tcW w:type="dxa" w:w="3008"/>
            <w:vAlign w:val="center"/>
            <w:tcMar>
              <w:top w:w="90" w:type="dxa"/>
              <w:start w:w="100" w:type="dxa"/>
              <w:bottom w:w="90" w:type="dxa"/>
              <w:end w:w="100" w:type="dxa"/>
            </w:tcMar>
            <w:shd w:fill="EAF2F8"/>
          </w:tcPr>
          <w:p>
            <w:pPr>
              <w:jc w:val="center"/>
            </w:pPr>
            <w:r>
              <w:rPr>
                <w:rFonts w:ascii="Times New Roman" w:hAnsi="Times New Roman"/>
                <w:color w:val="000000"/>
                <w:sz w:val="16"/>
              </w:rPr>
              <w:t>Aviso sin descuento automático</w:t>
            </w:r>
          </w:p>
        </w:tc>
        <w:tc>
          <w:tcPr>
            <w:tcW w:type="dxa" w:w="3008"/>
            <w:vAlign w:val="center"/>
            <w:tcMar>
              <w:top w:w="90" w:type="dxa"/>
              <w:start w:w="100" w:type="dxa"/>
              <w:bottom w:w="90" w:type="dxa"/>
              <w:end w:w="100" w:type="dxa"/>
            </w:tcMar>
            <w:shd w:fill="EAF2F8"/>
          </w:tcPr>
          <w:p>
            <w:pPr>
              <w:jc w:val="center"/>
            </w:pPr>
            <w:r>
              <w:rPr>
                <w:rFonts w:ascii="Times New Roman" w:hAnsi="Times New Roman"/>
                <w:color w:val="000000"/>
                <w:sz w:val="16"/>
              </w:rPr>
              <w:t>Se recomienda aplazar y la dosis no cambia</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Cinco fechas sin meteorología (18 a 22/07)</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Sustitución explícita y aviso</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Se usa la ET0 reciente, con aviso en cada día</w:t>
            </w:r>
          </w:p>
        </w:tc>
      </w:tr>
      <w:tr>
        <w:trPr>
          <w:cantSplit/>
        </w:trPr>
        <w:tc>
          <w:tcPr>
            <w:tcW w:type="dxa" w:w="3009"/>
            <w:vAlign w:val="center"/>
            <w:tcMar>
              <w:top w:w="90" w:type="dxa"/>
              <w:start w:w="100" w:type="dxa"/>
              <w:bottom w:w="90" w:type="dxa"/>
              <w:end w:w="100" w:type="dxa"/>
            </w:tcMar>
            <w:shd w:fill="EAF2F8"/>
          </w:tcPr>
          <w:p>
            <w:pPr>
              <w:jc w:val="left"/>
            </w:pPr>
            <w:r>
              <w:rPr>
                <w:rFonts w:ascii="Times New Roman" w:hAnsi="Times New Roman"/>
                <w:color w:val="000000"/>
                <w:sz w:val="16"/>
              </w:rPr>
              <w:t>Emisión el 21/07 con el último dato del 17/07</w:t>
            </w:r>
          </w:p>
        </w:tc>
        <w:tc>
          <w:tcPr>
            <w:tcW w:type="dxa" w:w="3008"/>
            <w:vAlign w:val="center"/>
            <w:tcMar>
              <w:top w:w="90" w:type="dxa"/>
              <w:start w:w="100" w:type="dxa"/>
              <w:bottom w:w="90" w:type="dxa"/>
              <w:end w:w="100" w:type="dxa"/>
            </w:tcMar>
            <w:shd w:fill="EAF2F8"/>
          </w:tcPr>
          <w:p>
            <w:pPr>
              <w:jc w:val="center"/>
            </w:pPr>
            <w:r>
              <w:rPr>
                <w:rFonts w:ascii="Times New Roman" w:hAnsi="Times New Roman"/>
                <w:color w:val="000000"/>
                <w:sz w:val="16"/>
              </w:rPr>
              <w:t>Aviso general y confianza baja</w:t>
            </w:r>
          </w:p>
        </w:tc>
        <w:tc>
          <w:tcPr>
            <w:tcW w:type="dxa" w:w="3008"/>
            <w:vAlign w:val="center"/>
            <w:tcMar>
              <w:top w:w="90" w:type="dxa"/>
              <w:start w:w="100" w:type="dxa"/>
              <w:bottom w:w="90" w:type="dxa"/>
              <w:end w:w="100" w:type="dxa"/>
            </w:tcMar>
            <w:shd w:fill="EAF2F8"/>
          </w:tcPr>
          <w:p>
            <w:pPr>
              <w:jc w:val="center"/>
            </w:pPr>
            <w:r>
              <w:rPr>
                <w:rFonts w:ascii="Times New Roman" w:hAnsi="Times New Roman"/>
                <w:color w:val="000000"/>
                <w:sz w:val="16"/>
              </w:rPr>
              <w:t>Aviso de antigüedad y confianza baja en todo el horizonte</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ET0 prevista de 11,5 mm</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Aviso de extrapolación</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Se marca como extrapolación</w:t>
            </w:r>
          </w:p>
        </w:tc>
      </w:tr>
      <w:tr>
        <w:trPr>
          <w:cantSplit/>
        </w:trPr>
        <w:tc>
          <w:tcPr>
            <w:tcW w:type="dxa" w:w="3009"/>
            <w:vAlign w:val="center"/>
            <w:tcMar>
              <w:top w:w="90" w:type="dxa"/>
              <w:start w:w="100" w:type="dxa"/>
              <w:bottom w:w="90" w:type="dxa"/>
              <w:end w:w="100" w:type="dxa"/>
            </w:tcMar>
            <w:shd w:fill="EAF2F8"/>
          </w:tcPr>
          <w:p>
            <w:pPr>
              <w:jc w:val="left"/>
            </w:pPr>
            <w:r>
              <w:rPr>
                <w:rFonts w:ascii="Times New Roman" w:hAnsi="Times New Roman"/>
                <w:color w:val="000000"/>
                <w:sz w:val="16"/>
              </w:rPr>
              <w:t>Fechas posteriores al ciclo (1 y 2/10)</w:t>
            </w:r>
          </w:p>
        </w:tc>
        <w:tc>
          <w:tcPr>
            <w:tcW w:type="dxa" w:w="3008"/>
            <w:vAlign w:val="center"/>
            <w:tcMar>
              <w:top w:w="90" w:type="dxa"/>
              <w:start w:w="100" w:type="dxa"/>
              <w:bottom w:w="90" w:type="dxa"/>
              <w:end w:w="100" w:type="dxa"/>
            </w:tcMar>
            <w:shd w:fill="EAF2F8"/>
          </w:tcPr>
          <w:p>
            <w:pPr>
              <w:jc w:val="center"/>
            </w:pPr>
            <w:r>
              <w:rPr>
                <w:rFonts w:ascii="Times New Roman" w:hAnsi="Times New Roman"/>
                <w:color w:val="000000"/>
                <w:sz w:val="16"/>
              </w:rPr>
              <w:t>Sin recomendación</w:t>
            </w:r>
          </w:p>
        </w:tc>
        <w:tc>
          <w:tcPr>
            <w:tcW w:type="dxa" w:w="3008"/>
            <w:vAlign w:val="center"/>
            <w:tcMar>
              <w:top w:w="90" w:type="dxa"/>
              <w:start w:w="100" w:type="dxa"/>
              <w:bottom w:w="90" w:type="dxa"/>
              <w:end w:w="100" w:type="dxa"/>
            </w:tcMar>
            <w:shd w:fill="EAF2F8"/>
          </w:tcPr>
          <w:p>
            <w:pPr>
              <w:jc w:val="center"/>
            </w:pPr>
            <w:r>
              <w:rPr>
                <w:rFonts w:ascii="Times New Roman" w:hAnsi="Times New Roman"/>
                <w:color w:val="000000"/>
                <w:sz w:val="16"/>
              </w:rPr>
              <w:t>No se emite dosis</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Primer día de campaña sin histórico</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Sin recomendación</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No se emite dosis</w:t>
            </w:r>
          </w:p>
        </w:tc>
      </w:tr>
      <w:tr>
        <w:trPr>
          <w:cantSplit/>
        </w:trPr>
        <w:tc>
          <w:tcPr>
            <w:tcW w:type="dxa" w:w="3009"/>
            <w:vAlign w:val="center"/>
            <w:tcMar>
              <w:top w:w="90" w:type="dxa"/>
              <w:start w:w="100" w:type="dxa"/>
              <w:bottom w:w="90" w:type="dxa"/>
              <w:end w:w="100" w:type="dxa"/>
            </w:tcMar>
            <w:shd w:fill="EAF2F8"/>
          </w:tcPr>
          <w:p>
            <w:pPr>
              <w:jc w:val="left"/>
            </w:pPr>
            <w:r>
              <w:rPr>
                <w:rFonts w:ascii="Times New Roman" w:hAnsi="Times New Roman"/>
                <w:color w:val="000000"/>
                <w:sz w:val="16"/>
              </w:rPr>
              <w:t>Eficiencia 1,4, horizonte de 10 días, superficie negativa, sistema desconocido</w:t>
            </w:r>
          </w:p>
        </w:tc>
        <w:tc>
          <w:tcPr>
            <w:tcW w:type="dxa" w:w="3008"/>
            <w:vAlign w:val="center"/>
            <w:tcMar>
              <w:top w:w="90" w:type="dxa"/>
              <w:start w:w="100" w:type="dxa"/>
              <w:bottom w:w="90" w:type="dxa"/>
              <w:end w:w="100" w:type="dxa"/>
            </w:tcMar>
            <w:shd w:fill="EAF2F8"/>
          </w:tcPr>
          <w:p>
            <w:pPr>
              <w:jc w:val="center"/>
            </w:pPr>
            <w:r>
              <w:rPr>
                <w:rFonts w:ascii="Times New Roman" w:hAnsi="Times New Roman"/>
                <w:color w:val="000000"/>
                <w:sz w:val="16"/>
              </w:rPr>
              <w:t>Rechazo con mensaje</w:t>
            </w:r>
          </w:p>
        </w:tc>
        <w:tc>
          <w:tcPr>
            <w:tcW w:type="dxa" w:w="3008"/>
            <w:vAlign w:val="center"/>
            <w:tcMar>
              <w:top w:w="90" w:type="dxa"/>
              <w:start w:w="100" w:type="dxa"/>
              <w:bottom w:w="90" w:type="dxa"/>
              <w:end w:w="100" w:type="dxa"/>
            </w:tcMar>
            <w:shd w:fill="EAF2F8"/>
          </w:tcPr>
          <w:p>
            <w:pPr>
              <w:jc w:val="center"/>
            </w:pPr>
            <w:r>
              <w:rPr>
                <w:rFonts w:ascii="Times New Roman" w:hAnsi="Times New Roman"/>
                <w:color w:val="000000"/>
                <w:sz w:val="16"/>
              </w:rPr>
              <w:t>Las cuatro entradas se rechazan</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Dotación de 20 mm frente a 47,1 mm planificados</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Reducción proporcional y aviso</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Factor de 0,42 y total de 20 mm</w:t>
            </w:r>
          </w:p>
        </w:tc>
      </w:tr>
      <w:tr>
        <w:trPr>
          <w:cantSplit/>
        </w:trPr>
        <w:tc>
          <w:tcPr>
            <w:tcW w:type="dxa" w:w="3009"/>
            <w:vAlign w:val="center"/>
            <w:tcMar>
              <w:top w:w="90" w:type="dxa"/>
              <w:start w:w="100" w:type="dxa"/>
              <w:bottom w:w="90" w:type="dxa"/>
              <w:end w:w="100" w:type="dxa"/>
            </w:tcMar>
            <w:shd w:fill="EAF2F8"/>
          </w:tcPr>
          <w:p>
            <w:pPr>
              <w:jc w:val="left"/>
            </w:pPr>
            <w:r>
              <w:rPr>
                <w:rFonts w:ascii="Times New Roman" w:hAnsi="Times New Roman"/>
                <w:color w:val="000000"/>
                <w:sz w:val="16"/>
              </w:rPr>
              <w:t>Eficiencias de 0,60 a 1,00</w:t>
            </w:r>
          </w:p>
        </w:tc>
        <w:tc>
          <w:tcPr>
            <w:tcW w:type="dxa" w:w="3008"/>
            <w:vAlign w:val="center"/>
            <w:tcMar>
              <w:top w:w="90" w:type="dxa"/>
              <w:start w:w="100" w:type="dxa"/>
              <w:bottom w:w="90" w:type="dxa"/>
              <w:end w:w="100" w:type="dxa"/>
            </w:tcMar>
            <w:shd w:fill="EAF2F8"/>
          </w:tcPr>
          <w:p>
            <w:pPr>
              <w:jc w:val="center"/>
            </w:pPr>
            <w:r>
              <w:rPr>
                <w:rFonts w:ascii="Times New Roman" w:hAnsi="Times New Roman"/>
                <w:color w:val="000000"/>
                <w:sz w:val="16"/>
              </w:rPr>
              <w:t>Dosis decreciente con la eficiencia</w:t>
            </w:r>
          </w:p>
        </w:tc>
        <w:tc>
          <w:tcPr>
            <w:tcW w:type="dxa" w:w="3008"/>
            <w:vAlign w:val="center"/>
            <w:tcMar>
              <w:top w:w="90" w:type="dxa"/>
              <w:start w:w="100" w:type="dxa"/>
              <w:bottom w:w="90" w:type="dxa"/>
              <w:end w:w="100" w:type="dxa"/>
            </w:tcMar>
            <w:shd w:fill="EAF2F8"/>
          </w:tcPr>
          <w:p>
            <w:pPr>
              <w:jc w:val="center"/>
            </w:pPr>
            <w:r>
              <w:rPr>
                <w:rFonts w:ascii="Times New Roman" w:hAnsi="Times New Roman"/>
                <w:color w:val="000000"/>
                <w:sz w:val="16"/>
              </w:rPr>
              <w:t>70,7, 56,6, 47,1 y 42,4 mm semanales</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Coherencia entre día, semana y volumen</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Sumas consistentes</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Coinciden dosis y volumen</w:t>
            </w:r>
          </w:p>
        </w:tc>
      </w:tr>
      <w:tr>
        <w:trPr>
          <w:cantSplit/>
        </w:trPr>
        <w:tc>
          <w:tcPr>
            <w:tcW w:type="dxa" w:w="3009"/>
            <w:vAlign w:val="center"/>
            <w:tcMar>
              <w:top w:w="90" w:type="dxa"/>
              <w:start w:w="100" w:type="dxa"/>
              <w:bottom w:w="90" w:type="dxa"/>
              <w:end w:w="100" w:type="dxa"/>
            </w:tcMar>
            <w:shd w:fill="EAF2F8"/>
          </w:tcPr>
          <w:p>
            <w:pPr>
              <w:jc w:val="left"/>
            </w:pPr>
            <w:r>
              <w:rPr>
                <w:rFonts w:ascii="Times New Roman" w:hAnsi="Times New Roman"/>
                <w:color w:val="000000"/>
                <w:sz w:val="16"/>
              </w:rPr>
              <w:t>Trazabilidad de cada fila</w:t>
            </w:r>
          </w:p>
        </w:tc>
        <w:tc>
          <w:tcPr>
            <w:tcW w:type="dxa" w:w="3008"/>
            <w:vAlign w:val="center"/>
            <w:tcMar>
              <w:top w:w="90" w:type="dxa"/>
              <w:start w:w="100" w:type="dxa"/>
              <w:bottom w:w="90" w:type="dxa"/>
              <w:end w:w="100" w:type="dxa"/>
            </w:tcMar>
            <w:shd w:fill="EAF2F8"/>
          </w:tcPr>
          <w:p>
            <w:pPr>
              <w:jc w:val="center"/>
            </w:pPr>
            <w:r>
              <w:rPr>
                <w:rFonts w:ascii="Times New Roman" w:hAnsi="Times New Roman"/>
                <w:color w:val="000000"/>
                <w:sz w:val="16"/>
              </w:rPr>
              <w:t>Origen y reglas registrados</w:t>
            </w:r>
          </w:p>
        </w:tc>
        <w:tc>
          <w:tcPr>
            <w:tcW w:type="dxa" w:w="3008"/>
            <w:vAlign w:val="center"/>
            <w:tcMar>
              <w:top w:w="90" w:type="dxa"/>
              <w:start w:w="100" w:type="dxa"/>
              <w:bottom w:w="90" w:type="dxa"/>
              <w:end w:w="100" w:type="dxa"/>
            </w:tcMar>
            <w:shd w:fill="EAF2F8"/>
          </w:tcPr>
          <w:p>
            <w:pPr>
              <w:jc w:val="center"/>
            </w:pPr>
            <w:r>
              <w:rPr>
                <w:rFonts w:ascii="Times New Roman" w:hAnsi="Times New Roman"/>
                <w:color w:val="000000"/>
                <w:sz w:val="16"/>
              </w:rPr>
              <w:t>Método, reglas, archivo y fecha presentes</w:t>
            </w:r>
          </w:p>
        </w:tc>
      </w:tr>
      <w:tr>
        <w:trPr>
          <w:cantSplit/>
        </w:trPr>
        <w:tc>
          <w:tcPr>
            <w:tcW w:type="dxa" w:w="3009"/>
            <w:vAlign w:val="center"/>
            <w:tcMar>
              <w:top w:w="90" w:type="dxa"/>
              <w:start w:w="100" w:type="dxa"/>
              <w:bottom w:w="90" w:type="dxa"/>
              <w:end w:w="100" w:type="dxa"/>
            </w:tcMar>
          </w:tcPr>
          <w:p>
            <w:pPr>
              <w:jc w:val="left"/>
            </w:pPr>
            <w:r>
              <w:rPr>
                <w:rFonts w:ascii="Times New Roman" w:hAnsi="Times New Roman"/>
                <w:color w:val="000000"/>
                <w:sz w:val="16"/>
              </w:rPr>
              <w:t>Cambio de Kc de 0,70 a 0,90 (01/07)</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El calendario corrige la persistencia</w:t>
            </w:r>
          </w:p>
        </w:tc>
        <w:tc>
          <w:tcPr>
            <w:tcW w:type="dxa" w:w="3008"/>
            <w:vAlign w:val="center"/>
            <w:tcMar>
              <w:top w:w="90" w:type="dxa"/>
              <w:start w:w="100" w:type="dxa"/>
              <w:bottom w:w="90" w:type="dxa"/>
              <w:end w:w="100" w:type="dxa"/>
            </w:tcMar>
          </w:tcPr>
          <w:p>
            <w:pPr>
              <w:jc w:val="center"/>
            </w:pPr>
            <w:r>
              <w:rPr>
                <w:rFonts w:ascii="Times New Roman" w:hAnsi="Times New Roman"/>
                <w:color w:val="000000"/>
                <w:sz w:val="16"/>
              </w:rPr>
              <w:t>Error de 0,35 mm frente a 1,19 mm</w:t>
            </w:r>
          </w:p>
        </w:tc>
      </w:tr>
    </w:tbl>
    <w:p>
      <w:pPr>
        <w:spacing w:after="40"/>
      </w:pPr>
    </w:p>
    <w:p>
      <w:pPr>
        <w:spacing w:after="120"/>
      </w:pPr>
      <w:r>
        <w:t>Los trece escenarios produjeron el comportamiento esperado. Más que el recuento, interesa lo que estos casos revelan sobre el diseño. En ninguno de ellos el sistema sustituye una ausencia por un cero ni oculta que ha cambiado de vía de estimación, y en los casos sin información suficiente prefiere no emitir recomendación. Este comportamiento responde a la idea, expuesta en el apartado 2.3, de que la incertidumbre debe formar parte de la salida.</w:t>
      </w:r>
    </w:p>
    <w:p>
      <w:pPr>
        <w:spacing w:after="120"/>
      </w:pPr>
      <w:r>
        <w:t xml:space="preserve">Las comprobaciones de la Tabla 5.7 se complementan con quince pruebas automáticas en </w:t>
      </w:r>
      <w:r>
        <w:rPr>
          <w:rFonts w:ascii="Consolas" w:hAnsi="Consolas"/>
          <w:sz w:val="19"/>
        </w:rPr>
        <w:t>tests/test_dss_engine.py</w:t>
      </w:r>
      <w:r>
        <w:t>, que se suman a las cuarenta existentes para las fases anteriores. Entre otras cosas, verifican que la planificación no cambia si se alteran los datos posteriores a la fecha de emisión, que es la garantía formal de que el sistema no utiliza información futura.</w:t>
      </w:r>
    </w:p>
    <w:p>
      <w:pPr>
        <w:pStyle w:val="Heading3"/>
        <w:keepNext/>
      </w:pPr>
      <w:r>
        <w:rPr>
          <w:rFonts w:ascii="Times New Roman" w:hAnsi="Times New Roman"/>
          <w:color w:val="000000"/>
          <w:sz w:val="24"/>
        </w:rPr>
        <w:t>5.3.8. Rendimiento operativo</w:t>
      </w:r>
    </w:p>
    <w:p>
      <w:pPr>
        <w:spacing w:after="120"/>
      </w:pPr>
      <w:r>
        <w:t>Una recomendación de siete días se genera en el entorno de desarrollo en un tiempo de entre 10 y 25 ms, según la ejecución, y la simulación de la campaña completa, con 152 emisiones, tarda alrededor de un segundo. Los valores exactos de cada ejecución se guardan en el informe de validación. Estos tiempos son irrelevantes para el uso previsto y confirman que, con el volumen del piloto, no es necesario recurrir a procesamiento distribuido. El tiempo de respuesta percibido en la aplicación depende sobre todo del dibujo de la interfaz y no del cálculo.</w:t>
      </w:r>
    </w:p>
    <w:p>
      <w:pPr>
        <w:pStyle w:val="Heading3"/>
        <w:keepNext/>
      </w:pPr>
      <w:r>
        <w:rPr>
          <w:rFonts w:ascii="Times New Roman" w:hAnsi="Times New Roman"/>
          <w:color w:val="000000"/>
          <w:sz w:val="24"/>
        </w:rPr>
        <w:t>5.3.9. Análisis crítico</w:t>
      </w:r>
    </w:p>
    <w:p>
      <w:pPr>
        <w:spacing w:after="120"/>
      </w:pPr>
      <w:r>
        <w:t>El resultado más relevante del capítulo es que el sistema mejora a la referencia predictiva del capítulo 4 sin recurrir a un algoritmo más complejo. La mejora no procede de aprender mejor la serie, sino de separar en la estimación lo que es incierto, la demanda atmosférica, de lo que se conoce de antemano, el calendario del cultivo. Este hallazgo matiza la conclusión del apartado 4.3 en lugar de contradecirla: allí se comprobó que, con un único ciclo, los modelos de aprendizaje no superaban a la persistencia; aquí se comprueba que incorporar conocimiento agronómico explícito sí lo hace. Es un argumento a favor de los sistemas híbridos defendidos en el apartado 2.3, en los que el aprendizaje automático, cuando se disponga de más datos, debería corregir una referencia física y no sustituirla.</w:t>
      </w:r>
    </w:p>
    <w:p>
      <w:pPr>
        <w:spacing w:after="120"/>
      </w:pPr>
      <w:r>
        <w:t>Los resultados deben leerse, no obstante, con varias cautelas. La primera es que la referencia es la propia SiAR. Un error pequeño frente a ella indica que el sistema reproduce bien un cálculo oficial, no que la dosis sea la adecuada para una parcela concreta, cuyo suelo, marco de plantación, cubierta y estado del cultivo pueden diferir de las hipótesis de la estación. La segunda es que todo se ha evaluado con una estación, un cultivo y una campaña. La ventaja del sistema en los horizontes largos depende de que existan cambios de fase dentro del horizonte, y en un cultivo con un Kc que varíe de forma gradual sería menor. La tercera es que el tramo de prueba, septiembre, es atípico: tiene un Kc muy bajo, necesidades cercanas a un milímetro y una ET0 en descenso, por lo que sus errores absolutos son pequeños y poco representativos del verano.</w:t>
      </w:r>
    </w:p>
    <w:p>
      <w:pPr>
        <w:spacing w:after="120"/>
      </w:pPr>
      <w:r>
        <w:t>La cuarta cautela se refiere a lo que el sistema no hace. No decide cuándo regar, porque sin balance hídrico del suelo todas las necesidades se tratan como diarias. No integra una ET0 prevista contrastada, por lo que en los horizontes largos depende de que el tiempo se mantenga. Y no se ha validado con usuarios, de modo que no hay evidencia de que la interfaz y las explicaciones resulten comprensibles para quienes tendrían que utilizarlas. Hay también situaciones en las que el sistema no debería emitir una recomendación sin que alguien la revise. Ocurre con los datos desactualizados durante más de dos días, cuando la ET0 queda fuera del intervalo observado, ante una previsión de lluvia relevante y siempre que la dotación obliga a recortar la dosis. En todos esos casos el sistema emite avisos, pero la decisión sobre qué hacer con ellos corresponde al usuario.</w:t>
      </w:r>
    </w:p>
    <w:p>
      <w:pPr>
        <w:spacing w:after="120"/>
      </w:pPr>
      <w:r>
        <w:t>Con estas limitaciones, el prototipo cumple lo que se pretendía demostrar en este capítulo: que es posible convertir datos agroclimáticos públicos en una recomendación de riego diaria y semanal, explicada, trazable y evaluada frente a una referencia, con un error conocido para cada horizonte. La valoración de este resultado frente a los objetivos del trabajo se desarrolla en el capítulo 6.</w:t>
      </w:r>
    </w:p>
    <w:p>
      <w:pPr>
        <w:pStyle w:val="Heading3"/>
        <w:keepNext/>
      </w:pPr>
      <w:r>
        <w:rPr>
          <w:rFonts w:ascii="Times New Roman" w:hAnsi="Times New Roman"/>
          <w:color w:val="000000"/>
          <w:sz w:val="24"/>
        </w:rPr>
        <w:t>5.3.10. Reproducibilidad y evidencias</w:t>
      </w:r>
    </w:p>
    <w:p>
      <w:pPr>
        <w:spacing w:after="120"/>
      </w:pPr>
      <w:r>
        <w:t>Las cifras, tablas y figuras de este capítulo se regeneran con:</w:t>
      </w:r>
    </w:p>
    <w:p>
      <w:pPr>
        <w:spacing w:before="80" w:after="140"/>
        <w:ind w:left="360" w:right="216"/>
        <w:jc w:val="left"/>
        <w:shd w:fill="F2F2F2"/>
      </w:pPr>
      <w:r>
        <w:rPr>
          <w:rFonts w:ascii="Consolas" w:hAnsi="Consolas"/>
          <w:sz w:val="17"/>
        </w:rPr>
        <w:t>python -m src.analysis.build_validation_5_3</w:t>
      </w:r>
    </w:p>
    <w:p>
      <w:pPr>
        <w:spacing w:before="80" w:after="140"/>
        <w:ind w:left="360" w:right="216"/>
        <w:jc w:val="left"/>
        <w:shd w:fill="F2F2F2"/>
      </w:pPr>
      <w:r>
        <w:rPr>
          <w:rFonts w:ascii="Consolas" w:hAnsi="Consolas"/>
          <w:sz w:val="17"/>
        </w:rPr>
        <w:t>python -m src.visualization.build_dss_visual</w:t>
      </w:r>
    </w:p>
    <w:p>
      <w:pPr>
        <w:spacing w:before="80" w:after="140"/>
        <w:ind w:left="360" w:right="216"/>
        <w:jc w:val="left"/>
        <w:shd w:fill="F2F2F2"/>
      </w:pPr>
      <w:r>
        <w:rPr>
          <w:rFonts w:ascii="Consolas" w:hAnsi="Consolas"/>
          <w:sz w:val="17"/>
        </w:rPr>
        <w:t>python -m unittest discover -s tests</w:t>
      </w:r>
    </w:p>
    <w:p>
      <w:pPr>
        <w:spacing w:after="120"/>
      </w:pPr>
      <w:r>
        <w:t>El primer comando produce el informe completo (</w:t>
      </w:r>
      <w:r>
        <w:rPr>
          <w:rFonts w:ascii="Consolas" w:hAnsi="Consolas"/>
          <w:sz w:val="19"/>
        </w:rPr>
        <w:t>docs/data_samples/dss_validation_5_3.json</w:t>
      </w:r>
      <w:r>
        <w:t>), los errores por horizonte (</w:t>
      </w:r>
      <w:r>
        <w:rPr>
          <w:rFonts w:ascii="Consolas" w:hAnsi="Consolas"/>
          <w:sz w:val="19"/>
        </w:rPr>
        <w:t>dss_horizon_errors_5_3.csv</w:t>
      </w:r>
      <w:r>
        <w:t>), los escenarios (</w:t>
      </w:r>
      <w:r>
        <w:rPr>
          <w:rFonts w:ascii="Consolas" w:hAnsi="Consolas"/>
          <w:sz w:val="19"/>
        </w:rPr>
        <w:t>dss_scenarios_5_3.csv</w:t>
      </w:r>
      <w:r>
        <w:t xml:space="preserve">), el ejemplo del apartado 5.2 y las Figuras 5.3, 5.4 y 5.5. El segundo genera la Figura 5.1 y el tercero ejecuta las cincuenta y cinco pruebas automáticas del proyecto. La captura de la Figura 5.2 se obtiene arrancando la aplicación con </w:t>
      </w:r>
      <w:r>
        <w:rPr>
          <w:rFonts w:ascii="Consolas" w:hAnsi="Consolas"/>
          <w:sz w:val="19"/>
        </w:rPr>
        <w:t>streamlit run src/dss/app_streamlit.py</w:t>
      </w:r>
      <w:r>
        <w:t xml:space="preserve"> y abriendo la dirección local con los parámetros </w:t>
      </w:r>
      <w:r>
        <w:rPr>
          <w:rFonts w:ascii="Consolas" w:hAnsi="Consolas"/>
          <w:sz w:val="19"/>
        </w:rPr>
        <w:t>?fecha=2025-06-28&amp;referencia=1</w:t>
      </w:r>
      <w:r>
        <w:t>.</w:t>
      </w:r>
    </w:p>
    <w:p>
      <w:pPr>
        <w:pStyle w:val="Heading1"/>
      </w:pPr>
      <w:r>
        <w:t>6. Conclusiones</w:t>
      </w:r>
    </w:p>
    <w:p>
      <w:pPr>
        <w:pStyle w:val="Heading2"/>
      </w:pPr>
      <w:r>
        <w:t>6.1. Cumplimiento de objetivos y aportaciones</w:t>
      </w:r>
    </w:p>
    <w:p>
      <w:pPr>
        <w:pStyle w:val="Heading3"/>
        <w:keepNext/>
      </w:pPr>
      <w:r>
        <w:rPr>
          <w:rFonts w:ascii="Times New Roman" w:hAnsi="Times New Roman"/>
          <w:color w:val="000000"/>
          <w:sz w:val="24"/>
        </w:rPr>
        <w:t>6.1.1. Valoración de los objetivos</w:t>
      </w:r>
    </w:p>
    <w:p>
      <w:pPr>
        <w:spacing w:after="120"/>
      </w:pPr>
      <w:r>
        <w:t xml:space="preserve">El objetivo general del trabajo era diseñar, implementar y evaluar un sistema inteligente de apoyo a la decisión que integrara datos meteorológicos, ambientales, agronómicos e hidrológicos, estimara las necesidades de riego y las transformara en recomendaciones operativas, trazables y comprensibles. Al término del proyecto puede afirmarse que el objetivo se ha alcanzado como prueba de concepto y dentro de un caso acotado. El repositorio contiene una cadena completa y reproducible que parte de las APIs públicas de SiAR y AEMET y termina en una recomendación diaria y semanal, explicada y evaluada frente a una referencia oficial. Esa afirmación tiene un límite preciso: se ha demostrado con una estación, un cultivo y una campaña, y frente a una necesidad calculada, no frente al riego aplicado ni a la respuesta del cultivo. La dimensión hidrológica del objetivo, además, se ha resuelto mediante una dotación que introduce el usuario y no mediante datos oficiales de disponibilidad de agua.</w:t>
      </w:r>
    </w:p>
    <w:p>
      <w:pPr>
        <w:spacing w:after="120"/>
      </w:pPr>
      <w:r>
        <w:t xml:space="preserve">Para valorar los objetivos específicos se ha seguido un criterio deliberadamente estricto. Un objetivo se considera cumplido cuando existe un resultado implementado, reproducible desde el repositorio y evaluado en esta memoria. Se considera parcial cuando alguna parte de su formulación en el apartado 1.2 no se ha abordado o se ha sustituido por una alternativa más limitada, aunque la sustitución esté justificada. La Tabla 6.1 recoge la valoración.</w:t>
      </w:r>
    </w:p>
    <w:p>
      <w:pPr>
        <w:keepNext/>
        <w:spacing w:after="120"/>
      </w:pPr>
      <w:r>
        <w:rPr>
          <w:b/>
        </w:rPr>
        <w:t>Tabla 6.1. Grado de cumplimiento de los objetivos específicos.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50"/>
        <w:gridCol w:w="2000"/>
        <w:gridCol w:w="1000"/>
        <w:gridCol w:w="3776"/>
      </w:tblGrid>
      <w:tr>
        <w:trPr>
          <w:tblHeader w:val="true"/>
          <w:cantSplit/>
        </w:trPr>
        <w:tc>
          <w:tcPr>
            <w:tcW w:type="dxa" w:w="2250"/>
            <w:vAlign w:val="center"/>
            <w:tcMar>
              <w:top w:w="90" w:type="dxa"/>
              <w:start w:w="100" w:type="dxa"/>
              <w:bottom w:w="90" w:type="dxa"/>
              <w:end w:w="100" w:type="dxa"/>
            </w:tcMar>
            <w:shd w:fill="1F4E78"/>
          </w:tcPr>
          <w:p>
            <w:pPr>
              <w:jc w:val="left"/>
            </w:pPr>
            <w:r>
              <w:rPr>
                <w:rFonts w:ascii="Times New Roman" w:hAnsi="Times New Roman"/>
                <w:b/>
                <w:color w:val="FFFFFF"/>
                <w:sz w:val="16"/>
              </w:rPr>
              <w:t xml:space="preserve">Objetivo específico (apartado 1.2)</w:t>
            </w:r>
          </w:p>
        </w:tc>
        <w:tc>
          <w:tcPr>
            <w:tcW w:type="dxa" w:w="2000"/>
            <w:vAlign w:val="center"/>
            <w:tcMar>
              <w:top w:w="90" w:type="dxa"/>
              <w:start w:w="100" w:type="dxa"/>
              <w:bottom w:w="90" w:type="dxa"/>
              <w:end w:w="100" w:type="dxa"/>
            </w:tcMar>
            <w:shd w:fill="1F4E78"/>
          </w:tcPr>
          <w:p>
            <w:pPr>
              <w:jc w:val="left"/>
            </w:pPr>
            <w:r>
              <w:rPr>
                <w:rFonts w:ascii="Times New Roman" w:hAnsi="Times New Roman"/>
                <w:b/>
                <w:color w:val="FFFFFF"/>
                <w:sz w:val="16"/>
              </w:rPr>
              <w:t xml:space="preserve">Evidencia principal</w:t>
            </w:r>
          </w:p>
        </w:tc>
        <w:tc>
          <w:tcPr>
            <w:tcW w:type="dxa" w:w="1000"/>
            <w:vAlign w:val="center"/>
            <w:tcMar>
              <w:top w:w="90" w:type="dxa"/>
              <w:start w:w="100" w:type="dxa"/>
              <w:bottom w:w="90" w:type="dxa"/>
              <w:end w:w="100" w:type="dxa"/>
            </w:tcMar>
            <w:shd w:fill="1F4E78"/>
          </w:tcPr>
          <w:p>
            <w:pPr>
              <w:jc w:val="center"/>
            </w:pPr>
            <w:r>
              <w:rPr>
                <w:rFonts w:ascii="Times New Roman" w:hAnsi="Times New Roman"/>
                <w:b/>
                <w:color w:val="FFFFFF"/>
                <w:sz w:val="16"/>
              </w:rPr>
              <w:t xml:space="preserve">Grado</w:t>
            </w:r>
          </w:p>
        </w:tc>
        <w:tc>
          <w:tcPr>
            <w:tcW w:type="dxa" w:w="3776"/>
            <w:vAlign w:val="center"/>
            <w:tcMar>
              <w:top w:w="90" w:type="dxa"/>
              <w:start w:w="100" w:type="dxa"/>
              <w:bottom w:w="90" w:type="dxa"/>
              <w:end w:w="100" w:type="dxa"/>
            </w:tcMar>
            <w:shd w:fill="1F4E78"/>
          </w:tcPr>
          <w:p>
            <w:pPr>
              <w:jc w:val="left"/>
            </w:pPr>
            <w:r>
              <w:rPr>
                <w:rFonts w:ascii="Times New Roman" w:hAnsi="Times New Roman"/>
                <w:b/>
                <w:color w:val="FFFFFF"/>
                <w:sz w:val="16"/>
              </w:rPr>
              <w:t xml:space="preserve">Alcance y desviaciones</w:t>
            </w:r>
          </w:p>
        </w:tc>
      </w:tr>
      <w:tr>
        <w:trPr>
          <w:cantSplit/>
        </w:trPr>
        <w:tc>
          <w:tcPr>
            <w:tcW w:type="dxa" w:w="2250"/>
            <w:vAlign w:val="center"/>
            <w:tcMar>
              <w:top w:w="90" w:type="dxa"/>
              <w:start w:w="100" w:type="dxa"/>
              <w:bottom w:w="90" w:type="dxa"/>
              <w:end w:w="100" w:type="dxa"/>
            </w:tcMar>
          </w:tcPr>
          <w:p>
            <w:pPr>
              <w:jc w:val="left"/>
            </w:pPr>
            <w:r>
              <w:rPr>
                <w:rFonts w:ascii="Times New Roman" w:hAnsi="Times New Roman"/>
                <w:color w:val="000000"/>
                <w:sz w:val="16"/>
              </w:rPr>
              <w:t xml:space="preserve">Identificar y documentar las fuentes y variables del problema</w:t>
            </w:r>
          </w:p>
        </w:tc>
        <w:tc>
          <w:tcPr>
            <w:tcW w:type="dxa" w:w="2000"/>
            <w:vAlign w:val="center"/>
            <w:tcMar>
              <w:top w:w="90" w:type="dxa"/>
              <w:start w:w="100" w:type="dxa"/>
              <w:bottom w:w="90" w:type="dxa"/>
              <w:end w:w="100" w:type="dxa"/>
            </w:tcMar>
          </w:tcPr>
          <w:p>
            <w:pPr>
              <w:jc w:val="left"/>
            </w:pPr>
            <w:r>
              <w:rPr>
                <w:rFonts w:ascii="Times New Roman" w:hAnsi="Times New Roman"/>
                <w:color w:val="000000"/>
                <w:sz w:val="16"/>
              </w:rPr>
              <w:t xml:space="preserve">Apartado 3.1; inventarios de SiAR y AEMET</w:t>
            </w:r>
          </w:p>
        </w:tc>
        <w:tc>
          <w:tcPr>
            <w:tcW w:type="dxa" w:w="1000"/>
            <w:vAlign w:val="center"/>
            <w:tcMar>
              <w:top w:w="90" w:type="dxa"/>
              <w:start w:w="100" w:type="dxa"/>
              <w:bottom w:w="90" w:type="dxa"/>
              <w:end w:w="100" w:type="dxa"/>
            </w:tcMar>
          </w:tcPr>
          <w:p>
            <w:pPr>
              <w:jc w:val="center"/>
            </w:pPr>
            <w:r>
              <w:rPr>
                <w:rFonts w:ascii="Times New Roman" w:hAnsi="Times New Roman"/>
                <w:color w:val="000000"/>
                <w:sz w:val="16"/>
              </w:rPr>
              <w:t xml:space="preserve">Parcial</w:t>
            </w:r>
          </w:p>
        </w:tc>
        <w:tc>
          <w:tcPr>
            <w:tcW w:type="dxa" w:w="3776"/>
            <w:vAlign w:val="center"/>
            <w:tcMar>
              <w:top w:w="90" w:type="dxa"/>
              <w:start w:w="100" w:type="dxa"/>
              <w:bottom w:w="90" w:type="dxa"/>
              <w:end w:w="100" w:type="dxa"/>
            </w:tcMar>
          </w:tcPr>
          <w:p>
            <w:pPr>
              <w:jc w:val="left"/>
            </w:pPr>
            <w:r>
              <w:rPr>
                <w:rFonts w:ascii="Times New Roman" w:hAnsi="Times New Roman"/>
                <w:color w:val="000000"/>
                <w:sz w:val="16"/>
              </w:rPr>
              <w:t xml:space="preserve">SiAR y AEMET documentadas e integradas. Los datos hidrológicos del MITECO se analizaron y se descartaron por su escala de embalse y cuenca (apartado 5.1.4).</w:t>
            </w:r>
          </w:p>
        </w:tc>
      </w:tr>
      <w:tr>
        <w:trPr>
          <w:cantSplit/>
        </w:trPr>
        <w:tc>
          <w:tcPr>
            <w:tcW w:type="dxa" w:w="2250"/>
            <w:vAlign w:val="center"/>
            <w:tcMar>
              <w:top w:w="90" w:type="dxa"/>
              <w:start w:w="100" w:type="dxa"/>
              <w:bottom w:w="90" w:type="dxa"/>
              <w:end w:w="100" w:type="dxa"/>
            </w:tcMar>
            <w:shd w:fill="EAF2F8"/>
          </w:tcPr>
          <w:p>
            <w:pPr>
              <w:jc w:val="left"/>
            </w:pPr>
            <w:r>
              <w:rPr>
                <w:rFonts w:ascii="Times New Roman" w:hAnsi="Times New Roman"/>
                <w:color w:val="000000"/>
                <w:sz w:val="16"/>
              </w:rPr>
              <w:t xml:space="preserve">Diseñar un flujo de datos reproducible con calidad y trazabilidad</w:t>
            </w:r>
          </w:p>
        </w:tc>
        <w:tc>
          <w:tcPr>
            <w:tcW w:type="dxa" w:w="2000"/>
            <w:vAlign w:val="center"/>
            <w:tcMar>
              <w:top w:w="90" w:type="dxa"/>
              <w:start w:w="100" w:type="dxa"/>
              <w:bottom w:w="90" w:type="dxa"/>
              <w:end w:w="100" w:type="dxa"/>
            </w:tcMar>
            <w:shd w:fill="EAF2F8"/>
          </w:tcPr>
          <w:p>
            <w:pPr>
              <w:jc w:val="left"/>
            </w:pPr>
            <w:r>
              <w:rPr>
                <w:rFonts w:ascii="Times New Roman" w:hAnsi="Times New Roman"/>
                <w:color w:val="000000"/>
                <w:sz w:val="16"/>
              </w:rPr>
              <w:t xml:space="preserve">Apartado 4.1; capas raw, interim y processed</w:t>
            </w:r>
          </w:p>
        </w:tc>
        <w:tc>
          <w:tcPr>
            <w:tcW w:type="dxa" w:w="1000"/>
            <w:vAlign w:val="center"/>
            <w:tcMar>
              <w:top w:w="90" w:type="dxa"/>
              <w:start w:w="100" w:type="dxa"/>
              <w:bottom w:w="90" w:type="dxa"/>
              <w:end w:w="100" w:type="dxa"/>
            </w:tcMar>
            <w:shd w:fill="EAF2F8"/>
          </w:tcPr>
          <w:p>
            <w:pPr>
              <w:jc w:val="center"/>
            </w:pPr>
            <w:r>
              <w:rPr>
                <w:rFonts w:ascii="Times New Roman" w:hAnsi="Times New Roman"/>
                <w:color w:val="000000"/>
                <w:sz w:val="16"/>
              </w:rPr>
              <w:t xml:space="preserve">Cumplido</w:t>
            </w:r>
          </w:p>
        </w:tc>
        <w:tc>
          <w:tcPr>
            <w:tcW w:type="dxa" w:w="3776"/>
            <w:vAlign w:val="center"/>
            <w:tcMar>
              <w:top w:w="90" w:type="dxa"/>
              <w:start w:w="100" w:type="dxa"/>
              <w:bottom w:w="90" w:type="dxa"/>
              <w:end w:w="100" w:type="dxa"/>
            </w:tcMar>
            <w:shd w:fill="EAF2F8"/>
          </w:tcPr>
          <w:p>
            <w:pPr>
              <w:jc w:val="left"/>
            </w:pPr>
            <w:r>
              <w:rPr>
                <w:rFonts w:ascii="Times New Roman" w:hAnsi="Times New Roman"/>
                <w:color w:val="000000"/>
                <w:sz w:val="16"/>
              </w:rPr>
              <w:t xml:space="preserve">Controles de calidad que no destruyen el dato original y procedencia hasta el archivo raw. El almacenamiento es local; MySQL y Apache Hop quedan como arquitectura objetivo (apartado 3.2.2).</w:t>
            </w:r>
          </w:p>
        </w:tc>
      </w:tr>
      <w:tr>
        <w:trPr>
          <w:cantSplit/>
        </w:trPr>
        <w:tc>
          <w:tcPr>
            <w:tcW w:type="dxa" w:w="2250"/>
            <w:vAlign w:val="center"/>
            <w:tcMar>
              <w:top w:w="90" w:type="dxa"/>
              <w:start w:w="100" w:type="dxa"/>
              <w:bottom w:w="90" w:type="dxa"/>
              <w:end w:w="100" w:type="dxa"/>
            </w:tcMar>
          </w:tcPr>
          <w:p>
            <w:pPr>
              <w:jc w:val="left"/>
            </w:pPr>
            <w:r>
              <w:rPr>
                <w:rFonts w:ascii="Times New Roman" w:hAnsi="Times New Roman"/>
                <w:color w:val="000000"/>
                <w:sz w:val="16"/>
              </w:rPr>
              <w:t xml:space="preserve">Realizar el análisis exploratorio y construir variables derivadas</w:t>
            </w:r>
          </w:p>
        </w:tc>
        <w:tc>
          <w:tcPr>
            <w:tcW w:type="dxa" w:w="2000"/>
            <w:vAlign w:val="center"/>
            <w:tcMar>
              <w:top w:w="90" w:type="dxa"/>
              <w:start w:w="100" w:type="dxa"/>
              <w:bottom w:w="90" w:type="dxa"/>
              <w:end w:w="100" w:type="dxa"/>
            </w:tcMar>
          </w:tcPr>
          <w:p>
            <w:pPr>
              <w:jc w:val="left"/>
            </w:pPr>
            <w:r>
              <w:rPr>
                <w:rFonts w:ascii="Times New Roman" w:hAnsi="Times New Roman"/>
                <w:color w:val="000000"/>
                <w:sz w:val="16"/>
              </w:rPr>
              <w:t xml:space="preserve">Apartado 4.2; catálogo de 88 variables</w:t>
            </w:r>
          </w:p>
        </w:tc>
        <w:tc>
          <w:tcPr>
            <w:tcW w:type="dxa" w:w="1000"/>
            <w:vAlign w:val="center"/>
            <w:tcMar>
              <w:top w:w="90" w:type="dxa"/>
              <w:start w:w="100" w:type="dxa"/>
              <w:bottom w:w="90" w:type="dxa"/>
              <w:end w:w="100" w:type="dxa"/>
            </w:tcMar>
          </w:tcPr>
          <w:p>
            <w:pPr>
              <w:jc w:val="center"/>
            </w:pPr>
            <w:r>
              <w:rPr>
                <w:rFonts w:ascii="Times New Roman" w:hAnsi="Times New Roman"/>
                <w:color w:val="000000"/>
                <w:sz w:val="16"/>
              </w:rPr>
              <w:t xml:space="preserve">Parcial</w:t>
            </w:r>
          </w:p>
        </w:tc>
        <w:tc>
          <w:tcPr>
            <w:tcW w:type="dxa" w:w="3776"/>
            <w:vAlign w:val="center"/>
            <w:tcMar>
              <w:top w:w="90" w:type="dxa"/>
              <w:start w:w="100" w:type="dxa"/>
              <w:bottom w:w="90" w:type="dxa"/>
              <w:end w:w="100" w:type="dxa"/>
            </w:tcMar>
          </w:tcPr>
          <w:p>
            <w:pPr>
              <w:jc w:val="left"/>
            </w:pPr>
            <w:r>
              <w:rPr>
                <w:rFonts w:ascii="Times New Roman" w:hAnsi="Times New Roman"/>
                <w:color w:val="000000"/>
                <w:sz w:val="16"/>
              </w:rPr>
              <w:t xml:space="preserve">Cobertura, calidad y disponibilidad temporal de cada variable caracterizadas. Con un cultivo, una localización y sin datos de disponibilidad de agua, solo puede estudiarse la relación entre meteorología, fase del cultivo y demanda.</w:t>
            </w:r>
          </w:p>
        </w:tc>
      </w:tr>
      <w:tr>
        <w:trPr>
          <w:cantSplit/>
        </w:trPr>
        <w:tc>
          <w:tcPr>
            <w:tcW w:type="dxa" w:w="2250"/>
            <w:vAlign w:val="center"/>
            <w:tcMar>
              <w:top w:w="90" w:type="dxa"/>
              <w:start w:w="100" w:type="dxa"/>
              <w:bottom w:w="90" w:type="dxa"/>
              <w:end w:w="100" w:type="dxa"/>
            </w:tcMar>
            <w:shd w:fill="EAF2F8"/>
          </w:tcPr>
          <w:p>
            <w:pPr>
              <w:jc w:val="left"/>
            </w:pPr>
            <w:r>
              <w:rPr>
                <w:rFonts w:ascii="Times New Roman" w:hAnsi="Times New Roman"/>
                <w:color w:val="000000"/>
                <w:sz w:val="16"/>
              </w:rPr>
              <w:t xml:space="preserve">Desarrollar y comparar modelos predictivos</w:t>
            </w:r>
          </w:p>
        </w:tc>
        <w:tc>
          <w:tcPr>
            <w:tcW w:type="dxa" w:w="2000"/>
            <w:vAlign w:val="center"/>
            <w:tcMar>
              <w:top w:w="90" w:type="dxa"/>
              <w:start w:w="100" w:type="dxa"/>
              <w:bottom w:w="90" w:type="dxa"/>
              <w:end w:w="100" w:type="dxa"/>
            </w:tcMar>
            <w:shd w:fill="EAF2F8"/>
          </w:tcPr>
          <w:p>
            <w:pPr>
              <w:jc w:val="left"/>
            </w:pPr>
            <w:r>
              <w:rPr>
                <w:rFonts w:ascii="Times New Roman" w:hAnsi="Times New Roman"/>
                <w:color w:val="000000"/>
                <w:sz w:val="16"/>
              </w:rPr>
              <w:t xml:space="preserve">Apartado 4.3; seis enfoques con validación temporal</w:t>
            </w:r>
          </w:p>
        </w:tc>
        <w:tc>
          <w:tcPr>
            <w:tcW w:type="dxa" w:w="1000"/>
            <w:vAlign w:val="center"/>
            <w:tcMar>
              <w:top w:w="90" w:type="dxa"/>
              <w:start w:w="100" w:type="dxa"/>
              <w:bottom w:w="90" w:type="dxa"/>
              <w:end w:w="100" w:type="dxa"/>
            </w:tcMar>
            <w:shd w:fill="EAF2F8"/>
          </w:tcPr>
          <w:p>
            <w:pPr>
              <w:jc w:val="center"/>
            </w:pPr>
            <w:r>
              <w:rPr>
                <w:rFonts w:ascii="Times New Roman" w:hAnsi="Times New Roman"/>
                <w:color w:val="000000"/>
                <w:sz w:val="16"/>
              </w:rPr>
              <w:t xml:space="preserve">Cumplido</w:t>
            </w:r>
          </w:p>
        </w:tc>
        <w:tc>
          <w:tcPr>
            <w:tcW w:type="dxa" w:w="3776"/>
            <w:vAlign w:val="center"/>
            <w:tcMar>
              <w:top w:w="90" w:type="dxa"/>
              <w:start w:w="100" w:type="dxa"/>
              <w:bottom w:w="90" w:type="dxa"/>
              <w:end w:w="100" w:type="dxa"/>
            </w:tcMar>
            <w:shd w:fill="EAF2F8"/>
          </w:tcPr>
          <w:p>
            <w:pPr>
              <w:jc w:val="left"/>
            </w:pPr>
            <w:r>
              <w:rPr>
                <w:rFonts w:ascii="Times New Roman" w:hAnsi="Times New Roman"/>
                <w:color w:val="000000"/>
                <w:sz w:val="16"/>
              </w:rPr>
              <w:t xml:space="preserve">Comparación con métricas objetivas y prueba reservada. Ningún algoritmo de aprendizaje supera de forma estable a la persistencia.</w:t>
            </w:r>
          </w:p>
        </w:tc>
      </w:tr>
      <w:tr>
        <w:trPr>
          <w:cantSplit/>
        </w:trPr>
        <w:tc>
          <w:tcPr>
            <w:tcW w:type="dxa" w:w="2250"/>
            <w:vAlign w:val="center"/>
            <w:tcMar>
              <w:top w:w="90" w:type="dxa"/>
              <w:start w:w="100" w:type="dxa"/>
              <w:bottom w:w="90" w:type="dxa"/>
              <w:end w:w="100" w:type="dxa"/>
            </w:tcMar>
          </w:tcPr>
          <w:p>
            <w:pPr>
              <w:jc w:val="left"/>
            </w:pPr>
            <w:r>
              <w:rPr>
                <w:rFonts w:ascii="Times New Roman" w:hAnsi="Times New Roman"/>
                <w:color w:val="000000"/>
                <w:sz w:val="16"/>
              </w:rPr>
              <w:t xml:space="preserve">Diseñar una lógica de recomendación sobre cantidad y momento de riego</w:t>
            </w:r>
          </w:p>
        </w:tc>
        <w:tc>
          <w:tcPr>
            <w:tcW w:type="dxa" w:w="2000"/>
            <w:vAlign w:val="center"/>
            <w:tcMar>
              <w:top w:w="90" w:type="dxa"/>
              <w:start w:w="100" w:type="dxa"/>
              <w:bottom w:w="90" w:type="dxa"/>
              <w:end w:w="100" w:type="dxa"/>
            </w:tcMar>
          </w:tcPr>
          <w:p>
            <w:pPr>
              <w:jc w:val="left"/>
            </w:pPr>
            <w:r>
              <w:rPr>
                <w:rFonts w:ascii="Times New Roman" w:hAnsi="Times New Roman"/>
                <w:color w:val="000000"/>
                <w:sz w:val="16"/>
              </w:rPr>
              <w:t xml:space="preserve">Apartado 5.1; motor con reglas R1 a R10</w:t>
            </w:r>
          </w:p>
        </w:tc>
        <w:tc>
          <w:tcPr>
            <w:tcW w:type="dxa" w:w="1000"/>
            <w:vAlign w:val="center"/>
            <w:tcMar>
              <w:top w:w="90" w:type="dxa"/>
              <w:start w:w="100" w:type="dxa"/>
              <w:bottom w:w="90" w:type="dxa"/>
              <w:end w:w="100" w:type="dxa"/>
            </w:tcMar>
          </w:tcPr>
          <w:p>
            <w:pPr>
              <w:jc w:val="center"/>
            </w:pPr>
            <w:r>
              <w:rPr>
                <w:rFonts w:ascii="Times New Roman" w:hAnsi="Times New Roman"/>
                <w:color w:val="000000"/>
                <w:sz w:val="16"/>
              </w:rPr>
              <w:t xml:space="preserve">Parcial</w:t>
            </w:r>
          </w:p>
        </w:tc>
        <w:tc>
          <w:tcPr>
            <w:tcW w:type="dxa" w:w="3776"/>
            <w:vAlign w:val="center"/>
            <w:tcMar>
              <w:top w:w="90" w:type="dxa"/>
              <w:start w:w="100" w:type="dxa"/>
              <w:bottom w:w="90" w:type="dxa"/>
              <w:end w:w="100" w:type="dxa"/>
            </w:tcMar>
          </w:tcPr>
          <w:p>
            <w:pPr>
              <w:jc w:val="left"/>
            </w:pPr>
            <w:r>
              <w:rPr>
                <w:rFonts w:ascii="Times New Roman" w:hAnsi="Times New Roman"/>
                <w:color w:val="000000"/>
                <w:sz w:val="16"/>
              </w:rPr>
              <w:t xml:space="preserve">Resuelve cuánto regar a escala diaria y semanal, con eficiencia y dotación. El momento solo se trata mediante avisos de aplazamiento: sin balance hídrico del suelo no puede decidirse cuándo regar.</w:t>
            </w:r>
          </w:p>
        </w:tc>
      </w:tr>
      <w:tr>
        <w:trPr>
          <w:cantSplit/>
        </w:trPr>
        <w:tc>
          <w:tcPr>
            <w:tcW w:type="dxa" w:w="2250"/>
            <w:vAlign w:val="center"/>
            <w:tcMar>
              <w:top w:w="90" w:type="dxa"/>
              <w:start w:w="100" w:type="dxa"/>
              <w:bottom w:w="90" w:type="dxa"/>
              <w:end w:w="100" w:type="dxa"/>
            </w:tcMar>
            <w:shd w:fill="EAF2F8"/>
          </w:tcPr>
          <w:p>
            <w:pPr>
              <w:jc w:val="left"/>
            </w:pPr>
            <w:r>
              <w:rPr>
                <w:rFonts w:ascii="Times New Roman" w:hAnsi="Times New Roman"/>
                <w:color w:val="000000"/>
                <w:sz w:val="16"/>
              </w:rPr>
              <w:t xml:space="preserve">Implementar un prototipo de aplicación o panel de visualización</w:t>
            </w:r>
          </w:p>
        </w:tc>
        <w:tc>
          <w:tcPr>
            <w:tcW w:type="dxa" w:w="2000"/>
            <w:vAlign w:val="center"/>
            <w:tcMar>
              <w:top w:w="90" w:type="dxa"/>
              <w:start w:w="100" w:type="dxa"/>
              <w:bottom w:w="90" w:type="dxa"/>
              <w:end w:w="100" w:type="dxa"/>
            </w:tcMar>
            <w:shd w:fill="EAF2F8"/>
          </w:tcPr>
          <w:p>
            <w:pPr>
              <w:jc w:val="left"/>
            </w:pPr>
            <w:r>
              <w:rPr>
                <w:rFonts w:ascii="Times New Roman" w:hAnsi="Times New Roman"/>
                <w:color w:val="000000"/>
                <w:sz w:val="16"/>
              </w:rPr>
              <w:t xml:space="preserve">Apartado 5.2; aplicación en Streamlit y línea de comandos</w:t>
            </w:r>
          </w:p>
        </w:tc>
        <w:tc>
          <w:tcPr>
            <w:tcW w:type="dxa" w:w="1000"/>
            <w:vAlign w:val="center"/>
            <w:tcMar>
              <w:top w:w="90" w:type="dxa"/>
              <w:start w:w="100" w:type="dxa"/>
              <w:bottom w:w="90" w:type="dxa"/>
              <w:end w:w="100" w:type="dxa"/>
            </w:tcMar>
            <w:shd w:fill="EAF2F8"/>
          </w:tcPr>
          <w:p>
            <w:pPr>
              <w:jc w:val="center"/>
            </w:pPr>
            <w:r>
              <w:rPr>
                <w:rFonts w:ascii="Times New Roman" w:hAnsi="Times New Roman"/>
                <w:color w:val="000000"/>
                <w:sz w:val="16"/>
              </w:rPr>
              <w:t xml:space="preserve">Cumplido</w:t>
            </w:r>
          </w:p>
        </w:tc>
        <w:tc>
          <w:tcPr>
            <w:tcW w:type="dxa" w:w="3776"/>
            <w:vAlign w:val="center"/>
            <w:tcMar>
              <w:top w:w="90" w:type="dxa"/>
              <w:start w:w="100" w:type="dxa"/>
              <w:bottom w:w="90" w:type="dxa"/>
              <w:end w:w="100" w:type="dxa"/>
            </w:tcMar>
            <w:shd w:fill="EAF2F8"/>
          </w:tcPr>
          <w:p>
            <w:pPr>
              <w:jc w:val="left"/>
            </w:pPr>
            <w:r>
              <w:rPr>
                <w:rFonts w:ascii="Times New Roman" w:hAnsi="Times New Roman"/>
                <w:color w:val="000000"/>
                <w:sz w:val="16"/>
              </w:rPr>
              <w:t xml:space="preserve">Aplicación funcional y reproducible. Cultivo y estación fijados en el caso piloto; Power BI o Tableau sustituidos de forma justificada; sin evaluación con usuarios.</w:t>
            </w:r>
          </w:p>
        </w:tc>
      </w:tr>
      <w:tr>
        <w:trPr>
          <w:cantSplit/>
        </w:trPr>
        <w:tc>
          <w:tcPr>
            <w:tcW w:type="dxa" w:w="2250"/>
            <w:vAlign w:val="center"/>
            <w:tcMar>
              <w:top w:w="90" w:type="dxa"/>
              <w:start w:w="100" w:type="dxa"/>
              <w:bottom w:w="90" w:type="dxa"/>
              <w:end w:w="100" w:type="dxa"/>
            </w:tcMar>
          </w:tcPr>
          <w:p>
            <w:pPr>
              <w:jc w:val="left"/>
            </w:pPr>
            <w:r>
              <w:rPr>
                <w:rFonts w:ascii="Times New Roman" w:hAnsi="Times New Roman"/>
                <w:color w:val="000000"/>
                <w:sz w:val="16"/>
              </w:rPr>
              <w:t xml:space="preserve">Evaluar el funcionamiento integral del sistema</w:t>
            </w:r>
          </w:p>
        </w:tc>
        <w:tc>
          <w:tcPr>
            <w:tcW w:type="dxa" w:w="2000"/>
            <w:vAlign w:val="center"/>
            <w:tcMar>
              <w:top w:w="90" w:type="dxa"/>
              <w:start w:w="100" w:type="dxa"/>
              <w:bottom w:w="90" w:type="dxa"/>
              <w:end w:w="100" w:type="dxa"/>
            </w:tcMar>
          </w:tcPr>
          <w:p>
            <w:pPr>
              <w:jc w:val="left"/>
            </w:pPr>
            <w:r>
              <w:rPr>
                <w:rFonts w:ascii="Times New Roman" w:hAnsi="Times New Roman"/>
                <w:color w:val="000000"/>
                <w:sz w:val="16"/>
              </w:rPr>
              <w:t xml:space="preserve">Apartado 5.3; validación, 13 escenarios y 55 pruebas automáticas</w:t>
            </w:r>
          </w:p>
        </w:tc>
        <w:tc>
          <w:tcPr>
            <w:tcW w:type="dxa" w:w="1000"/>
            <w:vAlign w:val="center"/>
            <w:tcMar>
              <w:top w:w="90" w:type="dxa"/>
              <w:start w:w="100" w:type="dxa"/>
              <w:bottom w:w="90" w:type="dxa"/>
              <w:end w:w="100" w:type="dxa"/>
            </w:tcMar>
          </w:tcPr>
          <w:p>
            <w:pPr>
              <w:jc w:val="center"/>
            </w:pPr>
            <w:r>
              <w:rPr>
                <w:rFonts w:ascii="Times New Roman" w:hAnsi="Times New Roman"/>
                <w:color w:val="000000"/>
                <w:sz w:val="16"/>
              </w:rPr>
              <w:t xml:space="preserve">Cumplido</w:t>
            </w:r>
          </w:p>
        </w:tc>
        <w:tc>
          <w:tcPr>
            <w:tcW w:type="dxa" w:w="3776"/>
            <w:vAlign w:val="center"/>
            <w:tcMar>
              <w:top w:w="90" w:type="dxa"/>
              <w:start w:w="100" w:type="dxa"/>
              <w:bottom w:w="90" w:type="dxa"/>
              <w:end w:w="100" w:type="dxa"/>
            </w:tcMar>
          </w:tcPr>
          <w:p>
            <w:pPr>
              <w:jc w:val="left"/>
            </w:pPr>
            <w:r>
              <w:rPr>
                <w:rFonts w:ascii="Times New Roman" w:hAnsi="Times New Roman"/>
                <w:color w:val="000000"/>
                <w:sz w:val="16"/>
              </w:rPr>
              <w:t xml:space="preserve">Comparación con la referencia SiAR y con la persistencia, error por horizonte, coherencia semanal y robustez. Validación técnica, no externa ni de campo.</w:t>
            </w:r>
          </w:p>
        </w:tc>
      </w:tr>
    </w:tbl>
    <w:p>
      <w:pPr>
        <w:spacing w:after="40"/>
      </w:pPr>
    </w:p>
    <w:p>
      <w:pPr>
        <w:spacing w:after="120"/>
      </w:pPr>
      <w:r>
        <w:t xml:space="preserve">El balance es de cuatro objetivos cumplidos y tres parciales, y los tres parciales comparten una misma causa. En ninguno de ellos la carencia es metodológica ni de implementación: lo que falta es información a escala de parcela o de recurso hídrico, como la disponibilidad real de agua, las propiedades del suelo o los riegos aplicados. El sistema está preparado para incorporarla, puesto que admite como entradas la eficiencia medida, la dotación y una ET0 prevista, pero no puede suplirla. Esta constatación ordena las líneas de mejora del apartado 6.3.</w:t>
      </w:r>
    </w:p>
    <w:p>
      <w:pPr>
        <w:pStyle w:val="Heading3"/>
        <w:keepNext/>
      </w:pPr>
      <w:r>
        <w:rPr>
          <w:rFonts w:ascii="Times New Roman" w:hAnsi="Times New Roman"/>
          <w:color w:val="000000"/>
          <w:sz w:val="24"/>
        </w:rPr>
        <w:t>6.1.2. Aportaciones del trabajo</w:t>
      </w:r>
    </w:p>
    <w:p>
      <w:pPr>
        <w:spacing w:after="120"/>
      </w:pPr>
      <w:r>
        <w:t xml:space="preserve">La aportación principal es un resultado empírico que no estaba previsto en el anteproyecto. Para anticipar la necesidad de riego de un cultivo con calendario definido, separar la estimación en sus dos componentes resulta más eficaz que aumentar la complejidad del modelo. Uno de ellos, la demanda atmosférica, es incierto pero evoluciona de forma gradual; el otro, el coeficiente de cultivo, cambia de forma brusca pero se conoce de antemano. La vía que multiplica la ET0 media de los siete días anteriores por el Kc del día objetivo reduce el MAE de la recomendación a un día frente a la persistencia en un 7 % en desarrollo y en un 25 % en la prueba, y el RMSE de desarrollo en un 18 %. La diferencia se amplía con la anticipación: a siete días, en el periodo de desarrollo, el error del sistema es de 0,48 mm frente a 0,87 mm de la persistencia, porque se mantiene prácticamente estable a lo largo del horizonte. Donde el método se distingue con más claridad es en los cambios de fase. El 1 de septiembre, cuando el Kc pasa de 1,00 a 0,30, la persistencia se desvía 3,52 mm y el sistema 0,01 mm.</w:t>
      </w:r>
    </w:p>
    <w:p>
      <w:pPr>
        <w:spacing w:after="120"/>
      </w:pPr>
      <w:r>
        <w:t xml:space="preserve">La segunda aportación es un resultado negativo bien acotado. Seis enfoques, desde la persistencia hasta XGBoost, se compararon con las mismas variables, los mismos cortes temporales y una prueba reservada que no intervino en la selección, y ninguno de los cinco algoritmos de aprendizaje superó de forma estable a la referencia más simple. Este resultado no resta valor al trabajo. Es coherente con lo expuesto en el apartado 2.2: con un único ciclo de 148 observaciones y una necesidad neta dominada por el calendario del cultivo (su correlación con el Kc es de 0,93), la complejidad añadida no encuentra señal que aprender. Su fiabilidad descansa en dos decisiones documentadas. La primera fue excluir la ET0, la ETc y la precipitación efectiva del mismo día, que habrían permitido reconstruir el objetivo de forma algebraica y producir métricas aparentemente excelentes. La segunda, seleccionar el enfoque antes de consultar la prueba final. Leídos conjuntamente, los capítulos 4 y 5 respaldan el planteamiento híbrido del apartado 2.3: con pocos datos, el conocimiento agronómico explícito aporta más que el algoritmo, y el aprendizaje automático encuentra su lugar como corrección de una referencia física, no como sustituto de ella.</w:t>
      </w:r>
    </w:p>
    <w:p>
      <w:pPr>
        <w:spacing w:after="120"/>
      </w:pPr>
      <w:r>
        <w:t xml:space="preserve">La tercera aportación es de diseño. El motor convierte la incertidumbre en parte de la salida en lugar de ocultarla. Cada recomendación indica el método que la produjo, las reglas aplicadas, el último dato observado, un nivel de confianza y el error esperado para su día del horizonte, y el sistema prefiere no emitir una dosis antes que ofrecer una cifra sin fundamento. Ninguna ausencia se convierte en cero y ninguna dosis resulta negativa. Las pruebas automáticas verifican, además, que la planificación no cambia cuando se alteran los datos posteriores a la fecha de emisión, que es la garantía formal de que el sistema no utiliza información futura.</w:t>
      </w:r>
    </w:p>
    <w:p>
      <w:pPr>
        <w:spacing w:after="120"/>
      </w:pPr>
      <w:r>
        <w:t xml:space="preserve">La cuarta aportación es la reproducibilidad. Todas las cifras, tablas y figuras de los capítulos 4 y 5 se regeneran con un comando desde el repositorio, las cincuenta y cinco pruebas automáticas se superan en un entorno limpio y el sistema de recomendación puede ejecutarse sin credenciales a partir del CSV oficial versionado. La correspondencia entre la memoria y el código no es, por tanto, una declaración, sino algo que cualquier lector puede comprobar.</w:t>
      </w:r>
    </w:p>
    <w:p>
      <w:pPr>
        <w:pStyle w:val="Heading2"/>
      </w:pPr>
      <w:r>
        <w:t>6.2. Limitaciones e impacto del proyecto</w:t>
      </w:r>
    </w:p>
    <w:p>
      <w:pPr>
        <w:pStyle w:val="Heading3"/>
        <w:keepNext/>
      </w:pPr>
      <w:r>
        <w:rPr>
          <w:rFonts w:ascii="Times New Roman" w:hAnsi="Times New Roman"/>
          <w:color w:val="000000"/>
          <w:sz w:val="24"/>
        </w:rPr>
        <w:t>6.2.1. Limitaciones y alcance de las conclusiones</w:t>
      </w:r>
    </w:p>
    <w:p>
      <w:pPr>
        <w:spacing w:after="120"/>
      </w:pPr>
      <w:r>
        <w:t xml:space="preserve">Las limitaciones del piloto se han señalado a lo largo de los capítulos anteriores. Reunidas, permiten delimitar qué conclusiones son válidas y cuáles no pueden extraerse todavía. Se agrupan a continuación en cinco tipos, según la validez que comprometen, y la Tabla 6.2 relaciona cada una con la afirmación que impide y con la línea de mejora que la aborda.</w:t>
      </w:r>
    </w:p>
    <w:p>
      <w:pPr>
        <w:spacing w:after="120"/>
      </w:pPr>
      <w:r>
        <w:t xml:space="preserve">La limitación más importante es de validez de constructo. La variable objetivo y la referencia de toda la evaluación es la necesidad neta calculada por SiAR, que aplica la metodología FAO-56 a las condiciones de una estación y a un calendario de cultivo estándar (Allen et al., 1998). Un error pequeño frente a ella demuestra que el sistema reproduce y anticipa bien un cálculo oficial, no que la dosis sea la adecuada para una parcela concreta, cuyo suelo, cubierta, marco de plantación y estado del cultivo pueden diferir de los supuestos de la estación.</w:t>
      </w:r>
    </w:p>
    <w:p>
      <w:pPr>
        <w:spacing w:after="120"/>
      </w:pPr>
      <w:r>
        <w:t xml:space="preserve">La segunda es de validez externa. Todo se ha evaluado con una estación, un cultivo y una campaña. El calendario del pimiento, con saltos bruscos del Kc entre fases, favorece precisamente al método propuesto, cuya ventaja sería menor en un cultivo con un coeficiente que varíe de forma gradual. El tramo de prueba, septiembre, es además atípico: sus necesidades rondan 1 mm diario, por lo que sus errores absolutos son poco representativos del verano.</w:t>
      </w:r>
    </w:p>
    <w:p>
      <w:pPr>
        <w:spacing w:after="120"/>
      </w:pPr>
      <w:r>
        <w:t xml:space="preserve">La tercera afecta a la capacidad predictiva. El sistema no dispone de una ET0 prevista contrastada. AEMET está integrado y normalizado, pero sus predicciones no coinciden temporalmente con la campaña de 2025, y sin un histórico de emisiones no es posible calibrar ni evaluar una ET0 futura sin incurrir en fuga de información. En consecuencia, a partir del cuarto día del horizonte la recomendación depende de que el tiempo se mantenga, y en la prueba el sistema llega a perder frente a la persistencia en el séptimo día. Tampoco descuenta la lluvia prevista. Es una decisión prudente en un clima con 2,51 mm de precipitación efectiva en toda la campaña, pero en zonas más lluviosas trasladaría al usuario un número mayor de avisos que resolver.</w:t>
      </w:r>
    </w:p>
    <w:p>
      <w:pPr>
        <w:spacing w:after="120"/>
      </w:pPr>
      <w:r>
        <w:t xml:space="preserve">La cuarta es funcional. El sistema decide cuánto regar, pero no cuándo, porque sin balance hídrico del suelo trata todas las necesidades como diarias. La restricción de agua se aplica mediante una reducción proporcional, que no reparte el déficit según la sensibilidad de cada fase del cultivo (Fereres &amp; Soriano, 2007). La aplicación, por su parte, trabaja con un caso fijo, no conserva un histórico de consultas y no se ha probado con agricultores ni técnicos.</w:t>
      </w:r>
    </w:p>
    <w:p>
      <w:pPr>
        <w:spacing w:after="120"/>
      </w:pPr>
      <w:r>
        <w:t xml:space="preserve">La quinta es de arquitectura y supone una desviación respecto al anteproyecto. MySQL, Apache Hop, Docker y PySpark no se han implementado, y el cuadro de mando en Power BI o Tableau se ha sustituido por una aplicación en Streamlit. Las razones se exponen en los apartados 3.2.2 y 5.2.1 y son defendibles para el volumen del piloto, pero deben declararse como lo que son: el prototipo demuestra el flujo de datos y de decisión, no una plataforma desplegable.</w:t>
      </w:r>
    </w:p>
    <w:p>
      <w:pPr>
        <w:keepNext/>
        <w:spacing w:after="120"/>
      </w:pPr>
      <w:r>
        <w:rPr>
          <w:b/>
        </w:rPr>
        <w:t>Tabla 6.2. Limitaciones del piloto, alcance de las conclusiones y línea de mejora asociada.</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00"/>
        <w:gridCol w:w="3526"/>
        <w:gridCol w:w="2300"/>
      </w:tblGrid>
      <w:tr>
        <w:trPr>
          <w:tblHeader w:val="true"/>
          <w:cantSplit/>
        </w:trPr>
        <w:tc>
          <w:tcPr>
            <w:tcW w:type="dxa" w:w="3200"/>
            <w:vAlign w:val="center"/>
            <w:tcMar>
              <w:top w:w="90" w:type="dxa"/>
              <w:start w:w="100" w:type="dxa"/>
              <w:bottom w:w="90" w:type="dxa"/>
              <w:end w:w="100" w:type="dxa"/>
            </w:tcMar>
            <w:shd w:fill="1F4E78"/>
          </w:tcPr>
          <w:p>
            <w:pPr>
              <w:jc w:val="left"/>
            </w:pPr>
            <w:r>
              <w:rPr>
                <w:rFonts w:ascii="Times New Roman" w:hAnsi="Times New Roman"/>
                <w:b/>
                <w:color w:val="FFFFFF"/>
                <w:sz w:val="16"/>
              </w:rPr>
              <w:t xml:space="preserve">Limitación</w:t>
            </w:r>
          </w:p>
        </w:tc>
        <w:tc>
          <w:tcPr>
            <w:tcW w:type="dxa" w:w="3526"/>
            <w:vAlign w:val="center"/>
            <w:tcMar>
              <w:top w:w="90" w:type="dxa"/>
              <w:start w:w="100" w:type="dxa"/>
              <w:bottom w:w="90" w:type="dxa"/>
              <w:end w:w="100" w:type="dxa"/>
            </w:tcMar>
            <w:shd w:fill="1F4E78"/>
          </w:tcPr>
          <w:p>
            <w:pPr>
              <w:jc w:val="left"/>
            </w:pPr>
            <w:r>
              <w:rPr>
                <w:rFonts w:ascii="Times New Roman" w:hAnsi="Times New Roman"/>
                <w:b/>
                <w:color w:val="FFFFFF"/>
                <w:sz w:val="16"/>
              </w:rPr>
              <w:t xml:space="preserve">Qué no puede afirmarse todavía</w:t>
            </w:r>
          </w:p>
        </w:tc>
        <w:tc>
          <w:tcPr>
            <w:tcW w:type="dxa" w:w="2300"/>
            <w:vAlign w:val="center"/>
            <w:tcMar>
              <w:top w:w="90" w:type="dxa"/>
              <w:start w:w="100" w:type="dxa"/>
              <w:bottom w:w="90" w:type="dxa"/>
              <w:end w:w="100" w:type="dxa"/>
            </w:tcMar>
            <w:shd w:fill="1F4E78"/>
          </w:tcPr>
          <w:p>
            <w:pPr>
              <w:jc w:val="left"/>
            </w:pPr>
            <w:r>
              <w:rPr>
                <w:rFonts w:ascii="Times New Roman" w:hAnsi="Times New Roman"/>
                <w:b/>
                <w:color w:val="FFFFFF"/>
                <w:sz w:val="16"/>
              </w:rPr>
              <w:t xml:space="preserve">Línea de mejora</w:t>
            </w:r>
          </w:p>
        </w:tc>
      </w:tr>
      <w:tr>
        <w:trPr>
          <w:cantSplit/>
        </w:trPr>
        <w:tc>
          <w:tcPr>
            <w:tcW w:type="dxa" w:w="3200"/>
            <w:vAlign w:val="center"/>
            <w:tcMar>
              <w:top w:w="90" w:type="dxa"/>
              <w:start w:w="100" w:type="dxa"/>
              <w:bottom w:w="90" w:type="dxa"/>
              <w:end w:w="100" w:type="dxa"/>
            </w:tcMar>
          </w:tcPr>
          <w:p>
            <w:pPr>
              <w:jc w:val="left"/>
            </w:pPr>
            <w:r>
              <w:rPr>
                <w:rFonts w:ascii="Times New Roman" w:hAnsi="Times New Roman"/>
                <w:color w:val="000000"/>
                <w:sz w:val="16"/>
              </w:rPr>
              <w:t xml:space="preserve">Referencia calculada por SiAR, sin riego aplicado ni respuesta del cultivo</w:t>
            </w:r>
          </w:p>
        </w:tc>
        <w:tc>
          <w:tcPr>
            <w:tcW w:type="dxa" w:w="3526"/>
            <w:vAlign w:val="center"/>
            <w:tcMar>
              <w:top w:w="90" w:type="dxa"/>
              <w:start w:w="100" w:type="dxa"/>
              <w:bottom w:w="90" w:type="dxa"/>
              <w:end w:w="100" w:type="dxa"/>
            </w:tcMar>
          </w:tcPr>
          <w:p>
            <w:pPr>
              <w:jc w:val="left"/>
            </w:pPr>
            <w:r>
              <w:rPr>
                <w:rFonts w:ascii="Times New Roman" w:hAnsi="Times New Roman"/>
                <w:color w:val="000000"/>
                <w:sz w:val="16"/>
              </w:rPr>
              <w:t xml:space="preserve">Que las dosis sean óptimas para una parcela ni que reduzcan el consumo de agua</w:t>
            </w:r>
          </w:p>
        </w:tc>
        <w:tc>
          <w:tcPr>
            <w:tcW w:type="dxa" w:w="2300"/>
            <w:vAlign w:val="center"/>
            <w:tcMar>
              <w:top w:w="90" w:type="dxa"/>
              <w:start w:w="100" w:type="dxa"/>
              <w:bottom w:w="90" w:type="dxa"/>
              <w:end w:w="100" w:type="dxa"/>
            </w:tcMar>
          </w:tcPr>
          <w:p>
            <w:pPr>
              <w:jc w:val="left"/>
            </w:pPr>
            <w:r>
              <w:rPr>
                <w:rFonts w:ascii="Times New Roman" w:hAnsi="Times New Roman"/>
                <w:color w:val="000000"/>
                <w:sz w:val="16"/>
              </w:rPr>
              <w:t xml:space="preserve">Validación en campo (6.3.3)</w:t>
            </w:r>
          </w:p>
        </w:tc>
      </w:tr>
      <w:tr>
        <w:trPr>
          <w:cantSplit/>
        </w:trPr>
        <w:tc>
          <w:tcPr>
            <w:tcW w:type="dxa" w:w="3200"/>
            <w:vAlign w:val="center"/>
            <w:tcMar>
              <w:top w:w="90" w:type="dxa"/>
              <w:start w:w="100" w:type="dxa"/>
              <w:bottom w:w="90" w:type="dxa"/>
              <w:end w:w="100" w:type="dxa"/>
            </w:tcMar>
            <w:shd w:fill="EAF2F8"/>
          </w:tcPr>
          <w:p>
            <w:pPr>
              <w:jc w:val="left"/>
            </w:pPr>
            <w:r>
              <w:rPr>
                <w:rFonts w:ascii="Times New Roman" w:hAnsi="Times New Roman"/>
                <w:color w:val="000000"/>
                <w:sz w:val="16"/>
              </w:rPr>
              <w:t xml:space="preserve">Una estación, un cultivo y una campaña</w:t>
            </w:r>
          </w:p>
        </w:tc>
        <w:tc>
          <w:tcPr>
            <w:tcW w:type="dxa" w:w="3526"/>
            <w:vAlign w:val="center"/>
            <w:tcMar>
              <w:top w:w="90" w:type="dxa"/>
              <w:start w:w="100" w:type="dxa"/>
              <w:bottom w:w="90" w:type="dxa"/>
              <w:end w:w="100" w:type="dxa"/>
            </w:tcMar>
            <w:shd w:fill="EAF2F8"/>
          </w:tcPr>
          <w:p>
            <w:pPr>
              <w:jc w:val="left"/>
            </w:pPr>
            <w:r>
              <w:rPr>
                <w:rFonts w:ascii="Times New Roman" w:hAnsi="Times New Roman"/>
                <w:color w:val="000000"/>
                <w:sz w:val="16"/>
              </w:rPr>
              <w:t xml:space="preserve">Que los resultados se generalicen a otras zonas, cultivos o años</w:t>
            </w:r>
          </w:p>
        </w:tc>
        <w:tc>
          <w:tcPr>
            <w:tcW w:type="dxa" w:w="2300"/>
            <w:vAlign w:val="center"/>
            <w:tcMar>
              <w:top w:w="90" w:type="dxa"/>
              <w:start w:w="100" w:type="dxa"/>
              <w:bottom w:w="90" w:type="dxa"/>
              <w:end w:w="100" w:type="dxa"/>
            </w:tcMar>
            <w:shd w:fill="EAF2F8"/>
          </w:tcPr>
          <w:p>
            <w:pPr>
              <w:jc w:val="left"/>
            </w:pPr>
            <w:r>
              <w:rPr>
                <w:rFonts w:ascii="Times New Roman" w:hAnsi="Times New Roman"/>
                <w:color w:val="000000"/>
                <w:sz w:val="16"/>
              </w:rPr>
              <w:t xml:space="preserve">Ampliación de la evidencia (6.3.1)</w:t>
            </w:r>
          </w:p>
        </w:tc>
      </w:tr>
      <w:tr>
        <w:trPr>
          <w:cantSplit/>
        </w:trPr>
        <w:tc>
          <w:tcPr>
            <w:tcW w:type="dxa" w:w="3200"/>
            <w:vAlign w:val="center"/>
            <w:tcMar>
              <w:top w:w="90" w:type="dxa"/>
              <w:start w:w="100" w:type="dxa"/>
              <w:bottom w:w="90" w:type="dxa"/>
              <w:end w:w="100" w:type="dxa"/>
            </w:tcMar>
          </w:tcPr>
          <w:p>
            <w:pPr>
              <w:jc w:val="left"/>
            </w:pPr>
            <w:r>
              <w:rPr>
                <w:rFonts w:ascii="Times New Roman" w:hAnsi="Times New Roman"/>
                <w:color w:val="000000"/>
                <w:sz w:val="16"/>
              </w:rPr>
              <w:t xml:space="preserve">Sin ET0 prevista ni histórico de predicciones</w:t>
            </w:r>
          </w:p>
        </w:tc>
        <w:tc>
          <w:tcPr>
            <w:tcW w:type="dxa" w:w="3526"/>
            <w:vAlign w:val="center"/>
            <w:tcMar>
              <w:top w:w="90" w:type="dxa"/>
              <w:start w:w="100" w:type="dxa"/>
              <w:bottom w:w="90" w:type="dxa"/>
              <w:end w:w="100" w:type="dxa"/>
            </w:tcMar>
          </w:tcPr>
          <w:p>
            <w:pPr>
              <w:jc w:val="left"/>
            </w:pPr>
            <w:r>
              <w:rPr>
                <w:rFonts w:ascii="Times New Roman" w:hAnsi="Times New Roman"/>
                <w:color w:val="000000"/>
                <w:sz w:val="16"/>
              </w:rPr>
              <w:t xml:space="preserve">Que el sistema anticipe cambios de tiempo en los horizontes largos</w:t>
            </w:r>
          </w:p>
        </w:tc>
        <w:tc>
          <w:tcPr>
            <w:tcW w:type="dxa" w:w="2300"/>
            <w:vAlign w:val="center"/>
            <w:tcMar>
              <w:top w:w="90" w:type="dxa"/>
              <w:start w:w="100" w:type="dxa"/>
              <w:bottom w:w="90" w:type="dxa"/>
              <w:end w:w="100" w:type="dxa"/>
            </w:tcMar>
          </w:tcPr>
          <w:p>
            <w:pPr>
              <w:jc w:val="left"/>
            </w:pPr>
            <w:r>
              <w:rPr>
                <w:rFonts w:ascii="Times New Roman" w:hAnsi="Times New Roman"/>
                <w:color w:val="000000"/>
                <w:sz w:val="16"/>
              </w:rPr>
              <w:t xml:space="preserve">ET0 prevista (6.3.2)</w:t>
            </w:r>
          </w:p>
        </w:tc>
      </w:tr>
      <w:tr>
        <w:trPr>
          <w:cantSplit/>
        </w:trPr>
        <w:tc>
          <w:tcPr>
            <w:tcW w:type="dxa" w:w="3200"/>
            <w:vAlign w:val="center"/>
            <w:tcMar>
              <w:top w:w="90" w:type="dxa"/>
              <w:start w:w="100" w:type="dxa"/>
              <w:bottom w:w="90" w:type="dxa"/>
              <w:end w:w="100" w:type="dxa"/>
            </w:tcMar>
            <w:shd w:fill="EAF2F8"/>
          </w:tcPr>
          <w:p>
            <w:pPr>
              <w:jc w:val="left"/>
            </w:pPr>
            <w:r>
              <w:rPr>
                <w:rFonts w:ascii="Times New Roman" w:hAnsi="Times New Roman"/>
                <w:color w:val="000000"/>
                <w:sz w:val="16"/>
              </w:rPr>
              <w:t xml:space="preserve">Sin balance hídrico del suelo</w:t>
            </w:r>
          </w:p>
        </w:tc>
        <w:tc>
          <w:tcPr>
            <w:tcW w:type="dxa" w:w="3526"/>
            <w:vAlign w:val="center"/>
            <w:tcMar>
              <w:top w:w="90" w:type="dxa"/>
              <w:start w:w="100" w:type="dxa"/>
              <w:bottom w:w="90" w:type="dxa"/>
              <w:end w:w="100" w:type="dxa"/>
            </w:tcMar>
            <w:shd w:fill="EAF2F8"/>
          </w:tcPr>
          <w:p>
            <w:pPr>
              <w:jc w:val="left"/>
            </w:pPr>
            <w:r>
              <w:rPr>
                <w:rFonts w:ascii="Times New Roman" w:hAnsi="Times New Roman"/>
                <w:color w:val="000000"/>
                <w:sz w:val="16"/>
              </w:rPr>
              <w:t xml:space="preserve">Que el sistema determine el momento adecuado del riego</w:t>
            </w:r>
          </w:p>
        </w:tc>
        <w:tc>
          <w:tcPr>
            <w:tcW w:type="dxa" w:w="2300"/>
            <w:vAlign w:val="center"/>
            <w:tcMar>
              <w:top w:w="90" w:type="dxa"/>
              <w:start w:w="100" w:type="dxa"/>
              <w:bottom w:w="90" w:type="dxa"/>
              <w:end w:w="100" w:type="dxa"/>
            </w:tcMar>
            <w:shd w:fill="EAF2F8"/>
          </w:tcPr>
          <w:p>
            <w:pPr>
              <w:jc w:val="left"/>
            </w:pPr>
            <w:r>
              <w:rPr>
                <w:rFonts w:ascii="Times New Roman" w:hAnsi="Times New Roman"/>
                <w:color w:val="000000"/>
                <w:sz w:val="16"/>
              </w:rPr>
              <w:t xml:space="preserve">Balance hídrico y riego deficitario (6.3.2)</w:t>
            </w:r>
          </w:p>
        </w:tc>
      </w:tr>
      <w:tr>
        <w:trPr>
          <w:cantSplit/>
        </w:trPr>
        <w:tc>
          <w:tcPr>
            <w:tcW w:type="dxa" w:w="3200"/>
            <w:vAlign w:val="center"/>
            <w:tcMar>
              <w:top w:w="90" w:type="dxa"/>
              <w:start w:w="100" w:type="dxa"/>
              <w:bottom w:w="90" w:type="dxa"/>
              <w:end w:w="100" w:type="dxa"/>
            </w:tcMar>
          </w:tcPr>
          <w:p>
            <w:pPr>
              <w:jc w:val="left"/>
            </w:pPr>
            <w:r>
              <w:rPr>
                <w:rFonts w:ascii="Times New Roman" w:hAnsi="Times New Roman"/>
                <w:color w:val="000000"/>
                <w:sz w:val="16"/>
              </w:rPr>
              <w:t xml:space="preserve">Restricción hídrica introducida como dotación del usuario</w:t>
            </w:r>
          </w:p>
        </w:tc>
        <w:tc>
          <w:tcPr>
            <w:tcW w:type="dxa" w:w="3526"/>
            <w:vAlign w:val="center"/>
            <w:tcMar>
              <w:top w:w="90" w:type="dxa"/>
              <w:start w:w="100" w:type="dxa"/>
              <w:bottom w:w="90" w:type="dxa"/>
              <w:end w:w="100" w:type="dxa"/>
            </w:tcMar>
          </w:tcPr>
          <w:p>
            <w:pPr>
              <w:jc w:val="left"/>
            </w:pPr>
            <w:r>
              <w:rPr>
                <w:rFonts w:ascii="Times New Roman" w:hAnsi="Times New Roman"/>
                <w:color w:val="000000"/>
                <w:sz w:val="16"/>
              </w:rPr>
              <w:t xml:space="preserve">Que la recomendación refleje la disponibilidad oficial de agua</w:t>
            </w:r>
          </w:p>
        </w:tc>
        <w:tc>
          <w:tcPr>
            <w:tcW w:type="dxa" w:w="2300"/>
            <w:vAlign w:val="center"/>
            <w:tcMar>
              <w:top w:w="90" w:type="dxa"/>
              <w:start w:w="100" w:type="dxa"/>
              <w:bottom w:w="90" w:type="dxa"/>
              <w:end w:w="100" w:type="dxa"/>
            </w:tcMar>
          </w:tcPr>
          <w:p>
            <w:pPr>
              <w:jc w:val="left"/>
            </w:pPr>
            <w:r>
              <w:rPr>
                <w:rFonts w:ascii="Times New Roman" w:hAnsi="Times New Roman"/>
                <w:color w:val="000000"/>
                <w:sz w:val="16"/>
              </w:rPr>
              <w:t xml:space="preserve">Indicadores hidrológicos (6.3.4)</w:t>
            </w:r>
          </w:p>
        </w:tc>
      </w:tr>
      <w:tr>
        <w:trPr>
          <w:cantSplit/>
        </w:trPr>
        <w:tc>
          <w:tcPr>
            <w:tcW w:type="dxa" w:w="3200"/>
            <w:vAlign w:val="center"/>
            <w:tcMar>
              <w:top w:w="90" w:type="dxa"/>
              <w:start w:w="100" w:type="dxa"/>
              <w:bottom w:w="90" w:type="dxa"/>
              <w:end w:w="100" w:type="dxa"/>
            </w:tcMar>
            <w:shd w:fill="EAF2F8"/>
          </w:tcPr>
          <w:p>
            <w:pPr>
              <w:jc w:val="left"/>
            </w:pPr>
            <w:r>
              <w:rPr>
                <w:rFonts w:ascii="Times New Roman" w:hAnsi="Times New Roman"/>
                <w:color w:val="000000"/>
                <w:sz w:val="16"/>
              </w:rPr>
              <w:t xml:space="preserve">Interfaz sin evaluación con usuarios</w:t>
            </w:r>
          </w:p>
        </w:tc>
        <w:tc>
          <w:tcPr>
            <w:tcW w:type="dxa" w:w="3526"/>
            <w:vAlign w:val="center"/>
            <w:tcMar>
              <w:top w:w="90" w:type="dxa"/>
              <w:start w:w="100" w:type="dxa"/>
              <w:bottom w:w="90" w:type="dxa"/>
              <w:end w:w="100" w:type="dxa"/>
            </w:tcMar>
            <w:shd w:fill="EAF2F8"/>
          </w:tcPr>
          <w:p>
            <w:pPr>
              <w:jc w:val="left"/>
            </w:pPr>
            <w:r>
              <w:rPr>
                <w:rFonts w:ascii="Times New Roman" w:hAnsi="Times New Roman"/>
                <w:color w:val="000000"/>
                <w:sz w:val="16"/>
              </w:rPr>
              <w:t xml:space="preserve">Que las recomendaciones se comprendan y se adopten</w:t>
            </w:r>
          </w:p>
        </w:tc>
        <w:tc>
          <w:tcPr>
            <w:tcW w:type="dxa" w:w="2300"/>
            <w:vAlign w:val="center"/>
            <w:tcMar>
              <w:top w:w="90" w:type="dxa"/>
              <w:start w:w="100" w:type="dxa"/>
              <w:bottom w:w="90" w:type="dxa"/>
              <w:end w:w="100" w:type="dxa"/>
            </w:tcMar>
            <w:shd w:fill="EAF2F8"/>
          </w:tcPr>
          <w:p>
            <w:pPr>
              <w:jc w:val="left"/>
            </w:pPr>
            <w:r>
              <w:rPr>
                <w:rFonts w:ascii="Times New Roman" w:hAnsi="Times New Roman"/>
                <w:color w:val="000000"/>
                <w:sz w:val="16"/>
              </w:rPr>
              <w:t xml:space="preserve">Evaluación con usuarios (6.3.3)</w:t>
            </w:r>
          </w:p>
        </w:tc>
      </w:tr>
      <w:tr>
        <w:trPr>
          <w:cantSplit/>
        </w:trPr>
        <w:tc>
          <w:tcPr>
            <w:tcW w:type="dxa" w:w="3200"/>
            <w:vAlign w:val="center"/>
            <w:tcMar>
              <w:top w:w="90" w:type="dxa"/>
              <w:start w:w="100" w:type="dxa"/>
              <w:bottom w:w="90" w:type="dxa"/>
              <w:end w:w="100" w:type="dxa"/>
            </w:tcMar>
          </w:tcPr>
          <w:p>
            <w:pPr>
              <w:jc w:val="left"/>
            </w:pPr>
            <w:r>
              <w:rPr>
                <w:rFonts w:ascii="Times New Roman" w:hAnsi="Times New Roman"/>
                <w:color w:val="000000"/>
                <w:sz w:val="16"/>
              </w:rPr>
              <w:t xml:space="preserve">Arquitectura objetivo no implementada</w:t>
            </w:r>
          </w:p>
        </w:tc>
        <w:tc>
          <w:tcPr>
            <w:tcW w:type="dxa" w:w="3526"/>
            <w:vAlign w:val="center"/>
            <w:tcMar>
              <w:top w:w="90" w:type="dxa"/>
              <w:start w:w="100" w:type="dxa"/>
              <w:bottom w:w="90" w:type="dxa"/>
              <w:end w:w="100" w:type="dxa"/>
            </w:tcMar>
          </w:tcPr>
          <w:p>
            <w:pPr>
              <w:jc w:val="left"/>
            </w:pPr>
            <w:r>
              <w:rPr>
                <w:rFonts w:ascii="Times New Roman" w:hAnsi="Times New Roman"/>
                <w:color w:val="000000"/>
                <w:sz w:val="16"/>
              </w:rPr>
              <w:t xml:space="preserve">Que el prototipo pueda operar de forma continua</w:t>
            </w:r>
          </w:p>
        </w:tc>
        <w:tc>
          <w:tcPr>
            <w:tcW w:type="dxa" w:w="2300"/>
            <w:vAlign w:val="center"/>
            <w:tcMar>
              <w:top w:w="90" w:type="dxa"/>
              <w:start w:w="100" w:type="dxa"/>
              <w:bottom w:w="90" w:type="dxa"/>
              <w:end w:w="100" w:type="dxa"/>
            </w:tcMar>
          </w:tcPr>
          <w:p>
            <w:pPr>
              <w:jc w:val="left"/>
            </w:pPr>
            <w:r>
              <w:rPr>
                <w:rFonts w:ascii="Times New Roman" w:hAnsi="Times New Roman"/>
                <w:color w:val="000000"/>
                <w:sz w:val="16"/>
              </w:rPr>
              <w:t xml:space="preserve">Evolución de la plataforma (6.3.4)</w:t>
            </w:r>
          </w:p>
        </w:tc>
      </w:tr>
    </w:tbl>
    <w:p>
      <w:pPr>
        <w:spacing w:after="40"/>
      </w:pPr>
    </w:p>
    <w:p>
      <w:pPr>
        <w:pStyle w:val="Heading3"/>
        <w:keepNext/>
      </w:pPr>
      <w:r>
        <w:rPr>
          <w:rFonts w:ascii="Times New Roman" w:hAnsi="Times New Roman"/>
          <w:color w:val="000000"/>
          <w:sz w:val="24"/>
        </w:rPr>
        <w:t>6.2.2. Impacto del proyecto</w:t>
      </w:r>
    </w:p>
    <w:p>
      <w:pPr>
        <w:spacing w:after="120"/>
      </w:pPr>
      <w:r>
        <w:t xml:space="preserve">El impacto debe valorarse con la misma prudencia. El trabajo no ha demostrado ahorro de agua, y no podía hacerlo con el diseño adoptado. Conviene recordar, además, que una dosis menor en parcela no equivale necesariamente a un ahorro neto a escala de cuenca, porque parte de las pérdidas retorna al sistema hidrológico (Perry, 2007). Con esa salvedad, el proyecto tiene tres impactos verificables y uno potencial.</w:t>
      </w:r>
    </w:p>
    <w:p>
      <w:pPr>
        <w:spacing w:after="120"/>
      </w:pPr>
      <w:r>
        <w:t xml:space="preserve">El primero es operativo. El sistema transforma datos públicos y gratuitos en una dosis diaria y semanal expresada en milímetros y en metros cúbicos por parcela, acompañada de su explicación y sin necesidad de sensores. Su valor práctico se concentra en los cambios de fase. En la semana analizada en el apartado 5.2.3, la persistencia habría planificado 6,77 mm menos de los que necesitó el cultivo, un 18 % de la referencia, justo al entrar en una fase de mayor demanda; el sistema se desvió un 4,9 %. Es el tipo de error que un calendario fijo o la repetición de la última dosis no ponen de manifiesto y que se traduce en un déficit hídrico precisamente cuando la demanda aumenta.</w:t>
      </w:r>
    </w:p>
    <w:p>
      <w:pPr>
        <w:spacing w:after="120"/>
      </w:pPr>
      <w:r>
        <w:t xml:space="preserve">El segundo es un hallazgo que reordena las prioridades de mejora. El análisis de sensibilidad mostró que un error de diez puntos en la eficiencia de la instalación produce una desviación de alrededor del 12 % en la dosis bruta, muy superior al error de estimación de la necesidad neta medido en este trabajo. Para una explotación, caracterizar la eficiencia y la uniformidad de su instalación aportaría más precisión que refinar el modelo de ET0 (Burt et al., 1997). La observación es pertinente también para las políticas de digitalización del regadío (Real Decreto 854/2022, 2022): una herramienta digital solo convierte su precisión en ahorro si conoce la instalación sobre la que se aplica.</w:t>
      </w:r>
    </w:p>
    <w:p>
      <w:pPr>
        <w:spacing w:after="120"/>
      </w:pPr>
      <w:r>
        <w:t xml:space="preserve">El tercero es metodológico. El repositorio constituye una plantilla reutilizable para otros cultivos y estaciones, porque la configuración del caso, la ETL y el motor están desacoplados. Además, documenta con evidencias reproducibles una advertencia que la literatura formula en términos generales: la elección del algoritmo depende del tamaño y la estructura de los datos, y los modelos complejos deben contrastarse con líneas base sencillas antes de adoptarse (Benos et al., 2021; Liakos et al., 2018).</w:t>
      </w:r>
    </w:p>
    <w:p>
      <w:pPr>
        <w:spacing w:after="120"/>
      </w:pPr>
      <w:r>
        <w:t xml:space="preserve">El impacto potencial depende de la adopción. La trayectoria de los sistemas de apoyo a la decisión agrícola muestra que muchas herramientas técnicamente correctas no llegan a utilizarse (McCown, 2002), y que la confianza, la facilidad de uso y la relevancia percibida condicionan su adopción (Rose et al., 2016). El prototipo responde a esas condiciones con explicaciones en lenguaje llano, avisos visibles y un formato numérico adaptado al usuario español, pero mientras no se evalúe con usuarios reales su efecto sobre la toma de decisiones sigue siendo una hipótesis.</w:t>
      </w:r>
    </w:p>
    <w:p>
      <w:pPr>
        <w:pStyle w:val="Heading2"/>
      </w:pPr>
      <w:r>
        <w:t>6.3. Mejoras y líneas futuras</w:t>
      </w:r>
    </w:p>
    <w:p>
      <w:pPr>
        <w:spacing w:after="120"/>
      </w:pPr>
      <w:r>
        <w:t xml:space="preserve">Las líneas de mejora se presentan en el orden en que deberían abordarse, porque cada una condiciona la validez de la siguiente. No tendría sentido, por ejemplo, entrenar modelos más complejos antes de ampliar los datos, ni medir ahorros antes de disponer de registros de riego. Este orden es coherente con la conclusión del apartado 4.3: la principal limitación del proyecto es la cobertura de los datos, no la falta de algoritmos.</w:t>
      </w:r>
    </w:p>
    <w:p>
      <w:pPr>
        <w:pStyle w:val="Heading3"/>
        <w:keepNext/>
      </w:pPr>
      <w:r>
        <w:rPr>
          <w:rFonts w:ascii="Times New Roman" w:hAnsi="Times New Roman"/>
          <w:color w:val="000000"/>
          <w:sz w:val="24"/>
        </w:rPr>
        <w:t>6.3.1. Ampliación de la evidencia</w:t>
      </w:r>
    </w:p>
    <w:p>
      <w:pPr>
        <w:spacing w:after="120"/>
      </w:pPr>
      <w:r>
        <w:t xml:space="preserve">La primera mejora consiste en ampliar el conjunto con varias campañas, otras estaciones de Almería y, después, otros cultivos. La ETL ya está parametrizada por estación, cultivo y periodo, de modo que el coste principal es la descarga, sujeta a las cuotas de SiAR, y la revisión de calidad. Con varias campañas podrá validarse por bloques completos, reservando campañas y estaciones enteras para medir la generalización temporal y espacial sin estimaciones optimistas del error (Roberts et al., 2017). Esta ampliación permitirá comprobar si la ventaja de la vía ET0 × Kc se mantiene en cultivos con un coeficiente de variación gradual y repetir con más datos la comparación de los seis enfoques del capítulo 4.</w:t>
      </w:r>
    </w:p>
    <w:p>
      <w:pPr>
        <w:pStyle w:val="Heading3"/>
        <w:keepNext/>
      </w:pPr>
      <w:r>
        <w:rPr>
          <w:rFonts w:ascii="Times New Roman" w:hAnsi="Times New Roman"/>
          <w:color w:val="000000"/>
          <w:sz w:val="24"/>
        </w:rPr>
        <w:t>6.3.2. Mejora del motor de recomendación</w:t>
      </w:r>
    </w:p>
    <w:p>
      <w:pPr>
        <w:spacing w:after="120"/>
      </w:pPr>
      <w:r>
        <w:t xml:space="preserve">La mejora con mayor efecto sobre la precisión es incorporar una ET0 prevista, única vía para anticipar cambios de tiempo en los días 4 a 7 del horizonte. El motor ya admite esta entrada, de modo que el trabajo pendiente es de datos y de evaluación. La predicción municipal de AEMET OpenData describe los días posteriores a cada emisión y el proyecto no dispone de emisiones pasadas, por lo que el histórico debe construirse archivando de forma programada cada predicción. Con ese histórico podrán compararse dos alternativas: estimar la ET0 con la ecuación de Hargreaves calibrada frente a la ET0 de Penman-Monteith observada en la estación (Allen et al., 1998), o utilizar el producto pronosticado de SiAR. Cualquiera de ellas debe evaluarse con la misma disciplina temporal que el resto del trabajo, utilizando solo predicciones emitidas antes de cada fecha objetivo, y sustituir a la vía actual únicamente si mejora el error por horizonte de la Tabla 5.5. El mismo archivo permitirá evaluar si conviene descontar la lluvia prevista en lugar de limitarse a avisar.</w:t>
      </w:r>
    </w:p>
    <w:p>
      <w:pPr>
        <w:spacing w:after="120"/>
      </w:pPr>
      <w:r>
        <w:t xml:space="preserve">Una vez ampliados los datos, el aprendizaje automático debería reintroducirse con un papel distinto al del capítulo 4: no para predecir directamente la necesidad, sino para aprender la corrección de la estimación física, es decir, el residuo entre la vía ET0 × Kc y la referencia, a partir de las variables meteorológicas y de predicción disponibles en el momento de emitir. Este planteamiento conserva la explicabilidad de la base agronómica y reduce el riesgo de sobreajuste. En paralelo, los niveles de confianza actuales, definidos mediante reglas a partir del error medio por horizonte, deberían sustituirse por intervalos de predicción, de forma que cada dosis se acompañe de un rango cuantificado (Hyndman &amp; Athanasopoulos, 2021).</w:t>
      </w:r>
    </w:p>
    <w:p>
      <w:pPr>
        <w:spacing w:after="120"/>
      </w:pPr>
      <w:r>
        <w:t xml:space="preserve">La tercera mejora del motor es un balance hídrico del suelo con agotamiento admisible, como el propuesto en FAO-56 (Allen et al., 1998). Permitiría decidir no solo cuánto sino cuándo regar y aprovechar la lluvia realmente almacenada en el suelo. Requiere la capacidad de retención, la profundidad radicular y el registro de riegos de cada parcela. Con esa información, la reducción proporcional por dotación podría sustituirse por una estrategia de riego deficitario que concentre el déficit en las fases menos sensibles del cultivo (Fereres &amp; Soriano, 2007).</w:t>
      </w:r>
    </w:p>
    <w:p>
      <w:pPr>
        <w:pStyle w:val="Heading3"/>
        <w:keepNext/>
      </w:pPr>
      <w:r>
        <w:rPr>
          <w:rFonts w:ascii="Times New Roman" w:hAnsi="Times New Roman"/>
          <w:color w:val="000000"/>
          <w:sz w:val="24"/>
        </w:rPr>
        <w:t>6.3.3. Validación en condiciones de uso</w:t>
      </w:r>
    </w:p>
    <w:p>
      <w:pPr>
        <w:spacing w:after="120"/>
      </w:pPr>
      <w:r>
        <w:t xml:space="preserve">Antes de cualquier despliegue es necesario evaluar el prototipo con técnicos de cooperativas y agricultores, mediante tareas concretas de interpretación y decisión y con medidas de comprensión, utilidad percibida y confianza (Rose et al., 2016). Esta evaluación puede realizarse con la aplicación actual y respondería a una pregunta que el trabajo no ha podido contestar: si las explicaciones y los avisos resultan útiles a quienes deben decidir.</w:t>
      </w:r>
    </w:p>
    <w:p>
      <w:pPr>
        <w:spacing w:after="120"/>
      </w:pPr>
      <w:r>
        <w:t xml:space="preserve">La única forma de cuantificar el ahorro de agua o el efecto sobre la producción es un ensayo en campo que registre el riego aplicado, la humedad del suelo y el rendimiento en parcelas que sigan la recomendación y en parcelas de control. El sistema ya exporta cada recomendación con sus parámetros y su origen, de manera que el archivo de recomendaciones emitidas puede compararse directamente con el riego real. Solo entonces podrá sustituirse la referencia calculada por una referencia medida y evaluarse el sistema frente al problema que motivó el trabajo.</w:t>
      </w:r>
    </w:p>
    <w:p>
      <w:pPr>
        <w:pStyle w:val="Heading3"/>
        <w:keepNext/>
      </w:pPr>
      <w:r>
        <w:rPr>
          <w:rFonts w:ascii="Times New Roman" w:hAnsi="Times New Roman"/>
          <w:color w:val="000000"/>
          <w:sz w:val="24"/>
        </w:rPr>
        <w:t>6.3.4. Evolución de la plataforma</w:t>
      </w:r>
    </w:p>
    <w:p>
      <w:pPr>
        <w:spacing w:after="120"/>
      </w:pPr>
      <w:r>
        <w:t xml:space="preserve">La industrialización del prototipo debería abordarse cuando las mejoras anteriores justifiquen un uso continuado. Comprende persistir catálogos, recomendaciones y metadatos en la base de datos relacional prevista en el apartado 3.2.2, programar la ingesta diaria con un orquestador, que puede ser Apache Hop u otra herramienta equivalente, empaquetar el sistema con Docker y permitir que la aplicación seleccione estación y cultivo entre los casos declarados. Los indicadores del Boletín Hidrológico del MITECO pueden incorporarse como contexto a escala de cuenca, para advertir de situaciones de escasez, sin pretender deducir de ellos la dotación de una parcela. El procesamiento distribuido con PySpark solo estaría justificado si el sistema se extendiera a escala nacional; con el volumen actual añadiría complejidad sin un beneficio demostrable, como se señaló en el apartado 3.2.4.</w:t>
      </w:r>
    </w:p>
    <w:p>
      <w:pPr>
        <w:pStyle w:val="Heading3"/>
        <w:keepNext/>
      </w:pPr>
      <w:r>
        <w:rPr>
          <w:rFonts w:ascii="Times New Roman" w:hAnsi="Times New Roman"/>
          <w:color w:val="000000"/>
          <w:sz w:val="24"/>
        </w:rPr>
        <w:t>6.3.5. Consideración final</w:t>
      </w:r>
    </w:p>
    <w:p>
      <w:pPr>
        <w:spacing w:after="120"/>
      </w:pPr>
      <w:r>
        <w:t xml:space="preserve">El trabajo se planteó como la construcción de una cadena completa de datos y decisión, con el aprendizaje automático como uno de sus componentes. El piloto obliga a reconsiderar el papel de ese componente. Con los datos disponibles, la mejora no ha procedido del algoritmo, sino de estructurar correctamente el problema: separar lo incierto de lo conocido, impedir que la información futura contamine la evaluación y hacer visible la incertidumbre en lugar de esconderla. El aprendizaje automático conserva su lugar en el sistema, pero como herramienta para corregir una base física cuando existan datos suficientes, no como sustituto de ella. La frontera de mejora del proyecto no está, por tanto, en el modelo, sino en los datos: más campañas, predicciones archivadas y, sobre todo, información medida en las parcelas en las que se toma la decisión.</w:t>
      </w:r>
    </w:p>
    <w:p>
      <w:pPr>
        <w:pStyle w:val="Heading1"/>
        <w:pageBreakBefore/>
      </w:pPr>
      <w:r>
        <w:t>Referencias bibliográficas</w:t>
      </w:r>
    </w:p>
    <w:p>
      <w:pPr>
        <w:pStyle w:val="BibliografíaAPA"/>
      </w:pPr>
      <w:r>
        <w:rPr>
          <w:i w:val="0"/>
        </w:rPr>
        <w:t xml:space="preserve">Agencia Estatal de Meteorología. (s. f.). </w:t>
      </w:r>
      <w:r>
        <w:rPr>
          <w:i/>
        </w:rPr>
        <w:t>AEMET OpenData</w:t>
      </w:r>
      <w:r>
        <w:rPr>
          <w:i w:val="0"/>
        </w:rPr>
        <w:t>. Recuperado el 16 de septiembre de 2026, de https://opendata.aemet.es/centrodedescargas/inicio</w:t>
      </w:r>
    </w:p>
    <w:p>
      <w:pPr>
        <w:pStyle w:val="BibliografíaAPA"/>
      </w:pPr>
      <w:r>
        <w:rPr>
          <w:i w:val="0"/>
        </w:rPr>
        <w:t xml:space="preserve">Allen, R. G., Pereira, L. S., Raes, D., &amp; Smith, M. (1998). </w:t>
      </w:r>
      <w:r>
        <w:rPr>
          <w:i/>
        </w:rPr>
        <w:t>Crop evapotranspiration: Guidelines for computing crop water requirements</w:t>
      </w:r>
      <w:r>
        <w:rPr>
          <w:i w:val="0"/>
        </w:rPr>
        <w:t xml:space="preserve"> (FAO Irrigation and Drainage Paper No. 56). Food and Agriculture Organization of the United Nations. https://www.fao.org/4/x0490e/x0490e00.htm</w:t>
      </w:r>
    </w:p>
    <w:p>
      <w:pPr>
        <w:pStyle w:val="BibliografíaAPA"/>
      </w:pPr>
      <w:r>
        <w:rPr>
          <w:i w:val="0"/>
        </w:rPr>
        <w:t xml:space="preserve">Benos, L., Tagarakis, A. C., Dolias, G., Berruto, R., Kateris, D., &amp; Bochtis, D. (2021). Machine learning in agriculture: A comprehensive updated review. </w:t>
      </w:r>
      <w:r>
        <w:rPr>
          <w:i/>
        </w:rPr>
        <w:t>Sensors, 21</w:t>
      </w:r>
      <w:r>
        <w:rPr>
          <w:i w:val="0"/>
        </w:rPr>
        <w:t>(11), 3758. https://doi.org/10.3390/s21113758</w:t>
      </w:r>
    </w:p>
    <w:p>
      <w:pPr>
        <w:pStyle w:val="BibliografíaAPA"/>
      </w:pPr>
      <w:r>
        <w:rPr>
          <w:i w:val="0"/>
        </w:rPr>
        <w:t xml:space="preserve">Brouwer, C., Prins, K., &amp; Heibloem, M. (1989). </w:t>
      </w:r>
      <w:r>
        <w:rPr>
          <w:i/>
        </w:rPr>
        <w:t>Irrigation water management: Irrigation scheduling</w:t>
      </w:r>
      <w:r>
        <w:rPr>
          <w:i w:val="0"/>
        </w:rPr>
        <w:t xml:space="preserve"> (Training manual No. 4). Food and Agriculture Organization of the United Nations. https://www.fao.org/4/t7202e/t7202e00.htm</w:t>
      </w:r>
    </w:p>
    <w:p>
      <w:pPr>
        <w:pStyle w:val="BibliografíaAPA"/>
      </w:pPr>
      <w:r>
        <w:rPr>
          <w:i w:val="0"/>
        </w:rPr>
        <w:t xml:space="preserve">Burt, C. M., Clemmens, A. J., Strelkoff, T. S., Solomon, K. H., Bliesner, R. D., Hardy, L. A., Howell, T. A., &amp; Eisenhauer, D. E. (1997). Irrigation performance measures: Efficiency and uniformity. </w:t>
      </w:r>
      <w:r>
        <w:rPr>
          <w:i/>
        </w:rPr>
        <w:t>Journal of Irrigation and Drainage Engineering, 123</w:t>
      </w:r>
      <w:r>
        <w:rPr>
          <w:i w:val="0"/>
        </w:rPr>
        <w:t>(6), 423–442. https://doi.org/10.1061/(ASCE)0733-9437(1997)123:6(423)</w:t>
      </w:r>
    </w:p>
    <w:p>
      <w:pPr>
        <w:pStyle w:val="BibliografíaAPA"/>
      </w:pPr>
      <w:r>
        <w:rPr>
          <w:i w:val="0"/>
        </w:rPr>
        <w:t xml:space="preserve">European Environment Agency. (2021). </w:t>
      </w:r>
      <w:r>
        <w:rPr>
          <w:i/>
        </w:rPr>
        <w:t>Water resources across Europe—Confronting water stress: An updated assessment</w:t>
      </w:r>
      <w:r>
        <w:rPr>
          <w:i w:val="0"/>
        </w:rPr>
        <w:t xml:space="preserve"> (EEA Report No. 12/2021). https://www.eea.europa.eu/publications/water-resources-across-europe-confronting-water-stress</w:t>
      </w:r>
    </w:p>
    <w:p>
      <w:pPr>
        <w:pStyle w:val="BibliografíaAPA"/>
      </w:pPr>
      <w:r>
        <w:rPr>
          <w:i w:val="0"/>
        </w:rPr>
        <w:t xml:space="preserve">Fereres, E., &amp; Soriano, M. A. (2007). Deficit irrigation for reducing agricultural water use. </w:t>
      </w:r>
      <w:r>
        <w:rPr>
          <w:i/>
        </w:rPr>
        <w:t>Journal of Experimental Botany, 58</w:t>
      </w:r>
      <w:r>
        <w:rPr>
          <w:i w:val="0"/>
        </w:rPr>
        <w:t>(2), 147–159. https://doi.org/10.1093/jxb/erl165</w:t>
      </w:r>
    </w:p>
    <w:p>
      <w:pPr>
        <w:pStyle w:val="BibliografíaAPA"/>
      </w:pPr>
      <w:r>
        <w:rPr>
          <w:i w:val="0"/>
        </w:rPr>
        <w:t xml:space="preserve">Food and Agriculture Organization of the United Nations. (2021). </w:t>
      </w:r>
      <w:r>
        <w:rPr>
          <w:i/>
        </w:rPr>
        <w:t>The state of the world's land and water resources for food and agriculture—Systems at breaking point</w:t>
      </w:r>
      <w:r>
        <w:rPr>
          <w:i w:val="0"/>
        </w:rPr>
        <w:t>. https://doi.org/10.4060/cb7654en</w:t>
      </w:r>
    </w:p>
    <w:p>
      <w:pPr>
        <w:pStyle w:val="BibliografíaAPA"/>
      </w:pPr>
      <w:r>
        <w:rPr>
          <w:i w:val="0"/>
        </w:rPr>
        <w:t xml:space="preserve">Fountas, S., Carli, G., Sørensen, C. A. G., Tsiropoulos, Z., Cavalaris, C., Vatsanidou, A., Liakos, B., Canavari, M., Wiebensohn, J., &amp; Tisseyre, B. (2015). Farm management information systems: Current situation and future perspectives. </w:t>
      </w:r>
      <w:r>
        <w:rPr>
          <w:i/>
        </w:rPr>
        <w:t>Computers and Electronics in Agriculture, 115</w:t>
      </w:r>
      <w:r>
        <w:rPr>
          <w:i w:val="0"/>
        </w:rPr>
        <w:t>, 40–50. https://doi.org/10.1016/j.compag.2015.05.011</w:t>
      </w:r>
    </w:p>
    <w:p>
      <w:pPr>
        <w:pStyle w:val="BibliografíaAPA"/>
      </w:pPr>
      <w:r>
        <w:rPr>
          <w:i w:val="0"/>
        </w:rPr>
        <w:t xml:space="preserve">Gebbers, R., &amp; Adamchuk, V. I. (2010). Precision agriculture and food security. </w:t>
      </w:r>
      <w:r>
        <w:rPr>
          <w:i/>
        </w:rPr>
        <w:t>Science, 327</w:t>
      </w:r>
      <w:r>
        <w:rPr>
          <w:i w:val="0"/>
        </w:rPr>
        <w:t>(5967), 828–831. https://doi.org/10.1126/science.1183899</w:t>
      </w:r>
    </w:p>
    <w:p>
      <w:pPr>
        <w:pStyle w:val="BibliografíaAPA"/>
      </w:pPr>
      <w:r>
        <w:rPr>
          <w:i w:val="0"/>
        </w:rPr>
        <w:t xml:space="preserve">Howell, T. A. (2001). Enhancing water use efficiency in irrigated agriculture. </w:t>
      </w:r>
      <w:r>
        <w:rPr>
          <w:i/>
        </w:rPr>
        <w:t>Agronomy Journal, 93</w:t>
      </w:r>
      <w:r>
        <w:rPr>
          <w:i w:val="0"/>
        </w:rPr>
        <w:t>(2), 281–289. https://doi.org/10.2134/agronj2001.932281x</w:t>
      </w:r>
    </w:p>
    <w:p>
      <w:pPr>
        <w:pStyle w:val="BibliografíaAPA"/>
      </w:pPr>
      <w:r>
        <w:rPr>
          <w:i w:val="0"/>
        </w:rPr>
        <w:t xml:space="preserve">Hyndman, R. J., &amp; Athanasopoulos, G. (2021). </w:t>
      </w:r>
      <w:r>
        <w:rPr>
          <w:i/>
        </w:rPr>
        <w:t>Forecasting: Principles and practice</w:t>
      </w:r>
      <w:r>
        <w:rPr>
          <w:i w:val="0"/>
        </w:rPr>
        <w:t xml:space="preserve"> (3.ª ed.). OTexts. https://otexts.com/fpp3/</w:t>
      </w:r>
    </w:p>
    <w:p>
      <w:pPr>
        <w:pStyle w:val="BibliografíaAPA"/>
      </w:pPr>
      <w:r>
        <w:rPr>
          <w:i w:val="0"/>
        </w:rPr>
        <w:t xml:space="preserve">Intergovernmental Panel on Climate Change. (2022). </w:t>
      </w:r>
      <w:r>
        <w:rPr>
          <w:i/>
        </w:rPr>
        <w:t>Climate change 2022: Impacts, adaptation and vulnerability</w:t>
      </w:r>
      <w:r>
        <w:rPr>
          <w:i w:val="0"/>
        </w:rPr>
        <w:t xml:space="preserve"> (H.-O. Pörtner, D. C. Roberts, M. Tignor, E. S. Poloczanska, K. Mintenbeck, A. Alegría, M. Craig, S. Langsdorf, S. Löschke, V. Möller, A. Okem, &amp; B. Rama, Eds.). Cambridge University Press. https://doi.org/10.1017/9781009325844</w:t>
      </w:r>
    </w:p>
    <w:p>
      <w:pPr>
        <w:pStyle w:val="BibliografíaAPA"/>
      </w:pPr>
      <w:r>
        <w:rPr>
          <w:i w:val="0"/>
        </w:rPr>
        <w:t xml:space="preserve">Liakos, K. G., Busato, P., Moshou, D., Pearson, S., &amp; Bochtis, D. (2018). Machine learning in agriculture: A review. </w:t>
      </w:r>
      <w:r>
        <w:rPr>
          <w:i/>
        </w:rPr>
        <w:t>Sensors, 18</w:t>
      </w:r>
      <w:r>
        <w:rPr>
          <w:i w:val="0"/>
        </w:rPr>
        <w:t>(8), 2674. https://doi.org/10.3390/s18082674</w:t>
      </w:r>
    </w:p>
    <w:p>
      <w:pPr>
        <w:pStyle w:val="BibliografíaAPA"/>
      </w:pPr>
      <w:r>
        <w:rPr>
          <w:i w:val="0"/>
        </w:rPr>
        <w:t xml:space="preserve">Lindblom, J., Lundström, C., Ljung, M., &amp; Jonsson, A. (2017). Promoting sustainable intensification in precision agriculture: Review of decision support systems development and strategies. </w:t>
      </w:r>
      <w:r>
        <w:rPr>
          <w:i/>
        </w:rPr>
        <w:t>Precision Agriculture, 18</w:t>
      </w:r>
      <w:r>
        <w:rPr>
          <w:i w:val="0"/>
        </w:rPr>
        <w:t>(3), 309–331. https://doi.org/10.1007/s11119-016-9491-4</w:t>
      </w:r>
    </w:p>
    <w:p>
      <w:pPr>
        <w:pStyle w:val="BibliografíaAPA"/>
      </w:pPr>
      <w:r>
        <w:rPr>
          <w:i w:val="0"/>
        </w:rPr>
        <w:t xml:space="preserve">Lundberg, S. M., &amp; Lee, S.-I. (2017). A unified approach to interpreting model predictions. </w:t>
      </w:r>
      <w:r>
        <w:rPr>
          <w:i/>
        </w:rPr>
        <w:t>Advances in Neural Information Processing Systems, 30</w:t>
      </w:r>
      <w:r>
        <w:rPr>
          <w:i w:val="0"/>
        </w:rPr>
        <w:t>, 4765–4774. https://proceedings.neurips.cc/paper_files/paper/2017/hash/8a20a8621978632d76c43dfd28b67767-Abstract.html</w:t>
      </w:r>
    </w:p>
    <w:p>
      <w:pPr>
        <w:pStyle w:val="BibliografíaAPA"/>
      </w:pPr>
      <w:r>
        <w:rPr>
          <w:i w:val="0"/>
        </w:rPr>
        <w:t xml:space="preserve">McCown, R. L. (2002). Locating agricultural decision support systems in the troubled past and socio-technical complexity of ‘models for management’. </w:t>
      </w:r>
      <w:r>
        <w:rPr>
          <w:i/>
        </w:rPr>
        <w:t>Agricultural Systems, 74</w:t>
      </w:r>
      <w:r>
        <w:rPr>
          <w:i w:val="0"/>
        </w:rPr>
        <w:t>(1), 11–25. https://doi.org/10.1016/S0308-521X(02)00020-3</w:t>
      </w:r>
    </w:p>
    <w:p>
      <w:pPr>
        <w:pStyle w:val="BibliografíaAPA"/>
      </w:pPr>
      <w:r>
        <w:rPr>
          <w:i w:val="0"/>
        </w:rPr>
        <w:t xml:space="preserve">Ministerio de Agricultura, Pesca y Alimentación. (s. f.). </w:t>
      </w:r>
      <w:r>
        <w:rPr>
          <w:i/>
        </w:rPr>
        <w:t>Sistema de Información Agroclimática para el Regadío (SiAR)</w:t>
      </w:r>
      <w:r>
        <w:rPr>
          <w:i w:val="0"/>
        </w:rPr>
        <w:t>. Recuperado el 16 de septiembre de 2026, de https://servicio.mapa.gob.es/siarweb/</w:t>
      </w:r>
    </w:p>
    <w:p>
      <w:pPr>
        <w:pStyle w:val="BibliografíaAPA"/>
      </w:pPr>
      <w:r>
        <w:rPr>
          <w:i w:val="0"/>
        </w:rPr>
        <w:t xml:space="preserve">Ministerio para la Transición Ecológica y el Reto Demográfico. (s. f.). </w:t>
      </w:r>
      <w:r>
        <w:rPr>
          <w:i/>
        </w:rPr>
        <w:t>El Boletín Hidrológico semanal</w:t>
      </w:r>
      <w:r>
        <w:rPr>
          <w:i w:val="0"/>
        </w:rPr>
        <w:t>. Recuperado el 16 de septiembre de 2026, de https://www.miteco.gob.es/es/agua/temas/evaluacion-de-los-recursos-hidricos/boletin-hidrologico.html</w:t>
      </w:r>
    </w:p>
    <w:p>
      <w:pPr>
        <w:pStyle w:val="BibliografíaAPA"/>
      </w:pPr>
      <w:r>
        <w:rPr>
          <w:i w:val="0"/>
        </w:rPr>
        <w:t xml:space="preserve">Navarro-Hellín, H., Martínez-del-Rincón, J., Domingo-Miguel, R., Soto-Valles, F., &amp; Torres-Sánchez, R. (2016). A decision support system for managing irrigation in agriculture. </w:t>
      </w:r>
      <w:r>
        <w:rPr>
          <w:i/>
        </w:rPr>
        <w:t>Computers and Electronics in Agriculture, 124</w:t>
      </w:r>
      <w:r>
        <w:rPr>
          <w:i w:val="0"/>
        </w:rPr>
        <w:t>, 121–131. https://doi.org/10.1016/j.compag.2016.04.003</w:t>
      </w:r>
    </w:p>
    <w:p>
      <w:pPr>
        <w:pStyle w:val="BibliografíaAPA"/>
      </w:pPr>
      <w:r>
        <w:rPr>
          <w:i w:val="0"/>
        </w:rPr>
        <w:t xml:space="preserve">Perry, C. (2007). Efficient irrigation; inefficient communication; flawed recommendations. </w:t>
      </w:r>
      <w:r>
        <w:rPr>
          <w:i/>
        </w:rPr>
        <w:t>Irrigation and Drainage, 56</w:t>
      </w:r>
      <w:r>
        <w:rPr>
          <w:i w:val="0"/>
        </w:rPr>
        <w:t>(4), 367–378. https://doi.org/10.1002/ird.323</w:t>
      </w:r>
    </w:p>
    <w:p>
      <w:pPr>
        <w:pStyle w:val="BibliografíaAPA"/>
      </w:pPr>
      <w:r>
        <w:rPr>
          <w:i w:val="0"/>
        </w:rPr>
        <w:t xml:space="preserve">Real Decreto 854/2022, de 11 de octubre, por el que se crean la Mesa Nacional del Regadío y el Observatorio de la Sostenibilidad del Regadío. </w:t>
      </w:r>
      <w:r>
        <w:rPr>
          <w:i/>
        </w:rPr>
        <w:t>Boletín Oficial del Estado</w:t>
      </w:r>
      <w:r>
        <w:rPr>
          <w:i w:val="0"/>
        </w:rPr>
        <w:t>, 245, de 12 de octubre de 2022, 139046–139055. https://www.boe.es/eli/es/rd/2022/10/11/854</w:t>
      </w:r>
    </w:p>
    <w:p>
      <w:pPr>
        <w:pStyle w:val="BibliografíaAPA"/>
      </w:pPr>
      <w:r>
        <w:rPr>
          <w:i w:val="0"/>
        </w:rPr>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 </w:t>
      </w:r>
      <w:r>
        <w:rPr>
          <w:i/>
        </w:rPr>
        <w:t>Ecography, 40</w:t>
      </w:r>
      <w:r>
        <w:rPr>
          <w:i w:val="0"/>
        </w:rPr>
        <w:t>(8), 913–929. https://doi.org/10.1111/ecog.02881</w:t>
      </w:r>
    </w:p>
    <w:p>
      <w:pPr>
        <w:pStyle w:val="BibliografíaAPA"/>
      </w:pPr>
      <w:r>
        <w:rPr>
          <w:i w:val="0"/>
        </w:rPr>
        <w:t xml:space="preserve">Rose, D. C., Sutherland, W. J., Parker, C., Lobley, M., Winter, M., Morris, C., Twining, S., Ffoulkes, C., Amano, T., &amp; Dicks, L. V. (2016). Decision support tools for agriculture: Towards effective design and delivery. </w:t>
      </w:r>
      <w:r>
        <w:rPr>
          <w:i/>
        </w:rPr>
        <w:t>Agricultural Systems, 149</w:t>
      </w:r>
      <w:r>
        <w:rPr>
          <w:i w:val="0"/>
        </w:rPr>
        <w:t>, 165–174. https://doi.org/10.1016/j.agsy.2016.09.009</w:t>
      </w:r>
    </w:p>
    <w:p>
      <w:pPr>
        <w:pStyle w:val="BibliografíaAPA"/>
      </w:pPr>
      <w:r>
        <w:rPr>
          <w:i w:val="0"/>
        </w:rPr>
        <w:t xml:space="preserve">Shim, J. P., Warkentin, M., Courtney, J. F., Power, D. J., Sharda, R., &amp; Carlsson, C. (2002). Past, present, and future of decision support technology. </w:t>
      </w:r>
      <w:r>
        <w:rPr>
          <w:i/>
        </w:rPr>
        <w:t>Decision Support Systems, 33</w:t>
      </w:r>
      <w:r>
        <w:rPr>
          <w:i w:val="0"/>
        </w:rPr>
        <w:t>(2), 111–126. https://doi.org/10.1016/S0167-9236(01)00139-7</w:t>
      </w:r>
    </w:p>
    <w:p>
      <w:pPr>
        <w:pStyle w:val="BibliografíaAPA"/>
      </w:pPr>
      <w:r>
        <w:rPr>
          <w:i w:val="0"/>
        </w:rPr>
        <w:t xml:space="preserve">Streamlit. (2024). </w:t>
      </w:r>
      <w:r>
        <w:rPr>
          <w:i/>
        </w:rPr>
        <w:t>Streamlit</w:t>
      </w:r>
      <w:r>
        <w:rPr>
          <w:i w:val="0"/>
        </w:rPr>
        <w:t xml:space="preserve"> (Versión 1.39.0) [Software]. https://streamlit.io</w:t>
      </w:r>
    </w:p>
    <w:p>
      <w:pPr>
        <w:pStyle w:val="BibliografíaAPA"/>
      </w:pPr>
      <w:r>
        <w:rPr>
          <w:i w:val="0"/>
        </w:rPr>
        <w:t xml:space="preserve">Willmott, C. J., &amp; Matsuura, K. (2005). Advantages of the mean absolute error (MAE) over the root mean square error (RMSE) in assessing average model performance. </w:t>
      </w:r>
      <w:r>
        <w:rPr>
          <w:i/>
        </w:rPr>
        <w:t>Climate Research, 30</w:t>
      </w:r>
      <w:r>
        <w:rPr>
          <w:i w:val="0"/>
        </w:rPr>
        <w:t>(1), 79–82. https://doi.org/10.3354/cr030079</w:t>
      </w:r>
    </w:p>
    <w:p>
      <w:pPr>
        <w:pStyle w:val="BibliografíaAPA"/>
      </w:pPr>
      <w:r>
        <w:rPr>
          <w:i w:val="0"/>
        </w:rPr>
        <w:t xml:space="preserve">Wolfert, S., Ge, L., Verdouw, C., &amp; Bogaardt, M.-J. (2017). Big Data in smart farming—A review. </w:t>
      </w:r>
      <w:r>
        <w:rPr>
          <w:i/>
        </w:rPr>
        <w:t>Agricultural Systems, 153</w:t>
      </w:r>
      <w:r>
        <w:rPr>
          <w:i w:val="0"/>
        </w:rPr>
        <w:t>, 69–80. https://doi.org/10.1016/j.agsy.2017.01.023</w:t>
      </w:r>
    </w:p>
    <w:p>
      <w:pPr>
        <w:pStyle w:val="BibliografíaAPA"/>
      </w:pPr>
      <w:r>
        <w:rPr>
          <w:i w:val="0"/>
        </w:rPr>
        <w:t xml:space="preserve">Zhai, Z., Martínez, J. F., Beltran, V., &amp; Martínez, N. L. (2020). Decision support systems for agriculture 4.0: Survey and challenges. </w:t>
      </w:r>
      <w:r>
        <w:rPr>
          <w:i/>
        </w:rPr>
        <w:t>Computers and Electronics in Agriculture, 170</w:t>
      </w:r>
      <w:r>
        <w:rPr>
          <w:i w:val="0"/>
        </w:rPr>
        <w:t>, 105256. https://doi.org/10.1016/j.compag.2020.105256</w:t>
      </w:r>
    </w:p>
    <w:p>
      <w:pPr>
        <w:pStyle w:val="BibliografíaAPA"/>
      </w:pPr>
      <w:r>
        <w:rPr>
          <w:i w:val="0"/>
        </w:rPr>
        <w:t xml:space="preserve">Zhang, N., Wang, M., &amp; Wang, N. (2002). Precision agriculture—A worldwide overview. </w:t>
      </w:r>
      <w:r>
        <w:rPr>
          <w:i/>
        </w:rPr>
        <w:t>Computers and Electronics in Agriculture, 36</w:t>
      </w:r>
      <w:r>
        <w:rPr>
          <w:i w:val="0"/>
        </w:rPr>
        <w:t>(2–3), 113–132. https://doi.org/10.1016/S0168-1699(02)00096-0</w:t>
      </w:r>
    </w:p>
    <w:sectPr>
      <w:footerReference w:type="default" ns1:id="rId6"/>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fldChar w:fldCharType="begin"/>
      <w:instrText xml:space="preserve"> PAGE </w:instrText>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360" w:lineRule="auto" w:after="120"/>
      <w:jc w:val="both"/>
    </w:pPr>
    <w:rPr>
      <w:rFonts w:ascii="Times New Roman" w:hAnsi="Times New Roman" w:eastAsia="Times New Roman"/>
      <w:color w:val="000000"/>
      <w:sz w:val="24"/>
    </w:rPr>
  </w:style>
  <w:style w:type="paragraph" w:styleId="Heading1">
    <w:name w:val="heading 1"/>
    <w:basedOn w:val="Normal"/>
    <w:next w:val="Normal"/>
    <w:pPr>
      <w:keepNext/>
      <w:keepLines w:val="1"/>
      <w:pageBreakBefore w:val="0"/>
      <w:spacing w:after="160" w:before="360" w:lineRule="auto"/>
    </w:pPr>
    <w:rPr>
      <w:rFonts w:ascii="Times New Roman" w:hAnsi="Times New Roman" w:eastAsia="Times New Roman"/>
      <w:b/>
      <w:color w:val="000000"/>
      <w:sz w:val="28"/>
      <w:szCs w:val="40"/>
    </w:rPr>
  </w:style>
  <w:style w:type="paragraph" w:styleId="Heading2">
    <w:name w:val="heading 2"/>
    <w:basedOn w:val="Normal"/>
    <w:next w:val="Normal"/>
    <w:pPr>
      <w:keepNext/>
      <w:keepLines w:val="1"/>
      <w:pageBreakBefore w:val="0"/>
      <w:spacing w:after="120" w:before="240" w:lineRule="auto"/>
    </w:pPr>
    <w:rPr>
      <w:rFonts w:ascii="Times New Roman" w:hAnsi="Times New Roman" w:eastAsia="Times New Roman"/>
      <w:b/>
      <w:bCs w:val="0"/>
      <w:color w:val="000000"/>
      <w:sz w:val="24"/>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before="0" w:lineRule="auto"/>
      <w:jc w:val="center"/>
    </w:pPr>
    <w:rPr>
      <w:rFonts w:ascii="Times New Roman" w:hAnsi="Times New Roman" w:eastAsia="Times New Roman"/>
      <w:b/>
      <w:color w:val="000000"/>
      <w:sz w:val="36"/>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customStyle="1" w:styleId="BibliografíaAPA">
    <w:name w:val="Bibliografía APA"/>
    <w:pPr>
      <w:spacing w:line="360" w:lineRule="auto" w:after="120"/>
      <w:ind w:left="720" w:hanging="720"/>
      <w:jc w:val="left"/>
    </w:pPr>
    <w:rPr>
      <w:rFonts w:ascii="Times New Roman" w:hAnsi="Times New Roman" w:eastAsia="Times New Roman"/>
      <w:color w:val="000000"/>
      <w:sz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Sistema inteligente de apoyo a la decisión para la gestión hídrica agrícola</dc:title>
  <cp:lastModifiedBy>python-docx</cp:lastModifiedBy>
  <cp:revision>1</cp:revision>
  <dcterms:modified xsi:type="dcterms:W3CDTF">2026-09-16T07:08:41Z</dcterms:modified>
  <dc:subject>TFM de Data Science - apartado 1.1</dc:subject>
  <cp:keywords>regadío, aprendizaje automático, sistema de apoyo a la decisión, gestión hídrica</cp:keywords>
</cp:coreProperties>
</file>