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747442672.0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