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Fraunces" w:cs="Fraunces" w:eastAsia="Fraunces" w:hAnsi="Fraunces"/>
          <w:color w:val="2A2420"/>
          <w:spacing w:val="80"/>
          <w:sz w:val="72"/>
          <w:szCs w:val="72"/>
        </w:rPr>
        <w:t xml:space="preserve">REEF TANK</w:t>
      </w:r>
    </w:p>
    <w:p>
      <w:pPr>
        <w:spacing w:after="400" w:before="0"/>
      </w:pPr>
      <w:r>
        <w:rPr>
          <w:rFonts w:ascii="Fraunces" w:cs="Fraunces" w:eastAsia="Fraunces" w:hAnsi="Fraunces"/>
          <w:color w:val="B84A2E"/>
          <w:sz w:val="56"/>
          <w:szCs w:val="56"/>
        </w:rPr>
        <w:t xml:space="preserve">Management App</w:t>
      </w:r>
    </w:p>
    <w:p>
      <w:pPr>
        <w:spacing w:after="200" w:before="0"/>
      </w:pPr>
      <w:r>
        <w:rPr>
          <w:rFonts w:ascii="Source Serif 4" w:cs="Source Serif 4" w:eastAsia="Source Serif 4" w:hAnsi="Source Serif 4"/>
          <w:i/>
          <w:iCs/>
          <w:color w:val="2A2420"/>
          <w:sz w:val="26"/>
          <w:szCs w:val="26"/>
        </w:rPr>
        <w:t xml:space="preserve">User guide and chemical mixing reference for the Red Sea 525XL, 485 L effective volume.</w:t>
      </w:r>
    </w:p>
    <w:p>
      <w:pPr>
        <w:pBdr>
          <w:bottom w:val="single" w:color="B8ADA0" w:sz="4" w:space="1"/>
        </w:pBdr>
        <w:spacing w:after="200" w:before="200"/>
      </w:pPr>
    </w:p>
    <w:p>
      <w:pPr>
        <w:spacing w:after="80" w:before="80"/>
      </w:pPr>
      <w:r>
        <w:rPr>
          <w:rFonts w:ascii="Inter" w:cs="Inter" w:eastAsia="Inter" w:hAnsi="Inter"/>
          <w:color w:val="B8ADA0"/>
          <w:sz w:val="18"/>
          <w:szCs w:val="18"/>
        </w:rPr>
        <w:t xml:space="preserve">Three-part dosing system — alkalinity, calcium, magnesium.</w:t>
      </w:r>
    </w:p>
    <w:p>
      <w:pPr>
        <w:spacing w:after="80" w:before="80"/>
      </w:pPr>
      <w:r>
        <w:rPr>
          <w:rFonts w:ascii="Inter" w:cs="Inter" w:eastAsia="Inter" w:hAnsi="Inter"/>
          <w:color w:val="B8ADA0"/>
          <w:sz w:val="18"/>
          <w:szCs w:val="18"/>
        </w:rPr>
        <w:t xml:space="preserve">Solutions mixed from raw chemicals. Concentrations verified May 2026.</w:t>
      </w:r>
    </w:p>
    <w:p>
      <w:pPr>
        <w:spacing w:after="0" w:before="600"/>
      </w:pPr>
      <w:r>
        <w:t xml:space="preserve"/>
      </w:r>
    </w:p>
    <w:p>
      <w:pPr>
        <w:pageBreakBefore/>
      </w:pPr>
      <w:r>
        <w:t xml:space="preserve"/>
      </w:r>
    </w:p>
    <w:p>
      <w:pPr>
        <w:spacing w:after="80" w:before="360"/>
      </w:pPr>
      <w:r>
        <w:rPr>
          <w:rFonts w:ascii="Inter" w:cs="Inter" w:eastAsia="Inter" w:hAnsi="Inter"/>
          <w:color w:val="B84A2E"/>
          <w:spacing w:val="120"/>
          <w:sz w:val="18"/>
          <w:szCs w:val="18"/>
        </w:rPr>
        <w:t xml:space="preserve">SECTION 1</w:t>
      </w:r>
    </w:p>
    <w:p>
      <w:pPr>
        <w:pStyle w:val="Heading1"/>
        <w:spacing w:after="160" w:before="0"/>
      </w:pPr>
      <w:r>
        <w:rPr>
          <w:rFonts w:ascii="Fraunces" w:cs="Fraunces" w:eastAsia="Fraunces" w:hAnsi="Fraunces"/>
          <w:color w:val="2A2420"/>
          <w:sz w:val="44"/>
          <w:szCs w:val="44"/>
        </w:rPr>
        <w:t xml:space="preserve">Overview</w:t>
      </w:r>
    </w:p>
    <w:p>
      <w:pPr>
        <w:spacing w:after="200" w:before="0"/>
      </w:pPr>
      <w:r>
        <w:rPr>
          <w:rFonts w:ascii="Source Serif 4" w:cs="Source Serif 4" w:eastAsia="Source Serif 4" w:hAnsi="Source Serif 4"/>
          <w:i/>
          <w:iCs/>
          <w:color w:val="2A2420"/>
          <w:sz w:val="26"/>
          <w:szCs w:val="26"/>
        </w:rPr>
        <w:t xml:space="preserve">The Reef Tank app tracks water chemistry for a Red Sea 525XL aquarium. It runs in any web browser and stores all data locally on your device.</w:t>
      </w:r>
    </w:p>
    <w:p>
      <w:pPr>
        <w:spacing w:after="140" w:before="0"/>
      </w:pPr>
      <w:r>
        <w:rPr>
          <w:rFonts w:ascii="Source Serif 4" w:cs="Source Serif 4" w:eastAsia="Source Serif 4" w:hAnsi="Source Serif 4"/>
          <w:color w:val="2A2420"/>
          <w:sz w:val="22"/>
          <w:szCs w:val="22"/>
        </w:rPr>
        <w:t xml:space="preserve">The app has five tabs: Dashboard, Test Session, Dosing, Trends, and Settings. Each serves a distinct purpose and together they give a complete picture of tank chemistry over time.</w:t>
      </w:r>
    </w:p>
    <w:p>
      <w:pPr>
        <w:spacing w:after="140" w:before="0"/>
      </w:pPr>
      <w:r>
        <w:rPr>
          <w:rFonts w:ascii="Source Serif 4" w:cs="Source Serif 4" w:eastAsia="Source Serif 4" w:hAnsi="Source Serif 4"/>
          <w:color w:val="2A2420"/>
          <w:sz w:val="22"/>
          <w:szCs w:val="22"/>
        </w:rPr>
        <w:t xml:space="preserve">Because the app runs in a browser and uses the browser's built-in local storage, no account or internet connection is needed once the page has loaded. All data stays on the device where you entered it. The export function in Settings allows you to back up your readings as a JSON file at any time.</w:t>
      </w:r>
    </w:p>
    <w:p>
      <w:pPr>
        <w:pBdr>
          <w:bottom w:val="single" w:color="B8ADA0" w:sz="4" w:space="1"/>
        </w:pBdr>
        <w:spacing w:after="200" w:before="200"/>
      </w:pPr>
    </w:p>
    <w:p>
      <w:pPr>
        <w:spacing w:after="80" w:before="360"/>
      </w:pPr>
      <w:r>
        <w:rPr>
          <w:rFonts w:ascii="Inter" w:cs="Inter" w:eastAsia="Inter" w:hAnsi="Inter"/>
          <w:color w:val="B84A2E"/>
          <w:spacing w:val="120"/>
          <w:sz w:val="18"/>
          <w:szCs w:val="18"/>
        </w:rPr>
        <w:t xml:space="preserve">SECTION 2</w:t>
      </w:r>
    </w:p>
    <w:p>
      <w:pPr>
        <w:pStyle w:val="Heading1"/>
        <w:spacing w:after="160" w:before="0"/>
      </w:pPr>
      <w:r>
        <w:rPr>
          <w:rFonts w:ascii="Fraunces" w:cs="Fraunces" w:eastAsia="Fraunces" w:hAnsi="Fraunces"/>
          <w:color w:val="2A2420"/>
          <w:sz w:val="44"/>
          <w:szCs w:val="44"/>
        </w:rPr>
        <w:t xml:space="preserve">The Five Tabs</w:t>
      </w:r>
    </w:p>
    <w:p>
      <w:pPr>
        <w:pStyle w:val="Heading2"/>
        <w:spacing w:after="120" w:before="320"/>
      </w:pPr>
      <w:r>
        <w:rPr>
          <w:rFonts w:ascii="Fraunces" w:cs="Fraunces" w:eastAsia="Fraunces" w:hAnsi="Fraunces"/>
          <w:color w:val="2A2420"/>
          <w:sz w:val="32"/>
          <w:szCs w:val="32"/>
        </w:rPr>
        <w:t xml:space="preserve">Dashboard</w:t>
      </w:r>
    </w:p>
    <w:p>
      <w:pPr>
        <w:spacing w:after="140" w:before="0"/>
      </w:pPr>
      <w:r>
        <w:rPr>
          <w:rFonts w:ascii="Source Serif 4" w:cs="Source Serif 4" w:eastAsia="Source Serif 4" w:hAnsi="Source Serif 4"/>
          <w:color w:val="2A2420"/>
          <w:sz w:val="22"/>
          <w:szCs w:val="22"/>
        </w:rPr>
        <w:t xml:space="preserve">The Dashboard shows the most recent reading for every parameter at a glance. Each parameter appears as a card with a colour-coded status indicator: green for readings close to the ideal, amber for readings within the acceptable range but drifting towards an edge, and red for readings outside the target range.</w:t>
      </w:r>
    </w:p>
    <w:p>
      <w:pPr>
        <w:spacing w:after="140" w:before="0"/>
      </w:pPr>
      <w:r>
        <w:rPr>
          <w:rFonts w:ascii="Source Serif 4" w:cs="Source Serif 4" w:eastAsia="Source Serif 4" w:hAnsi="Source Serif 4"/>
          <w:color w:val="2A2420"/>
          <w:sz w:val="22"/>
          <w:szCs w:val="22"/>
        </w:rPr>
        <w:t xml:space="preserve">A small bar beneath each reading shows where the value sits within the acceptable range. The date of the last test session is shown at the top of the Dashboard; if no readings have been entered yet, the Dashboard prompts you to run a test session first.</w:t>
      </w:r>
    </w:p>
    <w:p>
      <w:pPr>
        <w:pStyle w:val="Heading2"/>
        <w:spacing w:after="120" w:before="320"/>
      </w:pPr>
      <w:r>
        <w:rPr>
          <w:rFonts w:ascii="Fraunces" w:cs="Fraunces" w:eastAsia="Fraunces" w:hAnsi="Fraunces"/>
          <w:color w:val="2A2420"/>
          <w:sz w:val="32"/>
          <w:szCs w:val="32"/>
        </w:rPr>
        <w:t xml:space="preserve">Test Session</w:t>
      </w:r>
    </w:p>
    <w:p>
      <w:pPr>
        <w:spacing w:after="140" w:before="0"/>
      </w:pPr>
      <w:r>
        <w:rPr>
          <w:rFonts w:ascii="Source Serif 4" w:cs="Source Serif 4" w:eastAsia="Source Serif 4" w:hAnsi="Source Serif 4"/>
          <w:color w:val="2A2420"/>
          <w:sz w:val="22"/>
          <w:szCs w:val="22"/>
        </w:rPr>
        <w:t xml:space="preserve">The Test Session tab is where you log each Saturday test. Select the date, then enter readings for any or all parameters. Fields you leave blank are saved as empty; the app handles missing values gracefully and will not calculate trends or consumption rates for parameters with fewer than two readings.</w:t>
      </w:r>
    </w:p>
    <w:p>
      <w:pPr>
        <w:spacing w:after="140" w:before="0"/>
      </w:pPr>
      <w:r>
        <w:rPr>
          <w:rFonts w:ascii="Source Serif 4" w:cs="Source Serif 4" w:eastAsia="Source Serif 4" w:hAnsi="Source Serif 4"/>
          <w:color w:val="2A2420"/>
          <w:sz w:val="22"/>
          <w:szCs w:val="22"/>
        </w:rPr>
        <w:t xml:space="preserve">As you type each value, the input field changes colour and a small label appears showing whether the reading is within range and what the ideal target is. When you press Save Reading, the entry is stored and the app returns to the Dashboard.</w:t>
      </w:r>
    </w:p>
    <w:p>
      <w:pPr>
        <w:spacing w:after="140" w:before="0"/>
      </w:pPr>
      <w:r>
        <w:rPr>
          <w:rFonts w:ascii="Source Serif 4" w:cs="Source Serif 4" w:eastAsia="Source Serif 4" w:hAnsi="Source Serif 4"/>
          <w:color w:val="2A2420"/>
          <w:sz w:val="22"/>
          <w:szCs w:val="22"/>
        </w:rPr>
        <w:t xml:space="preserve">You do not need to enter all parameters at every session. If you test alkalinity, calcium, and magnesium weekly but only test phosphate and nitrate fortnightly, that is perfectly fine.</w:t>
      </w:r>
    </w:p>
    <w:p>
      <w:pPr>
        <w:pStyle w:val="Heading2"/>
        <w:spacing w:after="120" w:before="320"/>
      </w:pPr>
      <w:r>
        <w:rPr>
          <w:rFonts w:ascii="Fraunces" w:cs="Fraunces" w:eastAsia="Fraunces" w:hAnsi="Fraunces"/>
          <w:color w:val="2A2420"/>
          <w:sz w:val="32"/>
          <w:szCs w:val="32"/>
        </w:rPr>
        <w:t xml:space="preserve">Dosing</w:t>
      </w:r>
    </w:p>
    <w:p>
      <w:pPr>
        <w:spacing w:after="140" w:before="0"/>
      </w:pPr>
      <w:r>
        <w:rPr>
          <w:rFonts w:ascii="Source Serif 4" w:cs="Source Serif 4" w:eastAsia="Source Serif 4" w:hAnsi="Source Serif 4"/>
          <w:color w:val="2A2420"/>
          <w:sz w:val="22"/>
          <w:szCs w:val="22"/>
        </w:rPr>
        <w:t xml:space="preserve">The Dosing tab calculates how well your current dose matches the tank's actual consumption of each dosed parameter. It requires at least two readings for a parameter before it can calculate anything.</w:t>
      </w:r>
    </w:p>
    <w:p>
      <w:pPr>
        <w:spacing w:after="140" w:before="0"/>
      </w:pPr>
      <w:r>
        <w:rPr>
          <w:rFonts w:ascii="Source Serif 4" w:cs="Source Serif 4" w:eastAsia="Source Serif 4" w:hAnsi="Source Serif 4"/>
          <w:color w:val="2A2420"/>
          <w:sz w:val="22"/>
          <w:szCs w:val="22"/>
        </w:rPr>
        <w:t xml:space="preserve">For each of alkalinity, calcium, and magnesium, the tab shows the measured consumption rate derived from the drop between the last two readings divided by the number of days between them. It then compares this against what your current daily dose actually delivers, and suggests an adjusted dose volume to match consumption.</w:t>
      </w:r>
    </w:p>
    <w:p>
      <w:pPr>
        <w:spacing w:after="140" w:before="0"/>
      </w:pPr>
      <w:r>
        <w:rPr>
          <w:rFonts w:ascii="Source Serif 4" w:cs="Source Serif 4" w:eastAsia="Source Serif 4" w:hAnsi="Source Serif 4"/>
          <w:color w:val="2A2420"/>
          <w:sz w:val="22"/>
          <w:szCs w:val="22"/>
        </w:rPr>
        <w:t xml:space="preserve">A separate section shows the one-off bolus correction: the volume of solution needed to bring the parameter from its current reading up to the ideal target. This is useful when a parameter has drifted low and needs to be corrected before the maintenance dose takes over.</w:t>
      </w:r>
    </w:p>
    <w:p>
      <w:pPr>
        <w:spacing w:after="140" w:before="0"/>
      </w:pPr>
      <w:r>
        <w:rPr>
          <w:rFonts w:ascii="Source Serif 4" w:cs="Source Serif 4" w:eastAsia="Source Serif 4" w:hAnsi="Source Serif 4"/>
          <w:color w:val="2A2420"/>
          <w:sz w:val="22"/>
          <w:szCs w:val="22"/>
        </w:rPr>
        <w:t xml:space="preserve">Both the suggested dose and the bolus correction respect the daily safety limits. If either would require raising a parameter faster than the safe maximum, the app flags this clearly and breaks the correction into daily increments.</w:t>
      </w:r>
    </w:p>
    <w:p>
      <w:pPr>
        <w:spacing w:after="140" w:before="0"/>
      </w:pPr>
      <w:r>
        <w:rPr>
          <w:rFonts w:ascii="Source Serif 4" w:cs="Source Serif 4" w:eastAsia="Source Serif 4" w:hAnsi="Source Serif 4"/>
          <w:color w:val="2A2420"/>
          <w:sz w:val="22"/>
          <w:szCs w:val="22"/>
        </w:rPr>
        <w:t xml:space="preserve">The solution concentration values shown at the bottom of each dosing card can be edited in-app if you change your mix recipe. The defaults correspond to the recipes documented in Section 4 of this guide.</w:t>
      </w:r>
    </w:p>
    <w:p>
      <w:pPr>
        <w:pStyle w:val="Heading2"/>
        <w:spacing w:after="120" w:before="320"/>
      </w:pPr>
      <w:r>
        <w:rPr>
          <w:rFonts w:ascii="Fraunces" w:cs="Fraunces" w:eastAsia="Fraunces" w:hAnsi="Fraunces"/>
          <w:color w:val="2A2420"/>
          <w:sz w:val="32"/>
          <w:szCs w:val="32"/>
        </w:rPr>
        <w:t xml:space="preserve">Trends</w:t>
      </w:r>
    </w:p>
    <w:p>
      <w:pPr>
        <w:spacing w:after="140" w:before="0"/>
      </w:pPr>
      <w:r>
        <w:rPr>
          <w:rFonts w:ascii="Source Serif 4" w:cs="Source Serif 4" w:eastAsia="Source Serif 4" w:hAnsi="Source Serif 4"/>
          <w:color w:val="2A2420"/>
          <w:sz w:val="22"/>
          <w:szCs w:val="22"/>
        </w:rPr>
        <w:t xml:space="preserve">The Trends tab draws sparkline charts for all parameters, showing the last ten readings for each. The acceptable target range is shaded on each chart so you can see at a glance whether values are moving into or out of range. You need at least two readings before the Trends tab will show anything.</w:t>
      </w:r>
    </w:p>
    <w:p>
      <w:pPr>
        <w:pStyle w:val="Heading2"/>
        <w:spacing w:after="120" w:before="320"/>
      </w:pPr>
      <w:r>
        <w:rPr>
          <w:rFonts w:ascii="Fraunces" w:cs="Fraunces" w:eastAsia="Fraunces" w:hAnsi="Fraunces"/>
          <w:color w:val="2A2420"/>
          <w:sz w:val="32"/>
          <w:szCs w:val="32"/>
        </w:rPr>
        <w:t xml:space="preserve">Settings</w:t>
      </w:r>
    </w:p>
    <w:p>
      <w:pPr>
        <w:spacing w:after="140" w:before="0"/>
      </w:pPr>
      <w:r>
        <w:rPr>
          <w:rFonts w:ascii="Source Serif 4" w:cs="Source Serif 4" w:eastAsia="Source Serif 4" w:hAnsi="Source Serif 4"/>
          <w:color w:val="2A2420"/>
          <w:sz w:val="22"/>
          <w:szCs w:val="22"/>
        </w:rPr>
        <w:t xml:space="preserve">The Settings tab shows the tank details and the dosing solution concentrations for reference. It contains two actions: Export all data downloads a JSON file of all stored readings, which you can keep as a backup or import into a spreadsheet. Clear all readings deletes everything stored in the browser permanently; the app asks for confirmation before proceeding.</w:t>
      </w:r>
    </w:p>
    <w:p>
      <w:pPr>
        <w:pBdr>
          <w:bottom w:val="single" w:color="B8ADA0" w:sz="4" w:space="1"/>
        </w:pBdr>
        <w:spacing w:after="200" w:before="200"/>
      </w:pPr>
    </w:p>
    <w:p>
      <w:pPr>
        <w:spacing w:after="80" w:before="360"/>
      </w:pPr>
      <w:r>
        <w:rPr>
          <w:rFonts w:ascii="Inter" w:cs="Inter" w:eastAsia="Inter" w:hAnsi="Inter"/>
          <w:color w:val="B84A2E"/>
          <w:spacing w:val="120"/>
          <w:sz w:val="18"/>
          <w:szCs w:val="18"/>
        </w:rPr>
        <w:t xml:space="preserve">SECTION 3</w:t>
      </w:r>
    </w:p>
    <w:p>
      <w:pPr>
        <w:pStyle w:val="Heading1"/>
        <w:spacing w:after="160" w:before="0"/>
      </w:pPr>
      <w:r>
        <w:rPr>
          <w:rFonts w:ascii="Fraunces" w:cs="Fraunces" w:eastAsia="Fraunces" w:hAnsi="Fraunces"/>
          <w:color w:val="2A2420"/>
          <w:sz w:val="44"/>
          <w:szCs w:val="44"/>
        </w:rPr>
        <w:t xml:space="preserve">Target Parameters</w:t>
      </w:r>
    </w:p>
    <w:p>
      <w:pPr>
        <w:spacing w:after="200" w:before="0"/>
      </w:pPr>
      <w:r>
        <w:rPr>
          <w:rFonts w:ascii="Source Serif 4" w:cs="Source Serif 4" w:eastAsia="Source Serif 4" w:hAnsi="Source Serif 4"/>
          <w:i/>
          <w:iCs/>
          <w:color w:val="2A2420"/>
          <w:sz w:val="26"/>
          <w:szCs w:val="26"/>
        </w:rPr>
        <w:t xml:space="preserve">All target ranges are drawn from the Red Sea Reef Care Programme. The ideal values are set to the centre or optimum of each range.</w:t>
      </w:r>
    </w:p>
    <w:p>
      <w:pPr>
        <w:spacing w:after="0" w:before="12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1200"/>
        <w:gridCol w:w="1200"/>
      </w:tblGrid>
      <w:tr>
        <w:tc>
          <w:tcPr>
            <w:tcW w:type="dxa" w:w="28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Parameter</w:t>
            </w:r>
          </w:p>
        </w:tc>
        <w:tc>
          <w:tcPr>
            <w:tcW w:type="dxa" w:w="11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Unit</w:t>
            </w:r>
          </w:p>
        </w:tc>
        <w:tc>
          <w:tcPr>
            <w:tcW w:type="dxa" w:w="12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Minimum</w:t>
            </w:r>
          </w:p>
        </w:tc>
        <w:tc>
          <w:tcPr>
            <w:tcW w:type="dxa" w:w="12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Maximum</w:t>
            </w:r>
          </w:p>
        </w:tc>
        <w:tc>
          <w:tcPr>
            <w:tcW w:type="dxa" w:w="12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Ideal</w:t>
            </w:r>
          </w:p>
        </w:tc>
      </w:tr>
      <w:tr>
        <w:tc>
          <w:tcPr>
            <w:tcW w:type="dxa" w:w="28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Alkalinity</w:t>
            </w:r>
          </w:p>
        </w:tc>
        <w:tc>
          <w:tcPr>
            <w:tcW w:type="dxa" w:w="11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dKH</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8.0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12.0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9.5</w:t>
            </w:r>
          </w:p>
        </w:tc>
      </w:tr>
      <w:tr>
        <w:tc>
          <w:tcPr>
            <w:tcW w:type="dxa" w:w="28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Calcium</w:t>
            </w:r>
          </w:p>
        </w:tc>
        <w:tc>
          <w:tcPr>
            <w:tcW w:type="dxa" w:w="11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ppm</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430</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465</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447</w:t>
            </w:r>
          </w:p>
        </w:tc>
      </w:tr>
      <w:tr>
        <w:tc>
          <w:tcPr>
            <w:tcW w:type="dxa" w:w="28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Magnesium</w:t>
            </w:r>
          </w:p>
        </w:tc>
        <w:tc>
          <w:tcPr>
            <w:tcW w:type="dxa" w:w="11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ppm</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1250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1390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1320</w:t>
            </w:r>
          </w:p>
        </w:tc>
      </w:tr>
      <w:tr>
        <w:tc>
          <w:tcPr>
            <w:tcW w:type="dxa" w:w="28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pH</w:t>
            </w:r>
          </w:p>
        </w:tc>
        <w:tc>
          <w:tcPr>
            <w:tcW w:type="dxa" w:w="11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pH</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7.8</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8.5</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8.2</w:t>
            </w:r>
          </w:p>
        </w:tc>
      </w:tr>
      <w:tr>
        <w:tc>
          <w:tcPr>
            <w:tcW w:type="dxa" w:w="28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Nitrate</w:t>
            </w:r>
          </w:p>
        </w:tc>
        <w:tc>
          <w:tcPr>
            <w:tcW w:type="dxa" w:w="11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ppm</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1.00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4.50</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2.5</w:t>
            </w:r>
          </w:p>
        </w:tc>
      </w:tr>
      <w:tr>
        <w:tc>
          <w:tcPr>
            <w:tcW w:type="dxa" w:w="28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Phosphate</w:t>
            </w:r>
          </w:p>
        </w:tc>
        <w:tc>
          <w:tcPr>
            <w:tcW w:type="dxa" w:w="11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ppm</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0.02</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0.10</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0.05</w:t>
            </w:r>
          </w:p>
        </w:tc>
      </w:tr>
      <w:tr>
        <w:tc>
          <w:tcPr>
            <w:tcW w:type="dxa" w:w="28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Temperature</w:t>
            </w:r>
          </w:p>
        </w:tc>
        <w:tc>
          <w:tcPr>
            <w:tcW w:type="dxa" w:w="11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C</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24</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26</w:t>
            </w:r>
          </w:p>
        </w:tc>
        <w:tc>
          <w:tcPr>
            <w:tcW w:type="dxa" w:w="12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25</w:t>
            </w:r>
          </w:p>
        </w:tc>
      </w:tr>
      <w:tr>
        <w:tc>
          <w:tcPr>
            <w:tcW w:type="dxa" w:w="28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Salinity</w:t>
            </w:r>
          </w:p>
        </w:tc>
        <w:tc>
          <w:tcPr>
            <w:tcW w:type="dxa" w:w="11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SG</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1.025</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1.027</w:t>
            </w:r>
          </w:p>
        </w:tc>
        <w:tc>
          <w:tcPr>
            <w:tcW w:type="dxa" w:w="12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1.026</w:t>
            </w:r>
          </w:p>
        </w:tc>
      </w:tr>
    </w:tbl>
    <w:p>
      <w:pPr>
        <w:spacing w:after="0" w:before="200"/>
      </w:pPr>
      <w:r>
        <w:t xml:space="preserve"/>
      </w:r>
    </w:p>
    <w:p>
      <w:pPr>
        <w:spacing w:after="140" w:before="0"/>
      </w:pPr>
      <w:r>
        <w:rPr>
          <w:rFonts w:ascii="Source Serif 4" w:cs="Source Serif 4" w:eastAsia="Source Serif 4" w:hAnsi="Source Serif 4"/>
          <w:color w:val="2A2420"/>
          <w:sz w:val="22"/>
          <w:szCs w:val="22"/>
        </w:rPr>
        <w:t xml:space="preserve">Nitrite and ammonia are monitored but not dosed. Both should remain at or near zero in a stable reef system. Any reading above the minimum detection threshold warrants investigation.</w:t>
      </w:r>
    </w:p>
    <w:p>
      <w:pPr>
        <w:pBdr>
          <w:bottom w:val="single" w:color="B8ADA0" w:sz="4" w:space="1"/>
        </w:pBdr>
        <w:spacing w:after="200" w:before="200"/>
      </w:pPr>
    </w:p>
    <w:p>
      <w:pPr>
        <w:spacing w:after="80" w:before="360"/>
      </w:pPr>
      <w:r>
        <w:rPr>
          <w:rFonts w:ascii="Inter" w:cs="Inter" w:eastAsia="Inter" w:hAnsi="Inter"/>
          <w:color w:val="B84A2E"/>
          <w:spacing w:val="120"/>
          <w:sz w:val="18"/>
          <w:szCs w:val="18"/>
        </w:rPr>
        <w:t xml:space="preserve">SECTION 4</w:t>
      </w:r>
    </w:p>
    <w:p>
      <w:pPr>
        <w:pStyle w:val="Heading1"/>
        <w:spacing w:after="160" w:before="0"/>
      </w:pPr>
      <w:r>
        <w:rPr>
          <w:rFonts w:ascii="Fraunces" w:cs="Fraunces" w:eastAsia="Fraunces" w:hAnsi="Fraunces"/>
          <w:color w:val="2A2420"/>
          <w:sz w:val="44"/>
          <w:szCs w:val="44"/>
        </w:rPr>
        <w:t xml:space="preserve">Dosing Solutions</w:t>
      </w:r>
    </w:p>
    <w:p>
      <w:pPr>
        <w:spacing w:after="200" w:before="0"/>
      </w:pPr>
      <w:r>
        <w:rPr>
          <w:rFonts w:ascii="Source Serif 4" w:cs="Source Serif 4" w:eastAsia="Source Serif 4" w:hAnsi="Source Serif 4"/>
          <w:i/>
          <w:iCs/>
          <w:color w:val="2A2420"/>
          <w:sz w:val="26"/>
          <w:szCs w:val="26"/>
        </w:rPr>
        <w:t xml:space="preserve">All three solutions are mixed from raw chemicals in reverse osmosis water. The recipes below are the current standard mixes. Do not substitute tap water.</w:t>
      </w:r>
    </w:p>
    <w:p>
      <w:pPr>
        <w:pStyle w:val="Heading2"/>
        <w:spacing w:after="120" w:before="320"/>
      </w:pPr>
      <w:r>
        <w:rPr>
          <w:rFonts w:ascii="Fraunces" w:cs="Fraunces" w:eastAsia="Fraunces" w:hAnsi="Fraunces"/>
          <w:color w:val="2A2420"/>
          <w:sz w:val="32"/>
          <w:szCs w:val="32"/>
        </w:rPr>
        <w:t xml:space="preserve">Daily Safety Limits</w:t>
      </w:r>
    </w:p>
    <w:p>
      <w:pPr>
        <w:spacing w:after="140" w:before="0"/>
      </w:pPr>
      <w:r>
        <w:rPr>
          <w:rFonts w:ascii="Source Serif 4" w:cs="Source Serif 4" w:eastAsia="Source Serif 4" w:hAnsi="Source Serif 4"/>
          <w:color w:val="2A2420"/>
          <w:sz w:val="22"/>
          <w:szCs w:val="22"/>
        </w:rPr>
        <w:t xml:space="preserve">Raising any parameter too quickly stresses coral and can cause precipitation in the water column. The app enforces the following daily maximums when calculating suggested doses and corrections.</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000"/>
      </w:tblGrid>
      <w:tr>
        <w:tc>
          <w:tcPr>
            <w:tcW w:type="dxa" w:w="20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Parameter</w:t>
            </w:r>
          </w:p>
        </w:tc>
        <w:tc>
          <w:tcPr>
            <w:tcW w:type="dxa" w:w="25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Maximum daily increase</w:t>
            </w:r>
          </w:p>
        </w:tc>
        <w:tc>
          <w:tcPr>
            <w:tcW w:type="dxa" w:w="4000"/>
            <w:tcBorders>
              <w:top w:val="single" w:color="B8ADA0" w:sz="1"/>
              <w:left w:val="single" w:color="B8ADA0" w:sz="1"/>
              <w:bottom w:val="single" w:color="B8ADA0" w:sz="1"/>
              <w:right w:val="single" w:color="B8ADA0" w:sz="1"/>
            </w:tcBorders>
            <w:shd w:fill="2A2420" w:val="clear"/>
            <w:tcMar>
              <w:top w:type="dxa" w:w="80"/>
              <w:left w:type="dxa" w:w="160"/>
              <w:bottom w:type="dxa" w:w="80"/>
              <w:right w:type="dxa" w:w="160"/>
            </w:tcMar>
            <w:vAlign w:val="center"/>
          </w:tcPr>
          <w:p>
            <w:r>
              <w:rPr>
                <w:rFonts w:ascii="Inter" w:cs="Inter" w:eastAsia="Inter" w:hAnsi="Inter"/>
                <w:b/>
                <w:bCs/>
                <w:color w:val="F4EEE1"/>
                <w:sz w:val="18"/>
                <w:szCs w:val="18"/>
              </w:rPr>
              <w:t xml:space="preserve">Reason</w:t>
            </w:r>
          </w:p>
        </w:tc>
      </w:tr>
      <w:tr>
        <w:tc>
          <w:tcPr>
            <w:tcW w:type="dxa" w:w="20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Alkalinity</w:t>
            </w:r>
          </w:p>
        </w:tc>
        <w:tc>
          <w:tcPr>
            <w:tcW w:type="dxa" w:w="25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1.2 dKH per day</w:t>
            </w:r>
          </w:p>
        </w:tc>
        <w:tc>
          <w:tcPr>
            <w:tcW w:type="dxa" w:w="40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Rapid swings suppress calcification and damage tissue</w:t>
            </w:r>
          </w:p>
        </w:tc>
      </w:tr>
      <w:tr>
        <w:tc>
          <w:tcPr>
            <w:tcW w:type="dxa" w:w="20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Calcium</w:t>
            </w:r>
          </w:p>
        </w:tc>
        <w:tc>
          <w:tcPr>
            <w:tcW w:type="dxa" w:w="25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20 ppm per day</w:t>
            </w:r>
          </w:p>
        </w:tc>
        <w:tc>
          <w:tcPr>
            <w:tcW w:type="dxa" w:w="4000"/>
            <w:tcBorders>
              <w:top w:val="single" w:color="B8ADA0" w:sz="1"/>
              <w:left w:val="single" w:color="B8ADA0" w:sz="1"/>
              <w:bottom w:val="single" w:color="B8ADA0" w:sz="1"/>
              <w:right w:val="single" w:color="B8ADA0" w:sz="1"/>
            </w:tcBorders>
            <w:shd w:fill="F0EBE0"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Excess precipitates with carbonate, clouding the water</w:t>
            </w:r>
          </w:p>
        </w:tc>
      </w:tr>
      <w:tr>
        <w:tc>
          <w:tcPr>
            <w:tcW w:type="dxa" w:w="20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Magnesium</w:t>
            </w:r>
          </w:p>
        </w:tc>
        <w:tc>
          <w:tcPr>
            <w:tcW w:type="dxa" w:w="25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10 ppm per day</w:t>
            </w:r>
          </w:p>
        </w:tc>
        <w:tc>
          <w:tcPr>
            <w:tcW w:type="dxa" w:w="4000"/>
            <w:tcBorders>
              <w:top w:val="single" w:color="B8ADA0" w:sz="1"/>
              <w:left w:val="single" w:color="B8ADA0" w:sz="1"/>
              <w:bottom w:val="single" w:color="B8ADA0" w:sz="1"/>
              <w:right w:val="single" w:color="B8ADA0" w:sz="1"/>
            </w:tcBorders>
            <w:shd w:fill="F4EEE1" w:val="clear"/>
            <w:tcMar>
              <w:top w:type="dxa" w:w="80"/>
              <w:left w:type="dxa" w:w="160"/>
              <w:bottom w:type="dxa" w:w="80"/>
              <w:right w:type="dxa" w:w="160"/>
            </w:tcMar>
            <w:vAlign w:val="center"/>
          </w:tcPr>
          <w:p>
            <w:r>
              <w:rPr>
                <w:rFonts w:ascii="Source Serif 4" w:cs="Source Serif 4" w:eastAsia="Source Serif 4" w:hAnsi="Source Serif 4"/>
                <w:b w:val="false"/>
                <w:bCs w:val="false"/>
                <w:color w:val="2A2420"/>
                <w:sz w:val="20"/>
                <w:szCs w:val="20"/>
              </w:rPr>
              <w:t xml:space="preserve">High doses affect ionic balance and can stress invertebrates</w:t>
            </w:r>
          </w:p>
        </w:tc>
      </w:tr>
    </w:tbl>
    <w:p>
      <w:pPr>
        <w:spacing w:after="0" w:before="200"/>
      </w:pPr>
      <w:r>
        <w:t xml:space="preserve"/>
      </w:r>
    </w:p>
    <w:p>
      <w:pPr>
        <w:pStyle w:val="Heading2"/>
        <w:spacing w:after="120" w:before="320"/>
      </w:pPr>
      <w:r>
        <w:rPr>
          <w:rFonts w:ascii="Fraunces" w:cs="Fraunces" w:eastAsia="Fraunces" w:hAnsi="Fraunces"/>
          <w:color w:val="2A2420"/>
          <w:sz w:val="32"/>
          <w:szCs w:val="32"/>
        </w:rPr>
        <w:t xml:space="preserve">Alkalinity Solution</w:t>
      </w:r>
    </w:p>
    <w:p>
      <w:pPr>
        <w:pStyle w:val="Heading3"/>
        <w:spacing w:after="80" w:before="240"/>
      </w:pPr>
      <w:r>
        <w:rPr>
          <w:rFonts w:ascii="Fraunces" w:cs="Fraunces" w:eastAsia="Fraunces" w:hAnsi="Fraunces"/>
          <w:b w:val="false"/>
          <w:bCs w:val="false"/>
          <w:color w:val="2A2420"/>
          <w:sz w:val="26"/>
          <w:szCs w:val="26"/>
        </w:rPr>
        <w:t xml:space="preserve">Current recipe</w:t>
      </w:r>
    </w:p>
    <w:p>
      <w:pPr>
        <w:spacing w:after="140" w:before="0"/>
      </w:pPr>
      <w:r>
        <w:rPr>
          <w:rFonts w:ascii="Source Serif 4" w:cs="Source Serif 4" w:eastAsia="Source Serif 4" w:hAnsi="Source Serif 4"/>
          <w:color w:val="2A2420"/>
          <w:sz w:val="22"/>
          <w:szCs w:val="22"/>
        </w:rPr>
        <w:t xml:space="preserve">Chemical: anhydrous sodium carbonate, Na2CO3.</w:t>
      </w:r>
    </w:p>
    <w:p>
      <w:pPr>
        <w:spacing w:after="140" w:before="0"/>
      </w:pPr>
      <w:r>
        <w:rPr>
          <w:rFonts w:ascii="Source Serif 4" w:cs="Source Serif 4" w:eastAsia="Source Serif 4" w:hAnsi="Source Serif 4"/>
          <w:color w:val="2A2420"/>
          <w:sz w:val="22"/>
          <w:szCs w:val="22"/>
        </w:rPr>
        <w:t xml:space="preserve">Mix 133.1 g of anhydrous sodium carbonate into 1 litre of reverse osmosis water. Stir until fully dissolved; the compound dissolves readily at room temperature at this concentration.</w:t>
      </w:r>
    </w:p>
    <w:p>
      <w:pPr>
        <w:spacing w:after="140" w:before="0"/>
      </w:pPr>
      <w:r>
        <w:rPr>
          <w:rFonts w:ascii="Source Serif 4" w:cs="Source Serif 4" w:eastAsia="Source Serif 4" w:hAnsi="Source Serif 4"/>
          <w:color w:val="2A2420"/>
          <w:sz w:val="22"/>
          <w:szCs w:val="22"/>
        </w:rPr>
        <w:t xml:space="preserve">Effective concentration: 125.7 mg of CaCO3-equivalent alkalinity per ml of solution.</w:t>
      </w:r>
    </w:p>
    <w:p>
      <w:pPr>
        <w:spacing w:after="0" w:before="80"/>
      </w:pPr>
      <w:r>
        <w:t xml:space="preserve"/>
      </w:r>
    </w:p>
    <w:p>
      <w:pPr>
        <w:spacing w:after="80" w:before="80"/>
      </w:pPr>
      <w:r>
        <w:rPr>
          <w:rFonts w:ascii="Inter" w:cs="Inter" w:eastAsia="Inter" w:hAnsi="Inter"/>
          <w:color w:val="B8ADA0"/>
          <w:sz w:val="18"/>
          <w:szCs w:val="18"/>
        </w:rPr>
        <w:t xml:space="preserve">Na2CO3 is used in preference to sodium bicarbonate because it raises pH as well as alkalinity, helping to counteract the natural acidification of a busy reef system. The higher pH of the solution (approximately 11.5) means the dosing pump outlet should be positioned in a high-flow area away from coral tissue.</w:t>
      </w:r>
    </w:p>
    <w:p>
      <w:pPr>
        <w:spacing w:after="0" w:before="240"/>
      </w:pPr>
      <w:r>
        <w:t xml:space="preserve"/>
      </w:r>
    </w:p>
    <w:p>
      <w:pPr>
        <w:pStyle w:val="Heading3"/>
        <w:spacing w:after="80" w:before="240"/>
      </w:pPr>
      <w:r>
        <w:rPr>
          <w:rFonts w:ascii="Fraunces" w:cs="Fraunces" w:eastAsia="Fraunces" w:hAnsi="Fraunces"/>
          <w:b w:val="false"/>
          <w:bCs w:val="false"/>
          <w:color w:val="2A2420"/>
          <w:sz w:val="26"/>
          <w:szCs w:val="26"/>
        </w:rPr>
        <w:t xml:space="preserve">Alternative: 50/50 blend</w:t>
      </w:r>
    </w:p>
    <w:p>
      <w:pPr>
        <w:pBdr>
          <w:left w:val="single" w:color="B84A2E" w:sz="12" w:space="8"/>
        </w:pBdr>
        <w:spacing w:after="120" w:before="120"/>
        <w:ind w:left="240"/>
      </w:pPr>
      <w:r>
        <w:rPr>
          <w:rFonts w:ascii="Inter" w:cs="Inter" w:eastAsia="Inter" w:hAnsi="Inter"/>
          <w:b/>
          <w:bCs/>
          <w:color w:val="B84A2E"/>
          <w:sz w:val="18"/>
          <w:szCs w:val="18"/>
        </w:rPr>
        <w:t xml:space="preserve">⚠  Using this recipe requires updating the concentration value in the Dosing tab of the app from 125.7 to 102.5 mg/ml before the dosing calculations will be correct. Entering readings or adjusting doses without making this change first will result in incorrect dose suggestions.</w:t>
      </w:r>
    </w:p>
    <w:p>
      <w:pPr>
        <w:spacing w:after="0" w:before="80"/>
      </w:pPr>
      <w:r>
        <w:t xml:space="preserve"/>
      </w:r>
    </w:p>
    <w:p>
      <w:pPr>
        <w:spacing w:after="140" w:before="0"/>
      </w:pPr>
      <w:r>
        <w:rPr>
          <w:rFonts w:ascii="Source Serif 4" w:cs="Source Serif 4" w:eastAsia="Source Serif 4" w:hAnsi="Source Serif 4"/>
          <w:color w:val="2A2420"/>
          <w:sz w:val="22"/>
          <w:szCs w:val="22"/>
        </w:rPr>
        <w:t xml:space="preserve">The 50/50 blend mixes sodium carbonate and sodium bicarbonate in equal weights. It delivers alkalinity with a gentler pH effect, which is useful if pH spikes are observed near the dosing outlet or if coral tissue is positioned close to it.</w:t>
      </w:r>
    </w:p>
    <w:p>
      <w:pPr>
        <w:spacing w:after="140" w:before="0"/>
      </w:pPr>
      <w:r>
        <w:rPr>
          <w:rFonts w:ascii="Source Serif 4" w:cs="Source Serif 4" w:eastAsia="Source Serif 4" w:hAnsi="Source Serif 4"/>
          <w:color w:val="2A2420"/>
          <w:sz w:val="22"/>
          <w:szCs w:val="22"/>
        </w:rPr>
        <w:t xml:space="preserve">Mix 66.5 g of anhydrous sodium carbonate (Na2CO3) and 66.5 g of sodium bicarbonate (NaHCO3) into 1 litre of reverse osmosis water. Both dissolve freely at these concentrations. The resulting solution has a pH of approximately 10.5, compared to 11.5 for the pure Na2CO3 recipe.</w:t>
      </w:r>
    </w:p>
    <w:p>
      <w:pPr>
        <w:spacing w:after="140" w:before="0"/>
      </w:pPr>
      <w:r>
        <w:rPr>
          <w:rFonts w:ascii="Source Serif 4" w:cs="Source Serif 4" w:eastAsia="Source Serif 4" w:hAnsi="Source Serif 4"/>
          <w:color w:val="2A2420"/>
          <w:sz w:val="22"/>
          <w:szCs w:val="22"/>
        </w:rPr>
        <w:t xml:space="preserve">Effective concentration: 102.5 mg of CaCO3-equivalent alkalinity per ml of solution. This is approximately 18% less than the pure Na2CO3 recipe, so the pump will need to be set proportionally higher to deliver the same daily alkalinity.</w:t>
      </w:r>
    </w:p>
    <w:p>
      <w:pPr>
        <w:pBdr>
          <w:bottom w:val="single" w:color="B8ADA0" w:sz="4" w:space="1"/>
        </w:pBdr>
        <w:spacing w:after="200" w:before="200"/>
      </w:pPr>
    </w:p>
    <w:p>
      <w:pPr>
        <w:pStyle w:val="Heading2"/>
        <w:spacing w:after="120" w:before="320"/>
      </w:pPr>
      <w:r>
        <w:rPr>
          <w:rFonts w:ascii="Fraunces" w:cs="Fraunces" w:eastAsia="Fraunces" w:hAnsi="Fraunces"/>
          <w:color w:val="2A2420"/>
          <w:sz w:val="32"/>
          <w:szCs w:val="32"/>
        </w:rPr>
        <w:t xml:space="preserve">Calcium Solution</w:t>
      </w:r>
    </w:p>
    <w:p>
      <w:pPr>
        <w:pStyle w:val="Heading3"/>
        <w:spacing w:after="80" w:before="240"/>
      </w:pPr>
      <w:r>
        <w:rPr>
          <w:rFonts w:ascii="Fraunces" w:cs="Fraunces" w:eastAsia="Fraunces" w:hAnsi="Fraunces"/>
          <w:b w:val="false"/>
          <w:bCs w:val="false"/>
          <w:color w:val="2A2420"/>
          <w:sz w:val="26"/>
          <w:szCs w:val="26"/>
        </w:rPr>
        <w:t xml:space="preserve">Current recipe</w:t>
      </w:r>
    </w:p>
    <w:p>
      <w:pPr>
        <w:spacing w:after="140" w:before="0"/>
      </w:pPr>
      <w:r>
        <w:rPr>
          <w:rFonts w:ascii="Source Serif 4" w:cs="Source Serif 4" w:eastAsia="Source Serif 4" w:hAnsi="Source Serif 4"/>
          <w:color w:val="2A2420"/>
          <w:sz w:val="22"/>
          <w:szCs w:val="22"/>
        </w:rPr>
        <w:t xml:space="preserve">Chemical: calcium chloride dihydrate, CaCl2.2H2O.</w:t>
      </w:r>
    </w:p>
    <w:p>
      <w:pPr>
        <w:spacing w:after="140" w:before="0"/>
      </w:pPr>
      <w:r>
        <w:rPr>
          <w:rFonts w:ascii="Source Serif 4" w:cs="Source Serif 4" w:eastAsia="Source Serif 4" w:hAnsi="Source Serif 4"/>
          <w:color w:val="2A2420"/>
          <w:sz w:val="22"/>
          <w:szCs w:val="22"/>
        </w:rPr>
        <w:t xml:space="preserve">Mix 348 g of calcium chloride dihydrate into 1 litre of reverse osmosis water. The salt is highly exothermic on dissolving; stir gradually and allow to cool before storing or adding to the dosing reservoir.</w:t>
      </w:r>
    </w:p>
    <w:p>
      <w:pPr>
        <w:spacing w:after="140" w:before="0"/>
      </w:pPr>
      <w:r>
        <w:rPr>
          <w:rFonts w:ascii="Source Serif 4" w:cs="Source Serif 4" w:eastAsia="Source Serif 4" w:hAnsi="Source Serif 4"/>
          <w:color w:val="2A2420"/>
          <w:sz w:val="22"/>
          <w:szCs w:val="22"/>
        </w:rPr>
        <w:t xml:space="preserve">Effective concentration: 94.9 mg of calcium per ml of solution.</w:t>
      </w:r>
    </w:p>
    <w:p>
      <w:pPr>
        <w:spacing w:after="0" w:before="80"/>
      </w:pPr>
      <w:r>
        <w:t xml:space="preserve"/>
      </w:r>
    </w:p>
    <w:p>
      <w:pPr>
        <w:spacing w:after="80" w:before="80"/>
      </w:pPr>
      <w:r>
        <w:rPr>
          <w:rFonts w:ascii="Inter" w:cs="Inter" w:eastAsia="Inter" w:hAnsi="Inter"/>
          <w:color w:val="B8ADA0"/>
          <w:sz w:val="18"/>
          <w:szCs w:val="18"/>
        </w:rPr>
        <w:t xml:space="preserve">Calcium chloride dihydrate is hygroscopic and will absorb moisture from the air if left open. Keep the container sealed when not in use and weigh before each mix to ensure the full 348 g of actual salt rather than salt plus absorbed water.</w:t>
      </w:r>
    </w:p>
    <w:p>
      <w:pPr>
        <w:pBdr>
          <w:bottom w:val="single" w:color="B8ADA0" w:sz="4" w:space="1"/>
        </w:pBdr>
        <w:spacing w:after="200" w:before="200"/>
      </w:pPr>
    </w:p>
    <w:p>
      <w:pPr>
        <w:pStyle w:val="Heading2"/>
        <w:spacing w:after="120" w:before="320"/>
      </w:pPr>
      <w:r>
        <w:rPr>
          <w:rFonts w:ascii="Fraunces" w:cs="Fraunces" w:eastAsia="Fraunces" w:hAnsi="Fraunces"/>
          <w:color w:val="2A2420"/>
          <w:sz w:val="32"/>
          <w:szCs w:val="32"/>
        </w:rPr>
        <w:t xml:space="preserve">Magnesium Solution</w:t>
      </w:r>
    </w:p>
    <w:p>
      <w:pPr>
        <w:pStyle w:val="Heading3"/>
        <w:spacing w:after="80" w:before="240"/>
      </w:pPr>
      <w:r>
        <w:rPr>
          <w:rFonts w:ascii="Fraunces" w:cs="Fraunces" w:eastAsia="Fraunces" w:hAnsi="Fraunces"/>
          <w:b w:val="false"/>
          <w:bCs w:val="false"/>
          <w:color w:val="2A2420"/>
          <w:sz w:val="26"/>
          <w:szCs w:val="26"/>
        </w:rPr>
        <w:t xml:space="preserve">Current recipe</w:t>
      </w:r>
    </w:p>
    <w:p>
      <w:pPr>
        <w:spacing w:after="140" w:before="0"/>
      </w:pPr>
      <w:r>
        <w:rPr>
          <w:rFonts w:ascii="Source Serif 4" w:cs="Source Serif 4" w:eastAsia="Source Serif 4" w:hAnsi="Source Serif 4"/>
          <w:color w:val="2A2420"/>
          <w:sz w:val="22"/>
          <w:szCs w:val="22"/>
        </w:rPr>
        <w:t xml:space="preserve">Chemicals: magnesium chloride hexahydrate (MgCl2.6H2O) and magnesium sulphate heptahydrate (MgSO4.7H2O).</w:t>
      </w:r>
    </w:p>
    <w:p>
      <w:pPr>
        <w:spacing w:after="140" w:before="0"/>
      </w:pPr>
      <w:r>
        <w:rPr>
          <w:rFonts w:ascii="Source Serif 4" w:cs="Source Serif 4" w:eastAsia="Source Serif 4" w:hAnsi="Source Serif 4"/>
          <w:color w:val="2A2420"/>
          <w:sz w:val="22"/>
          <w:szCs w:val="22"/>
        </w:rPr>
        <w:t xml:space="preserve">Mix 247 g of magnesium chloride hexahydrate and 175 g of magnesium sulphate heptahydrate into 2 litres of reverse osmosis water. Both salts dissolve readily at these concentrations without heating. The two compounds share a common ion (Mg2+) but at these concentrations there is no interaction that would impede dissolution or cause precipitation.</w:t>
      </w:r>
    </w:p>
    <w:p>
      <w:pPr>
        <w:spacing w:after="140" w:before="0"/>
      </w:pPr>
      <w:r>
        <w:rPr>
          <w:rFonts w:ascii="Source Serif 4" w:cs="Source Serif 4" w:eastAsia="Source Serif 4" w:hAnsi="Source Serif 4"/>
          <w:color w:val="2A2420"/>
          <w:sz w:val="22"/>
          <w:szCs w:val="22"/>
        </w:rPr>
        <w:t xml:space="preserve">Effective concentration: 23.4 mg of magnesium per ml of solution.</w:t>
      </w:r>
    </w:p>
    <w:p>
      <w:pPr>
        <w:spacing w:after="0" w:before="80"/>
      </w:pPr>
      <w:r>
        <w:t xml:space="preserve"/>
      </w:r>
    </w:p>
    <w:p>
      <w:pPr>
        <w:spacing w:after="80" w:before="80"/>
      </w:pPr>
      <w:r>
        <w:rPr>
          <w:rFonts w:ascii="Inter" w:cs="Inter" w:eastAsia="Inter" w:hAnsi="Inter"/>
          <w:color w:val="B8ADA0"/>
          <w:sz w:val="18"/>
          <w:szCs w:val="18"/>
        </w:rPr>
        <w:t xml:space="preserve">The use of two magnesium salts rather than one maintains the natural sulphate-to-chloride ratio found in seawater, which is important for long-term ionic balance. Magnesium sulphate alone would raise sulphate to undesirable levels over time; magnesium chloride alone would raise chloride.</w:t>
      </w:r>
    </w:p>
    <w:p>
      <w:pPr>
        <w:spacing w:after="0" w:before="80"/>
      </w:pPr>
      <w:r>
        <w:t xml:space="preserve"/>
      </w:r>
    </w:p>
    <w:p>
      <w:pPr>
        <w:spacing w:after="80" w:before="80"/>
      </w:pPr>
      <w:r>
        <w:rPr>
          <w:rFonts w:ascii="Inter" w:cs="Inter" w:eastAsia="Inter" w:hAnsi="Inter"/>
          <w:color w:val="B8ADA0"/>
          <w:sz w:val="18"/>
          <w:szCs w:val="18"/>
        </w:rPr>
        <w:t xml:space="preserve">At 23.4 mg/ml the solution is moderately dilute. A maintenance dose of 40 to 60 ml per day is typical for a system with active coral calcification. If the dosing reservoir requires refilling more frequently than desired, the recipe can be scaled to 1 litre of water instead of 2, which will roughly double the concentration to approximately 46.8 mg/ml and halve the required daily volume.</w:t>
      </w:r>
    </w:p>
    <w:p>
      <w:pPr>
        <w:pBdr>
          <w:bottom w:val="single" w:color="B8ADA0" w:sz="4" w:space="1"/>
        </w:pBdr>
        <w:spacing w:after="200" w:before="200"/>
      </w:pPr>
    </w:p>
    <w:p>
      <w:pPr>
        <w:spacing w:after="80" w:before="360"/>
      </w:pPr>
      <w:r>
        <w:rPr>
          <w:rFonts w:ascii="Inter" w:cs="Inter" w:eastAsia="Inter" w:hAnsi="Inter"/>
          <w:color w:val="B84A2E"/>
          <w:spacing w:val="120"/>
          <w:sz w:val="18"/>
          <w:szCs w:val="18"/>
        </w:rPr>
        <w:t xml:space="preserve">SECTION 5</w:t>
      </w:r>
    </w:p>
    <w:p>
      <w:pPr>
        <w:pStyle w:val="Heading1"/>
        <w:spacing w:after="160" w:before="0"/>
      </w:pPr>
      <w:r>
        <w:rPr>
          <w:rFonts w:ascii="Fraunces" w:cs="Fraunces" w:eastAsia="Fraunces" w:hAnsi="Fraunces"/>
          <w:color w:val="2A2420"/>
          <w:sz w:val="44"/>
          <w:szCs w:val="44"/>
        </w:rPr>
        <w:t xml:space="preserve">How the Dosing Calculations Work</w:t>
      </w:r>
    </w:p>
    <w:p>
      <w:pPr>
        <w:spacing w:after="200" w:before="0"/>
      </w:pPr>
      <w:r>
        <w:rPr>
          <w:rFonts w:ascii="Source Serif 4" w:cs="Source Serif 4" w:eastAsia="Source Serif 4" w:hAnsi="Source Serif 4"/>
          <w:i/>
          <w:iCs/>
          <w:color w:val="2A2420"/>
          <w:sz w:val="26"/>
          <w:szCs w:val="26"/>
        </w:rPr>
        <w:t xml:space="preserve">This section explains the mathematics the app uses, for reference and verification. You do not need to understand it to use the app.</w:t>
      </w:r>
    </w:p>
    <w:p>
      <w:pPr>
        <w:pStyle w:val="Heading2"/>
        <w:spacing w:after="120" w:before="320"/>
      </w:pPr>
      <w:r>
        <w:rPr>
          <w:rFonts w:ascii="Fraunces" w:cs="Fraunces" w:eastAsia="Fraunces" w:hAnsi="Fraunces"/>
          <w:color w:val="2A2420"/>
          <w:sz w:val="32"/>
          <w:szCs w:val="32"/>
        </w:rPr>
        <w:t xml:space="preserve">Consumption rate</w:t>
      </w:r>
    </w:p>
    <w:p>
      <w:pPr>
        <w:spacing w:after="140" w:before="0"/>
      </w:pPr>
      <w:r>
        <w:rPr>
          <w:rFonts w:ascii="Source Serif 4" w:cs="Source Serif 4" w:eastAsia="Source Serif 4" w:hAnsi="Source Serif 4"/>
          <w:color w:val="2A2420"/>
          <w:sz w:val="22"/>
          <w:szCs w:val="22"/>
        </w:rPr>
        <w:t xml:space="preserve">The consumption rate for a parameter is calculated from the last two readings that contain a value for that parameter. The drop in value between the older and the more recent reading is divided by the number of days between the two test dates. This gives a daily consumption rate in the native unit of each parameter.</w:t>
      </w:r>
    </w:p>
    <w:p>
      <w:pPr>
        <w:spacing w:after="140" w:before="0"/>
      </w:pPr>
      <w:r>
        <w:rPr>
          <w:rFonts w:ascii="Source Serif 4" w:cs="Source Serif 4" w:eastAsia="Source Serif 4" w:hAnsi="Source Serif 4"/>
          <w:color w:val="2A2420"/>
          <w:sz w:val="22"/>
          <w:szCs w:val="22"/>
        </w:rPr>
        <w:t xml:space="preserve">Because the app divides by actual days elapsed rather than assuming a fixed weekly interval, irregular testing cadences are handled correctly. A reading taken after ten days carries the same mathematical weight as one taken after seven.</w:t>
      </w:r>
    </w:p>
    <w:p>
      <w:pPr>
        <w:pStyle w:val="Heading2"/>
        <w:spacing w:after="120" w:before="320"/>
      </w:pPr>
      <w:r>
        <w:rPr>
          <w:rFonts w:ascii="Fraunces" w:cs="Fraunces" w:eastAsia="Fraunces" w:hAnsi="Fraunces"/>
          <w:color w:val="2A2420"/>
          <w:sz w:val="32"/>
          <w:szCs w:val="32"/>
        </w:rPr>
        <w:t xml:space="preserve">Delivered dose per day</w:t>
      </w:r>
    </w:p>
    <w:p>
      <w:pPr>
        <w:spacing w:after="140" w:before="0"/>
      </w:pPr>
      <w:r>
        <w:rPr>
          <w:rFonts w:ascii="Source Serif 4" w:cs="Source Serif 4" w:eastAsia="Source Serif 4" w:hAnsi="Source Serif 4"/>
          <w:color w:val="2A2420"/>
          <w:sz w:val="22"/>
          <w:szCs w:val="22"/>
        </w:rPr>
        <w:t xml:space="preserve">For calcium and magnesium, the amount delivered per day is straightforward: multiply the daily dose volume in ml by the solution concentration in mg/ml, then divide by the tank volume in litres. This gives ppm delivered per day.</w:t>
      </w:r>
    </w:p>
    <w:p>
      <w:pPr>
        <w:spacing w:after="140" w:before="0"/>
      </w:pPr>
      <w:r>
        <w:rPr>
          <w:rFonts w:ascii="Source Serif 4" w:cs="Source Serif 4" w:eastAsia="Source Serif 4" w:hAnsi="Source Serif 4"/>
          <w:color w:val="2A2420"/>
          <w:sz w:val="22"/>
          <w:szCs w:val="22"/>
        </w:rPr>
        <w:t xml:space="preserve">For alkalinity the same logic applies, but an additional conversion is needed because the target unit is dKH rather than ppm. The conversion factor is 17.848: one dKH of alkalinity corresponds to 17.848 mg of CaCO3-equivalent per litre of water. The delivered dKH per day is therefore the dose in ml multiplied by the concentration in mg/ml, divided by the product of 17.848 and the tank volume in litres.</w:t>
      </w:r>
    </w:p>
    <w:p>
      <w:pPr>
        <w:pStyle w:val="Heading2"/>
        <w:spacing w:after="120" w:before="320"/>
      </w:pPr>
      <w:r>
        <w:rPr>
          <w:rFonts w:ascii="Fraunces" w:cs="Fraunces" w:eastAsia="Fraunces" w:hAnsi="Fraunces"/>
          <w:color w:val="2A2420"/>
          <w:sz w:val="32"/>
          <w:szCs w:val="32"/>
        </w:rPr>
        <w:t xml:space="preserve">Bolus correction</w:t>
      </w:r>
    </w:p>
    <w:p>
      <w:pPr>
        <w:spacing w:after="140" w:before="0"/>
      </w:pPr>
      <w:r>
        <w:rPr>
          <w:rFonts w:ascii="Source Serif 4" w:cs="Source Serif 4" w:eastAsia="Source Serif 4" w:hAnsi="Source Serif 4"/>
          <w:color w:val="2A2420"/>
          <w:sz w:val="22"/>
          <w:szCs w:val="22"/>
        </w:rPr>
        <w:t xml:space="preserve">A bolus correction is the one-off dose needed to raise a parameter from its current reading to the ideal target. The deficit in parameter units is multiplied by the tank volume (and by 17.848 for alkalinity) to give the total mg of chemical needed, and then divided by the solution concentration to give the volume in ml.</w:t>
      </w:r>
    </w:p>
    <w:p>
      <w:pPr>
        <w:spacing w:after="140" w:before="0"/>
      </w:pPr>
      <w:r>
        <w:rPr>
          <w:rFonts w:ascii="Source Serif 4" w:cs="Source Serif 4" w:eastAsia="Source Serif 4" w:hAnsi="Source Serif 4"/>
          <w:color w:val="2A2420"/>
          <w:sz w:val="22"/>
          <w:szCs w:val="22"/>
        </w:rPr>
        <w:t xml:space="preserve">If the result exceeds the daily safety limit, the app divides it into equal daily increments and shows the number of days and the volume per day.</w:t>
      </w:r>
    </w:p>
    <w:p>
      <w:pPr>
        <w:pBdr>
          <w:bottom w:val="single" w:color="B8ADA0" w:sz="4" w:space="1"/>
        </w:pBdr>
        <w:spacing w:after="200" w:before="200"/>
      </w:pPr>
    </w:p>
    <w:p>
      <w:pPr>
        <w:spacing w:after="80" w:before="360"/>
      </w:pPr>
      <w:r>
        <w:rPr>
          <w:rFonts w:ascii="Inter" w:cs="Inter" w:eastAsia="Inter" w:hAnsi="Inter"/>
          <w:color w:val="B84A2E"/>
          <w:spacing w:val="120"/>
          <w:sz w:val="18"/>
          <w:szCs w:val="18"/>
        </w:rPr>
        <w:t xml:space="preserve">SECTION 6</w:t>
      </w:r>
    </w:p>
    <w:p>
      <w:pPr>
        <w:pStyle w:val="Heading1"/>
        <w:spacing w:after="160" w:before="0"/>
      </w:pPr>
      <w:r>
        <w:rPr>
          <w:rFonts w:ascii="Fraunces" w:cs="Fraunces" w:eastAsia="Fraunces" w:hAnsi="Fraunces"/>
          <w:color w:val="2A2420"/>
          <w:sz w:val="44"/>
          <w:szCs w:val="44"/>
        </w:rPr>
        <w:t xml:space="preserve">Accessing the App</w:t>
      </w:r>
    </w:p>
    <w:p>
      <w:pPr>
        <w:spacing w:after="200" w:before="0"/>
      </w:pPr>
      <w:r>
        <w:rPr>
          <w:rFonts w:ascii="Source Serif 4" w:cs="Source Serif 4" w:eastAsia="Source Serif 4" w:hAnsi="Source Serif 4"/>
          <w:i/>
          <w:iCs/>
          <w:color w:val="2A2420"/>
          <w:sz w:val="26"/>
          <w:szCs w:val="26"/>
        </w:rPr>
        <w:t xml:space="preserve">The app is deployed to GitHub Pages and runs in any modern browser. It carries a clownfish icon across all platforms.</w:t>
      </w:r>
    </w:p>
    <w:p>
      <w:pPr>
        <w:pStyle w:val="Heading2"/>
        <w:spacing w:after="120" w:before="320"/>
      </w:pPr>
      <w:r>
        <w:rPr>
          <w:rFonts w:ascii="Fraunces" w:cs="Fraunces" w:eastAsia="Fraunces" w:hAnsi="Fraunces"/>
          <w:color w:val="2A2420"/>
          <w:sz w:val="32"/>
          <w:szCs w:val="32"/>
        </w:rPr>
        <w:t xml:space="preserve">On Android</w:t>
      </w:r>
    </w:p>
    <w:p>
      <w:pPr>
        <w:spacing w:after="140" w:before="0"/>
      </w:pPr>
      <w:r>
        <w:rPr>
          <w:rFonts w:ascii="Source Serif 4" w:cs="Source Serif 4" w:eastAsia="Source Serif 4" w:hAnsi="Source Serif 4"/>
          <w:color w:val="2A2420"/>
          <w:sz w:val="22"/>
          <w:szCs w:val="22"/>
        </w:rPr>
        <w:t xml:space="preserve">Open Chrome and navigate to your GitHub Pages URL. Tap the three-dot menu in the top-right corner and choose Add to Home screen; some versions of Chrome label this Install app. Give it a name and confirm.</w:t>
      </w:r>
    </w:p>
    <w:p>
      <w:pPr>
        <w:spacing w:after="140" w:before="0"/>
      </w:pPr>
      <w:r>
        <w:rPr>
          <w:rFonts w:ascii="Source Serif 4" w:cs="Source Serif 4" w:eastAsia="Source Serif 4" w:hAnsi="Source Serif 4"/>
          <w:color w:val="2A2420"/>
          <w:sz w:val="22"/>
          <w:szCs w:val="22"/>
        </w:rPr>
        <w:t xml:space="preserve">The app installs as a standalone application on your phone. It appears in your app drawer alongside your other apps, opens without any browser navigation bar, and behaves in most respects like a native app. This is possible because the project includes a web app manifest, which Chrome reads to determine that the page qualifies for installation.</w:t>
      </w:r>
    </w:p>
    <w:p>
      <w:pPr>
        <w:spacing w:after="140" w:before="0"/>
      </w:pPr>
      <w:r>
        <w:rPr>
          <w:rFonts w:ascii="Source Serif 4" w:cs="Source Serif 4" w:eastAsia="Source Serif 4" w:hAnsi="Source Serif 4"/>
          <w:color w:val="2A2420"/>
          <w:sz w:val="22"/>
          <w:szCs w:val="22"/>
        </w:rPr>
        <w:t xml:space="preserve">The home screen and app drawer icon is the clownfish, in its ocean-blue circular frame.</w:t>
      </w:r>
    </w:p>
    <w:p>
      <w:pPr>
        <w:pStyle w:val="Heading2"/>
        <w:spacing w:after="120" w:before="320"/>
      </w:pPr>
      <w:r>
        <w:rPr>
          <w:rFonts w:ascii="Fraunces" w:cs="Fraunces" w:eastAsia="Fraunces" w:hAnsi="Fraunces"/>
          <w:color w:val="2A2420"/>
          <w:sz w:val="32"/>
          <w:szCs w:val="32"/>
        </w:rPr>
        <w:t xml:space="preserve">On a Windows PC</w:t>
      </w:r>
    </w:p>
    <w:p>
      <w:pPr>
        <w:spacing w:after="140" w:before="0"/>
      </w:pPr>
      <w:r>
        <w:rPr>
          <w:rFonts w:ascii="Source Serif 4" w:cs="Source Serif 4" w:eastAsia="Source Serif 4" w:hAnsi="Source Serif 4"/>
          <w:color w:val="2A2420"/>
          <w:sz w:val="22"/>
          <w:szCs w:val="22"/>
        </w:rPr>
        <w:t xml:space="preserve">Create a desktop shortcut to the GitHub Pages URL in the usual way. To apply the clownfish icon, right-click the shortcut, choose Properties, then Change Icon, then Browse. Navigate to the reef-tank-desktop.ico file and select it. The ICO file contains six sizes so Windows will display the correct resolution wherever the icon appears.</w:t>
      </w:r>
    </w:p>
    <w:p>
      <w:pPr>
        <w:pStyle w:val="Heading2"/>
        <w:spacing w:after="120" w:before="320"/>
      </w:pPr>
      <w:r>
        <w:rPr>
          <w:rFonts w:ascii="Fraunces" w:cs="Fraunces" w:eastAsia="Fraunces" w:hAnsi="Fraunces"/>
          <w:color w:val="2A2420"/>
          <w:sz w:val="32"/>
          <w:szCs w:val="32"/>
        </w:rPr>
        <w:t xml:space="preserve">Data and devices</w:t>
      </w:r>
    </w:p>
    <w:p>
      <w:pPr>
        <w:spacing w:after="140" w:before="0"/>
      </w:pPr>
      <w:r>
        <w:rPr>
          <w:rFonts w:ascii="Source Serif 4" w:cs="Source Serif 4" w:eastAsia="Source Serif 4" w:hAnsi="Source Serif 4"/>
          <w:color w:val="2A2420"/>
          <w:sz w:val="22"/>
          <w:szCs w:val="22"/>
        </w:rPr>
        <w:t xml:space="preserve">Because the app uses the browser's local storage, readings are stored on the device where they were entered. If you use the app on both your phone and your PC, the two data sets are independent. The JSON export in the Settings tab is the mechanism for transferring data between devices: export on one and keep the file as a backup, or reimport it if you ever need to restore.</w:t>
      </w:r>
    </w:p>
    <w:p>
      <w:pPr>
        <w:spacing w:after="140" w:before="0"/>
      </w:pPr>
      <w:r>
        <w:rPr>
          <w:rFonts w:ascii="Source Serif 4" w:cs="Source Serif 4" w:eastAsia="Source Serif 4" w:hAnsi="Source Serif 4"/>
          <w:color w:val="2A2420"/>
          <w:sz w:val="22"/>
          <w:szCs w:val="22"/>
        </w:rPr>
        <w:t xml:space="preserve">The app does not require an internet connection once installed. The initial load caches everything needed to run offline.</w:t>
      </w:r>
    </w:p>
    <w:p>
      <w:pPr>
        <w:spacing w:after="140" w:before="0"/>
      </w:pPr>
      <w:r>
        <w:rPr>
          <w:rFonts w:ascii="Source Serif 4" w:cs="Source Serif 4" w:eastAsia="Source Serif 4" w:hAnsi="Source Serif 4"/>
          <w:color w:val="2A2420"/>
          <w:sz w:val="22"/>
          <w:szCs w:val="22"/>
        </w:rPr>
        <w:t xml:space="preserve">For setup instructions and future update procedures, see the SETUP-GUIDE.md file in the project folder.</w:t>
      </w:r>
    </w:p>
    <w:p>
      <w:pPr>
        <w:pBdr>
          <w:bottom w:val="single" w:color="B8ADA0" w:sz="4" w:space="1"/>
        </w:pBdr>
        <w:spacing w:after="200" w:before="200"/>
      </w:pPr>
    </w:p>
    <w:p>
      <w:pPr>
        <w:spacing w:after="0" w:before="80"/>
      </w:pPr>
      <w:r>
        <w:t xml:space="preserve"/>
      </w:r>
    </w:p>
    <w:p>
      <w:pPr>
        <w:spacing w:after="80" w:before="80"/>
      </w:pPr>
      <w:r>
        <w:rPr>
          <w:rFonts w:ascii="Inter" w:cs="Inter" w:eastAsia="Inter" w:hAnsi="Inter"/>
          <w:color w:val="B8ADA0"/>
          <w:sz w:val="18"/>
          <w:szCs w:val="18"/>
        </w:rPr>
        <w:t xml:space="preserve">Document prepared May 2026. Chemical concentrations verified against batch recipes in use at that date.</w:t>
      </w:r>
    </w:p>
    <w:sectPr>
      <w:headerReference w:type="default" r:id="rId7"/>
      <w:footerReference w:type="default" r:id="rId8"/>
      <w:pgSz w:w="11906" w:h="16838" w:orient="portrait"/>
      <w:pgMar w:top="1418" w:right="1814" w:bottom="1418"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ADA0" w:sz="4" w:space="4"/>
      </w:pBdr>
      <w:tabs>
        <w:tab w:val="right" w:pos="8500"/>
      </w:tabs>
    </w:pPr>
    <w:r>
      <w:rPr>
        <w:rFonts w:ascii="Inter" w:cs="Inter" w:eastAsia="Inter" w:hAnsi="Inter"/>
        <w:color w:val="B8ADA0"/>
        <w:sz w:val="16"/>
        <w:szCs w:val="16"/>
      </w:rPr>
      <w:t xml:space="preserve">Adrian Roux</w:t>
    </w:r>
    <w:r>
      <w:rPr>
        <w:rFonts w:ascii="Inter" w:cs="Inter" w:eastAsia="Inter" w:hAnsi="Inter"/>
        <w:sz w:val="16"/>
        <w:szCs w:val="16"/>
      </w:rPr>
      <w:t xml:space="preserve">	</w:t>
    </w:r>
    <w:r>
      <w:rPr>
        <w:rFonts w:ascii="Inter" w:cs="Inter" w:eastAsia="Inter" w:hAnsi="Inter"/>
        <w:color w:val="B8AD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DA0" w:sz="4" w:space="4"/>
      </w:pBdr>
    </w:pPr>
    <w:r>
      <w:rPr>
        <w:rFonts w:ascii="Inter" w:cs="Inter" w:eastAsia="Inter" w:hAnsi="Inter"/>
        <w:color w:val="B8ADA0"/>
        <w:sz w:val="16"/>
        <w:szCs w:val="16"/>
      </w:rPr>
      <w:t xml:space="preserve">Reef Tank Management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2A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Fraunces" w:cs="Fraunces" w:eastAsia="Fraunces" w:hAnsi="Fraunces"/>
      <w:b w:val="false"/>
      <w:bCs w:val="false"/>
      <w:color w:val="2A2420"/>
      <w:sz w:val="44"/>
      <w:szCs w:val="44"/>
    </w:rPr>
  </w:style>
  <w:style w:type="paragraph" w:styleId="Heading2">
    <w:name w:val="Heading 2"/>
    <w:basedOn w:val="Normal"/>
    <w:next w:val="Normal"/>
    <w:qFormat/>
    <w:pPr>
      <w:spacing w:after="120" w:before="320"/>
      <w:outlineLvl w:val="1"/>
    </w:pPr>
    <w:rPr>
      <w:rFonts w:ascii="Fraunces" w:cs="Fraunces" w:eastAsia="Fraunces" w:hAnsi="Fraunces"/>
      <w:b w:val="false"/>
      <w:bCs w:val="false"/>
      <w:color w:val="2A2420"/>
      <w:sz w:val="32"/>
      <w:szCs w:val="32"/>
    </w:rPr>
  </w:style>
  <w:style w:type="paragraph" w:styleId="Heading3">
    <w:name w:val="Heading 3"/>
    <w:basedOn w:val="Normal"/>
    <w:next w:val="Normal"/>
    <w:qFormat/>
    <w:pPr>
      <w:spacing w:after="80" w:before="240"/>
      <w:outlineLvl w:val="2"/>
    </w:pPr>
    <w:rPr>
      <w:rFonts w:ascii="Fraunces" w:cs="Fraunces" w:eastAsia="Fraunces" w:hAnsi="Fraunces"/>
      <w:b w:val="false"/>
      <w:bCs w:val="false"/>
      <w:color w:val="2A24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2026-05-26T17:23:28.075Z</dcterms:created>
  <dcterms:modified xsi:type="dcterms:W3CDTF">2026-05-26T17:23:28.079Z</dcterms:modified>
</cp:coreProperties>
</file>

<file path=docProps/custom.xml><?xml version="1.0" encoding="utf-8"?>
<Properties xmlns="http://schemas.openxmlformats.org/officeDocument/2006/custom-properties" xmlns:vt="http://schemas.openxmlformats.org/officeDocument/2006/docPropsVTypes"/>
</file>