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212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2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color w:val="8e8500"/>
          <w:sz w:val="20"/>
          <w:szCs w:val="20"/>
          <w:rtl w:val="0"/>
        </w:rPr>
        <w:t xml:space="preserve">1. Wyjaśnij pojęcie błędu dyskretyzacji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color w:val="8e8500"/>
          <w:sz w:val="20"/>
          <w:szCs w:val="20"/>
          <w:rtl w:val="0"/>
        </w:rPr>
        <w:t xml:space="preserve">2.Jaka jest rozdzielczość przetwornika A/c o zakresie przetwarzania 5V i liczbie bitów wyjściowych równej ..?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color w:val="8e8500"/>
          <w:sz w:val="20"/>
          <w:szCs w:val="20"/>
          <w:rtl w:val="0"/>
        </w:rPr>
        <w:t xml:space="preserve">3. przedstawić budowę i zasadę działania wybranego kompensacyjnego przetwornika  A/C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color w:val="8e8500"/>
          <w:sz w:val="20"/>
          <w:szCs w:val="20"/>
          <w:rtl w:val="0"/>
        </w:rPr>
        <w:t xml:space="preserve">4.Na czeym polega zjawisko przeinaczania (aliasingu) 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8e85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