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89A90" w14:textId="77777777" w:rsidR="00CA5ED3" w:rsidRPr="00CA5ED3" w:rsidRDefault="00CA5ED3" w:rsidP="00CA5ED3">
      <w:pPr>
        <w:spacing w:line="360" w:lineRule="auto"/>
        <w:rPr>
          <w:rFonts w:ascii="Times New Roman" w:hAnsi="Times New Roman" w:cs="Times New Roman"/>
          <w:sz w:val="20"/>
          <w:szCs w:val="20"/>
        </w:rPr>
      </w:pPr>
      <w:r w:rsidRPr="00CA5ED3">
        <w:rPr>
          <w:rFonts w:ascii="Times New Roman" w:hAnsi="Times New Roman" w:cs="Times New Roman"/>
          <w:sz w:val="20"/>
          <w:szCs w:val="20"/>
        </w:rPr>
        <w:t xml:space="preserve">Figure 1. Palaeohydrological network of northern Africa derived from GIS analyses of digital elevation models (DEMs) and satellite imagery to map </w:t>
      </w:r>
      <w:proofErr w:type="spellStart"/>
      <w:r w:rsidRPr="00CA5ED3">
        <w:rPr>
          <w:rFonts w:ascii="Times New Roman" w:hAnsi="Times New Roman" w:cs="Times New Roman"/>
          <w:sz w:val="20"/>
          <w:szCs w:val="20"/>
        </w:rPr>
        <w:t>palaeolake</w:t>
      </w:r>
      <w:proofErr w:type="spellEnd"/>
      <w:r w:rsidRPr="00CA5ED3">
        <w:rPr>
          <w:rFonts w:ascii="Times New Roman" w:hAnsi="Times New Roman" w:cs="Times New Roman"/>
          <w:sz w:val="20"/>
          <w:szCs w:val="20"/>
        </w:rPr>
        <w:t xml:space="preserve"> deposit locations, lake areas and volumes, and rivers and their catchments at a spatial resolution of 90m. This full hydrological network </w:t>
      </w:r>
      <w:bookmarkStart w:id="0" w:name="_Int_nwfM8575"/>
      <w:r w:rsidRPr="00CA5ED3">
        <w:rPr>
          <w:rFonts w:ascii="Times New Roman" w:hAnsi="Times New Roman" w:cs="Times New Roman"/>
          <w:sz w:val="20"/>
          <w:szCs w:val="20"/>
        </w:rPr>
        <w:t>represents</w:t>
      </w:r>
      <w:bookmarkEnd w:id="0"/>
      <w:r w:rsidRPr="00CA5ED3">
        <w:rPr>
          <w:rFonts w:ascii="Times New Roman" w:hAnsi="Times New Roman" w:cs="Times New Roman"/>
          <w:sz w:val="20"/>
          <w:szCs w:val="20"/>
        </w:rPr>
        <w:t xml:space="preserve"> the last 800,000 years of greening events and not just the Holocene Green Sahara. The numbers indicate key </w:t>
      </w:r>
      <w:proofErr w:type="spellStart"/>
      <w:r w:rsidRPr="00CA5ED3">
        <w:rPr>
          <w:rFonts w:ascii="Times New Roman" w:hAnsi="Times New Roman" w:cs="Times New Roman"/>
          <w:sz w:val="20"/>
          <w:szCs w:val="20"/>
        </w:rPr>
        <w:t>megalake</w:t>
      </w:r>
      <w:proofErr w:type="spellEnd"/>
      <w:r w:rsidRPr="00CA5ED3">
        <w:rPr>
          <w:rFonts w:ascii="Times New Roman" w:hAnsi="Times New Roman" w:cs="Times New Roman"/>
          <w:sz w:val="20"/>
          <w:szCs w:val="20"/>
        </w:rPr>
        <w:t xml:space="preserve"> basins and large alluvial fans; Lake </w:t>
      </w:r>
      <w:proofErr w:type="spellStart"/>
      <w:r w:rsidRPr="00CA5ED3">
        <w:rPr>
          <w:rFonts w:ascii="Times New Roman" w:hAnsi="Times New Roman" w:cs="Times New Roman"/>
          <w:sz w:val="20"/>
          <w:szCs w:val="20"/>
        </w:rPr>
        <w:t>Megachad</w:t>
      </w:r>
      <w:proofErr w:type="spellEnd"/>
      <w:r w:rsidRPr="00CA5ED3">
        <w:rPr>
          <w:rFonts w:ascii="Times New Roman" w:hAnsi="Times New Roman" w:cs="Times New Roman"/>
          <w:sz w:val="20"/>
          <w:szCs w:val="20"/>
        </w:rPr>
        <w:t xml:space="preserve"> (1), Sahabi River (1), Niger Basin (3) and the West </w:t>
      </w:r>
      <w:proofErr w:type="spellStart"/>
      <w:r w:rsidRPr="00CA5ED3">
        <w:rPr>
          <w:rFonts w:ascii="Times New Roman" w:hAnsi="Times New Roman" w:cs="Times New Roman"/>
          <w:sz w:val="20"/>
          <w:szCs w:val="20"/>
        </w:rPr>
        <w:t>Ahaggar</w:t>
      </w:r>
      <w:proofErr w:type="spellEnd"/>
      <w:r w:rsidRPr="00CA5ED3">
        <w:rPr>
          <w:rFonts w:ascii="Times New Roman" w:hAnsi="Times New Roman" w:cs="Times New Roman"/>
          <w:sz w:val="20"/>
          <w:szCs w:val="20"/>
        </w:rPr>
        <w:t xml:space="preserve"> Mountains fluvial fan (4).</w:t>
      </w:r>
    </w:p>
    <w:p w14:paraId="3EDE5147" w14:textId="77777777" w:rsidR="00CA5ED3" w:rsidRPr="00CA5ED3" w:rsidRDefault="00CA5ED3" w:rsidP="00CA5ED3">
      <w:pPr>
        <w:spacing w:line="360" w:lineRule="auto"/>
        <w:rPr>
          <w:rFonts w:ascii="Times New Roman" w:hAnsi="Times New Roman" w:cs="Times New Roman"/>
          <w:sz w:val="20"/>
          <w:szCs w:val="20"/>
        </w:rPr>
      </w:pPr>
      <w:r w:rsidRPr="00CA5ED3">
        <w:rPr>
          <w:rFonts w:ascii="Times New Roman" w:hAnsi="Times New Roman" w:cs="Times New Roman"/>
          <w:sz w:val="20"/>
          <w:szCs w:val="20"/>
        </w:rPr>
        <w:t xml:space="preserve">Figure 2. Catchment analysis of Holocene dated hydrological samples. The gradient colour from Purple to yellow indicates the number of times the catchment is activated in </w:t>
      </w:r>
      <w:proofErr w:type="gramStart"/>
      <w:r w:rsidRPr="00CA5ED3">
        <w:rPr>
          <w:rFonts w:ascii="Times New Roman" w:hAnsi="Times New Roman" w:cs="Times New Roman"/>
          <w:sz w:val="20"/>
          <w:szCs w:val="20"/>
        </w:rPr>
        <w:t>1000 year</w:t>
      </w:r>
      <w:proofErr w:type="gramEnd"/>
      <w:r w:rsidRPr="00CA5ED3">
        <w:rPr>
          <w:rFonts w:ascii="Times New Roman" w:hAnsi="Times New Roman" w:cs="Times New Roman"/>
          <w:sz w:val="20"/>
          <w:szCs w:val="20"/>
        </w:rPr>
        <w:t xml:space="preserve"> time slices from 15ka to 2ka. Where there are no hydrological dates in a catchment it has not been assigned a colour and left blank. Green dots indicate the location of hydrological sites and red dots indicate human occupation sites. </w:t>
      </w:r>
    </w:p>
    <w:p w14:paraId="083E670B" w14:textId="77777777" w:rsidR="00CA5ED3" w:rsidRPr="00CA5ED3" w:rsidRDefault="00CA5ED3" w:rsidP="00CA5ED3">
      <w:pPr>
        <w:spacing w:after="0" w:line="360" w:lineRule="auto"/>
        <w:rPr>
          <w:rFonts w:ascii="Times New Roman" w:hAnsi="Times New Roman" w:cs="Times New Roman"/>
          <w:sz w:val="20"/>
          <w:szCs w:val="20"/>
        </w:rPr>
      </w:pPr>
      <w:r w:rsidRPr="00CA5ED3">
        <w:rPr>
          <w:rFonts w:ascii="Times New Roman" w:hAnsi="Times New Roman" w:cs="Times New Roman"/>
          <w:sz w:val="20"/>
          <w:szCs w:val="20"/>
        </w:rPr>
        <w:t>Figure 3. Proportion of site phases with the presence of key ecological taxa. Relative WDI values are reflected in colour palettes. Highly water dependent species (WDI=1, blue) are absent north of 27°N. There is a notable absence of any faunal evidence between 31°N and 33°N.</w:t>
      </w:r>
    </w:p>
    <w:p w14:paraId="5D03C166" w14:textId="77777777" w:rsidR="00CA5ED3" w:rsidRPr="00CA5ED3" w:rsidRDefault="00CA5ED3" w:rsidP="00CA5ED3">
      <w:pPr>
        <w:spacing w:after="0" w:line="360" w:lineRule="auto"/>
        <w:rPr>
          <w:rFonts w:ascii="Times New Roman" w:hAnsi="Times New Roman" w:cs="Times New Roman"/>
          <w:sz w:val="20"/>
          <w:szCs w:val="20"/>
        </w:rPr>
      </w:pPr>
    </w:p>
    <w:p w14:paraId="3B389991" w14:textId="77777777" w:rsidR="00CA5ED3" w:rsidRPr="00CA5ED3" w:rsidRDefault="00CA5ED3" w:rsidP="00CA5ED3">
      <w:pPr>
        <w:spacing w:after="0" w:line="360" w:lineRule="auto"/>
        <w:rPr>
          <w:rFonts w:ascii="Times New Roman" w:hAnsi="Times New Roman" w:cs="Times New Roman"/>
          <w:sz w:val="20"/>
          <w:szCs w:val="20"/>
        </w:rPr>
      </w:pPr>
      <w:r w:rsidRPr="00CA5ED3">
        <w:rPr>
          <w:rFonts w:ascii="Times New Roman" w:hAnsi="Times New Roman" w:cs="Times New Roman"/>
          <w:sz w:val="20"/>
          <w:szCs w:val="20"/>
        </w:rPr>
        <w:t>Fig 4: Ecological proxies for latitudinal wetness based on archaeological records of 135,000 NISP from 142 site phases. Both species richness and Shannon species diversity decrease with increasing latitude, and correlate with the Water-Dependency index.</w:t>
      </w:r>
    </w:p>
    <w:p w14:paraId="36116F43" w14:textId="77777777" w:rsidR="00CA5ED3" w:rsidRPr="00CA5ED3" w:rsidRDefault="00CA5ED3" w:rsidP="00CA5ED3">
      <w:pPr>
        <w:spacing w:line="360" w:lineRule="auto"/>
        <w:rPr>
          <w:rFonts w:ascii="Times New Roman" w:hAnsi="Times New Roman" w:cs="Times New Roman"/>
          <w:sz w:val="20"/>
          <w:szCs w:val="20"/>
        </w:rPr>
      </w:pPr>
    </w:p>
    <w:p w14:paraId="1B82D841" w14:textId="78642CA3" w:rsidR="00CA5ED3" w:rsidRPr="00CA5ED3" w:rsidRDefault="00CA5ED3" w:rsidP="00CA5ED3">
      <w:pPr>
        <w:spacing w:line="360" w:lineRule="auto"/>
        <w:rPr>
          <w:rFonts w:ascii="Times New Roman" w:hAnsi="Times New Roman" w:cs="Times New Roman"/>
          <w:sz w:val="20"/>
          <w:szCs w:val="20"/>
        </w:rPr>
      </w:pPr>
      <w:r w:rsidRPr="00CA5ED3">
        <w:rPr>
          <w:rFonts w:ascii="Times New Roman" w:hAnsi="Times New Roman" w:cs="Times New Roman"/>
          <w:sz w:val="20"/>
          <w:szCs w:val="20"/>
        </w:rPr>
        <w:t xml:space="preserve">Figure 5. Kernel density surface of Hydrological intensity from radiocarbon dates directly associated with Hydrological activity (arid associated dates excluded), overlayed with the Water Dependency Index (WDI) of faunal remains. </w:t>
      </w:r>
    </w:p>
    <w:p w14:paraId="209FBD6D" w14:textId="7BCC6A45" w:rsidR="00CA5ED3" w:rsidRPr="00CA5ED3" w:rsidRDefault="00CA5ED3" w:rsidP="00CA5ED3">
      <w:pPr>
        <w:spacing w:line="360" w:lineRule="auto"/>
        <w:rPr>
          <w:rFonts w:ascii="Times New Roman" w:hAnsi="Times New Roman" w:cs="Times New Roman"/>
          <w:sz w:val="20"/>
          <w:szCs w:val="20"/>
        </w:rPr>
      </w:pPr>
      <w:r w:rsidRPr="00CA5ED3">
        <w:rPr>
          <w:rFonts w:ascii="Times New Roman" w:hAnsi="Times New Roman" w:cs="Times New Roman"/>
          <w:sz w:val="20"/>
          <w:szCs w:val="20"/>
        </w:rPr>
        <w:t>Fig S1: Modern precipitation (</w:t>
      </w:r>
      <w:proofErr w:type="spellStart"/>
      <w:r w:rsidRPr="00CA5ED3">
        <w:rPr>
          <w:rFonts w:ascii="Times New Roman" w:hAnsi="Times New Roman" w:cs="Times New Roman"/>
          <w:sz w:val="20"/>
          <w:szCs w:val="20"/>
        </w:rPr>
        <w:t>worldclim</w:t>
      </w:r>
      <w:proofErr w:type="spellEnd"/>
      <w:r w:rsidRPr="00CA5ED3">
        <w:rPr>
          <w:rFonts w:ascii="Times New Roman" w:hAnsi="Times New Roman" w:cs="Times New Roman"/>
          <w:sz w:val="20"/>
          <w:szCs w:val="20"/>
        </w:rPr>
        <w:t xml:space="preserve"> data) </w:t>
      </w:r>
      <w:proofErr w:type="gramStart"/>
      <w:r w:rsidRPr="00CA5ED3">
        <w:rPr>
          <w:rFonts w:ascii="Times New Roman" w:hAnsi="Times New Roman" w:cs="Times New Roman"/>
          <w:sz w:val="20"/>
          <w:szCs w:val="20"/>
        </w:rPr>
        <w:t>mean</w:t>
      </w:r>
      <w:proofErr w:type="gramEnd"/>
      <w:r w:rsidRPr="00CA5ED3">
        <w:rPr>
          <w:rFonts w:ascii="Times New Roman" w:hAnsi="Times New Roman" w:cs="Times New Roman"/>
          <w:sz w:val="20"/>
          <w:szCs w:val="20"/>
        </w:rPr>
        <w:t xml:space="preserve"> monthly precipitation across 1950-1960, with all mean values &gt;40 coloured with the same shade of green. Despite complexities in wind patterns from the West-African Monsoon (WAM), the boundary line between arid and &gt;40 (mm??) results in a remarkably horizontal latitudinal band across the entire north Africa.</w:t>
      </w:r>
    </w:p>
    <w:p w14:paraId="74AAF131" w14:textId="77777777" w:rsidR="00A94086" w:rsidRDefault="00A94086"/>
    <w:sectPr w:rsidR="00A940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ED3"/>
    <w:rsid w:val="00A94086"/>
    <w:rsid w:val="00AD3FC7"/>
    <w:rsid w:val="00C12F14"/>
    <w:rsid w:val="00CA5ED3"/>
    <w:rsid w:val="00DC00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1BC56"/>
  <w15:chartTrackingRefBased/>
  <w15:docId w15:val="{3FDC3A25-C365-4FA4-B1DC-A4BA6A603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ED3"/>
    <w:pPr>
      <w:spacing w:line="259" w:lineRule="auto"/>
    </w:pPr>
    <w:rPr>
      <w:kern w:val="0"/>
      <w:sz w:val="22"/>
      <w:szCs w:val="22"/>
      <w14:ligatures w14:val="none"/>
    </w:rPr>
  </w:style>
  <w:style w:type="paragraph" w:styleId="Heading1">
    <w:name w:val="heading 1"/>
    <w:basedOn w:val="Normal"/>
    <w:next w:val="Normal"/>
    <w:link w:val="Heading1Char"/>
    <w:uiPriority w:val="9"/>
    <w:qFormat/>
    <w:rsid w:val="00CA5ED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A5ED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A5ED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A5ED3"/>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A5ED3"/>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A5ED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A5ED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A5ED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A5ED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E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E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E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E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E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ED3"/>
    <w:rPr>
      <w:rFonts w:eastAsiaTheme="majorEastAsia" w:cstheme="majorBidi"/>
      <w:color w:val="272727" w:themeColor="text1" w:themeTint="D8"/>
    </w:rPr>
  </w:style>
  <w:style w:type="paragraph" w:styleId="Title">
    <w:name w:val="Title"/>
    <w:basedOn w:val="Normal"/>
    <w:next w:val="Normal"/>
    <w:link w:val="TitleChar"/>
    <w:uiPriority w:val="10"/>
    <w:qFormat/>
    <w:rsid w:val="00CA5ED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A5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ED3"/>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A5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ED3"/>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A5ED3"/>
    <w:rPr>
      <w:i/>
      <w:iCs/>
      <w:color w:val="404040" w:themeColor="text1" w:themeTint="BF"/>
    </w:rPr>
  </w:style>
  <w:style w:type="paragraph" w:styleId="ListParagraph">
    <w:name w:val="List Paragraph"/>
    <w:basedOn w:val="Normal"/>
    <w:uiPriority w:val="34"/>
    <w:qFormat/>
    <w:rsid w:val="00CA5ED3"/>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CA5ED3"/>
    <w:rPr>
      <w:i/>
      <w:iCs/>
      <w:color w:val="0F4761" w:themeColor="accent1" w:themeShade="BF"/>
    </w:rPr>
  </w:style>
  <w:style w:type="paragraph" w:styleId="IntenseQuote">
    <w:name w:val="Intense Quote"/>
    <w:basedOn w:val="Normal"/>
    <w:next w:val="Normal"/>
    <w:link w:val="IntenseQuoteChar"/>
    <w:uiPriority w:val="30"/>
    <w:qFormat/>
    <w:rsid w:val="00CA5ED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A5ED3"/>
    <w:rPr>
      <w:i/>
      <w:iCs/>
      <w:color w:val="0F4761" w:themeColor="accent1" w:themeShade="BF"/>
    </w:rPr>
  </w:style>
  <w:style w:type="character" w:styleId="IntenseReference">
    <w:name w:val="Intense Reference"/>
    <w:basedOn w:val="DefaultParagraphFont"/>
    <w:uiPriority w:val="32"/>
    <w:qFormat/>
    <w:rsid w:val="00CA5E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312</Words>
  <Characters>1783</Characters>
  <Application>Microsoft Office Word</Application>
  <DocSecurity>0</DocSecurity>
  <Lines>14</Lines>
  <Paragraphs>4</Paragraphs>
  <ScaleCrop>false</ScaleCrop>
  <Company>KCL</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Manning</dc:creator>
  <cp:keywords/>
  <dc:description/>
  <cp:lastModifiedBy>Katie Manning</cp:lastModifiedBy>
  <cp:revision>1</cp:revision>
  <dcterms:created xsi:type="dcterms:W3CDTF">2025-11-06T12:11:00Z</dcterms:created>
  <dcterms:modified xsi:type="dcterms:W3CDTF">2025-11-06T12:15:00Z</dcterms:modified>
</cp:coreProperties>
</file>