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Configuración agente flume - Local a HDFS - Proceso de extracción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7225" cy="44972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225" cy="449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Configuración del entorno Flume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Inicia el Servicio de Flume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Comando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Crear una Configuración para Flume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Comando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Preparar el Directorio Local de Entrada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 Comando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2.3.3 Comando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2.3.4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Ejecutar Apache Flume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 Comando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2.4.3 Comando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2.4.4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2.4.5 Comando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2.4.6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2"/>
        <w:rPr>
          <w:b w:val="1"/>
          <w:color w:val="3c78d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color w:val="3c78d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  <w:color w:val="3c78d8"/>
        </w:rPr>
      </w:pPr>
      <w:bookmarkStart w:colFirst="0" w:colLast="0" w:name="_heading=h.to8gw5qrxji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  <w:color w:val="3c78d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c78d8"/>
          <w:rtl w:val="0"/>
        </w:rPr>
        <w:t xml:space="preserve">1.  Objetivo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la transferencia de archivos de texto desde un directorio local al sistema HDFS utilizando Flume y así analizar los datos con MapReduce (por ejemplo, el wordcount del ejercicio anterior). </w:t>
      </w:r>
    </w:p>
    <w:p w:rsidR="00000000" w:rsidDel="00000000" w:rsidP="00000000" w:rsidRDefault="00000000" w:rsidRPr="00000000" w14:paraId="00000034">
      <w:pPr>
        <w:pStyle w:val="Heading2"/>
        <w:rPr>
          <w:b w:val="1"/>
          <w:color w:val="3c78d8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c78d8"/>
          <w:rtl w:val="0"/>
        </w:rPr>
        <w:t xml:space="preserve">2. Configuración del entorno Flume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Verifica que Apache Flume esté instalado y configurado. En Cloudera, puedes instalar Flume desde Cloudera Manager si aún no está disponible.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68553" cy="3698048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553" cy="369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1678528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67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5906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1081514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081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571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3c78d8"/>
          <w:rtl w:val="0"/>
        </w:rPr>
        <w:t xml:space="preserve">2.1 Inicia el Servicio de Flume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service flume-ng start</w:t>
      </w:r>
    </w:p>
    <w:p w:rsidR="00000000" w:rsidDel="00000000" w:rsidP="00000000" w:rsidRDefault="00000000" w:rsidRPr="00000000" w14:paraId="00000040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2.1.2 Ejecución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servicio está iniciado automáticamente debido a cloudera.</w:t>
      </w:r>
    </w:p>
    <w:p w:rsidR="00000000" w:rsidDel="00000000" w:rsidP="00000000" w:rsidRDefault="00000000" w:rsidRPr="00000000" w14:paraId="00000042">
      <w:pPr>
        <w:pStyle w:val="Heading3"/>
        <w:rPr>
          <w:b w:val="1"/>
          <w:color w:val="3c78d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3c78d8"/>
          <w:rtl w:val="0"/>
        </w:rPr>
        <w:t xml:space="preserve">2.2 Crear una Configuración para Flume 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2.2.1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de Configuración (agente-flume.conf):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# Nombre del agente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agent.sources = local-source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agent.sinks = hdfs-sink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agent.channels = memory-channel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# Configuración de la fuente (local-source)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agent.sources.local-source.type = spooldir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agent.sources.local-source.spoolDir = /path/to/local/input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agent.sources.local-source.fileHeader = true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 Configuración del canal (memory-channel)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agent.channels.memory-channel.type = memory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agent.channels.memory-channel.capacity = 1000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agent.channels.memory-channel.transactionCapacity = 100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# Configuración del sink (hdfs-sink)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agent.sinks.hdfs-sink.type = hdfs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agent.sinks.hdfs-sink.hdfs.path =/user/cloudera/flume-output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agent.sinks.hdfs-sink.hdfs.fileType = DataStream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agent.sinks.hdfs-sink.hdfs.writeFormat = Text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agent.sinks.hdfs-sink.hdfs.rollSize = 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agent.sinks.hdfs-sink.hdfs.rollCount = 10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agent.sinks.hdfs-sink.hdfs.batchSize = 100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# Conectar componentes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agent.sources.local-source.channels = memory-channel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agent.sinks.hdfs-sink.channel = memory-channel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2.2.2 Ejecución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Creo la ruta y lo configuro en spoolDir: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762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42875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660028" cy="3131087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028" cy="313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3c78d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3c78d8"/>
          <w:rtl w:val="0"/>
        </w:rPr>
        <w:t xml:space="preserve">2.3 Preparar el Directorio Local de Entrada 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2.3.1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 el Directorio de Entrada Local: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mkdir -p /path/to/local/input</w:t>
      </w:r>
    </w:p>
    <w:p w:rsidR="00000000" w:rsidDel="00000000" w:rsidP="00000000" w:rsidRDefault="00000000" w:rsidRPr="00000000" w14:paraId="0000006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2.3.2 Ejecución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Creo el directorio: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80975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2.3.3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 el Archivo de Texto al Directorio: Coloca elquijote.txt (u otros archivos de texto) en este directorio para que Flume lo procese: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cp /path/to/elquijote.txt /path/to/local/input/ </w:t>
      </w:r>
    </w:p>
    <w:p w:rsidR="00000000" w:rsidDel="00000000" w:rsidP="00000000" w:rsidRDefault="00000000" w:rsidRPr="00000000" w14:paraId="00000071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2.3.4 Ejecución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Compruebo si existe: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85775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 copio en la ruta: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b w:val="1"/>
          <w:color w:val="3c78d8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3c78d8"/>
          <w:rtl w:val="0"/>
        </w:rPr>
        <w:t xml:space="preserve">2.4 Ejecutar Apache Flume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2.4.1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el Agente Flume: Ejecuta Flume con el archivo de configuración: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flume-ng agent --conf /path/to/local/input --conf-file path/to/local/input/agente-flume.conf --name agent -Dflume.root.logger=INFO,console</w:t>
      </w:r>
    </w:p>
    <w:p w:rsidR="00000000" w:rsidDel="00000000" w:rsidP="00000000" w:rsidRDefault="00000000" w:rsidRPr="00000000" w14:paraId="0000007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2.4.2 Ejecución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1683053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8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2.4.3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 que los Datos Llegaron a HDFS: Lista los archivos en la ruta configurada en el sink (/user/cloudera/flume-output):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hdfs dfs -ls /user/cloudera/flume-output</w:t>
      </w:r>
    </w:p>
    <w:p w:rsidR="00000000" w:rsidDel="00000000" w:rsidP="00000000" w:rsidRDefault="00000000" w:rsidRPr="00000000" w14:paraId="00000083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2.4.4 Ejecución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133511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33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2.4.5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Contenido Ingerido: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hdfs dfs -cat /user/cloudera/flume-output/* 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2.4.6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7623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>
        <w:rFonts w:ascii="Roboto" w:cs="Roboto" w:eastAsia="Roboto" w:hAnsi="Roboto"/>
        <w:color w:val="3c78d8"/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785813" cy="785813"/>
          <wp:effectExtent b="0" l="0" r="0" t="0"/>
          <wp:docPr id="37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color w:val="3c78d8"/>
        <w:sz w:val="24"/>
        <w:szCs w:val="24"/>
        <w:rtl w:val="0"/>
      </w:rPr>
      <w:t xml:space="preserve">Configuración agente flume - Local a HDFS - Proceso de extracción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6eIh9Ba82EE4TxKpGg0Op1A6+A==">CgMxLjAyCGguZ2pkZ3hzMgloLjMwajB6bGwyDmgudG84Z3c1cXJ4amlw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OAByITFDMmU1VFR4ZXRjV2tjWm5vckJQYkpLVmdScGxuSjN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