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9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10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781625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Pr="0075050A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781625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3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Pr="00C20B26" w:rsidRDefault="00781625" w:rsidP="00781625"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781625" w:rsidRDefault="00781625" w:rsidP="00781625">
      <w:pPr>
        <w:pStyle w:val="Heading3"/>
      </w:pPr>
      <w:r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9E37EA" w:rsidRDefault="009E37EA" w:rsidP="009E37EA">
      <w:pPr>
        <w:pStyle w:val="Heading1"/>
      </w:pPr>
      <w:r>
        <w:lastRenderedPageBreak/>
        <w:t>Classes Interacting with DOM Elements</w:t>
      </w:r>
    </w:p>
    <w:p w:rsidR="009E37EA" w:rsidRDefault="009E37EA" w:rsidP="009E37EA">
      <w:r>
        <w:t>Note: You need to submit the following solutions using the DOM unit testing strategy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lastRenderedPageBreak/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lastRenderedPageBreak/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  <w:bookmarkStart w:id="0" w:name="_GoBack"/>
            <w:bookmarkEnd w:id="0"/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lastRenderedPageBreak/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53" w:rsidRDefault="008B0A53" w:rsidP="008068A2">
      <w:pPr>
        <w:spacing w:after="0" w:line="240" w:lineRule="auto"/>
      </w:pPr>
      <w:r>
        <w:separator/>
      </w:r>
    </w:p>
  </w:endnote>
  <w:endnote w:type="continuationSeparator" w:id="0">
    <w:p w:rsidR="008B0A53" w:rsidRDefault="008B0A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8F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8F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28F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28F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53" w:rsidRDefault="008B0A53" w:rsidP="008068A2">
      <w:pPr>
        <w:spacing w:after="0" w:line="240" w:lineRule="auto"/>
      </w:pPr>
      <w:r>
        <w:separator/>
      </w:r>
    </w:p>
  </w:footnote>
  <w:footnote w:type="continuationSeparator" w:id="0">
    <w:p w:rsidR="008B0A53" w:rsidRDefault="008B0A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5"/>
  </w:num>
  <w:num w:numId="19">
    <w:abstractNumId w:val="14"/>
  </w:num>
  <w:num w:numId="20">
    <w:abstractNumId w:val="1"/>
  </w:num>
  <w:num w:numId="21">
    <w:abstractNumId w:val="24"/>
  </w:num>
  <w:num w:numId="22">
    <w:abstractNumId w:val="1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2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A5A6D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0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A4F4E-2801-4FFF-BBCE-C459F212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52</cp:revision>
  <cp:lastPrinted>2015-10-26T22:35:00Z</cp:lastPrinted>
  <dcterms:created xsi:type="dcterms:W3CDTF">2016-06-17T07:37:00Z</dcterms:created>
  <dcterms:modified xsi:type="dcterms:W3CDTF">2016-10-29T01:00:00Z</dcterms:modified>
  <cp:category>programming, education, software engineering, software development</cp:category>
</cp:coreProperties>
</file>