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1817130" cy="4466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130" cy="44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84b7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 CAPSTONE · MERAKI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PLAN DE PRUEBAS</w:t>
        <w:br w:type="textWrapping"/>
        <w:t xml:space="preserve">CASOS DE PRUEBA Y</w:t>
        <w:br w:type="textWrapping"/>
        <w:t xml:space="preserve">REGISTRO DE RESULTADOS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Documento complementario a la Fase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Asignatura: </w:t>
      </w:r>
      <w:r w:rsidDel="00000000" w:rsidR="00000000" w:rsidRPr="00000000">
        <w:rPr>
          <w:sz w:val="22"/>
          <w:szCs w:val="22"/>
          <w:rtl w:val="0"/>
        </w:rPr>
        <w:t xml:space="preserve">Capstone / Proyecto APT</w:t>
      </w:r>
    </w:p>
    <w:p w:rsidR="00000000" w:rsidDel="00000000" w:rsidP="00000000" w:rsidRDefault="00000000" w:rsidRPr="00000000" w14:paraId="0000000E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 </w:t>
      </w:r>
      <w:r w:rsidDel="00000000" w:rsidR="00000000" w:rsidRPr="00000000">
        <w:rPr>
          <w:sz w:val="22"/>
          <w:szCs w:val="22"/>
          <w:rtl w:val="0"/>
        </w:rPr>
        <w:t xml:space="preserve">Adriana Ávila · Natalia Leiva</w:t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Carrera: </w:t>
      </w:r>
      <w:r w:rsidDel="00000000" w:rsidR="00000000" w:rsidRPr="00000000">
        <w:rPr>
          <w:sz w:val="22"/>
          <w:szCs w:val="22"/>
          <w:rtl w:val="0"/>
        </w:rPr>
        <w:t xml:space="preserve">Ingeniería en Informática</w:t>
      </w:r>
    </w:p>
    <w:p w:rsidR="00000000" w:rsidDel="00000000" w:rsidP="00000000" w:rsidRDefault="00000000" w:rsidRPr="00000000" w14:paraId="00000010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Sede: </w:t>
      </w:r>
      <w:r w:rsidDel="00000000" w:rsidR="00000000" w:rsidRPr="00000000">
        <w:rPr>
          <w:sz w:val="22"/>
          <w:szCs w:val="22"/>
          <w:rtl w:val="0"/>
        </w:rPr>
        <w:t xml:space="preserve">Plaza Oeste</w:t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Docente: </w:t>
      </w:r>
      <w:r w:rsidDel="00000000" w:rsidR="00000000" w:rsidRPr="00000000">
        <w:rPr>
          <w:sz w:val="22"/>
          <w:szCs w:val="22"/>
          <w:rtl w:val="0"/>
        </w:rPr>
        <w:t xml:space="preserve">Luis Bravo</w:t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sz w:val="22"/>
          <w:szCs w:val="22"/>
          <w:rtl w:val="0"/>
        </w:rPr>
        <w:t xml:space="preserve">20/10/2026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r w:rsidDel="00000000" w:rsidR="00000000" w:rsidRPr="00000000">
        <w:rPr>
          <w:rtl w:val="0"/>
        </w:rPr>
        <w:t xml:space="preserve">1. Plan de pruebas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Objetivo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Establecer la estrategia de verificación y validación de las funcionalidades del producto mínimo viable (MVP) de Meraki, plataforma web para la búsqueda y reserva de servicios de estética y la administración de emprendimientos. Se busca identificar defectos, comprobar las reglas de negocio y verificar el cumplimiento de los requerimientos establecidos.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plan abarca Front Office para clientas sin cuenta, Back Office autenticado para emprendedoras, backend/API con Node.js, almacenamiento en PostgreSQL e integraciones de ubicación, correo electrónico y abonos/suscripciones en el entorno académico previsto. También contempla la agenda y el dashboard.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1.3 Referencia de requisitos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utilizarán los requerimientos funcionales RF-01 a RF-26, los requerimientos no funcionales RNF-01 a RNF-10, las reglas de negocio y las historias de usuario de la sección 9 y 10 de la Fase 2. Las pruebas de consulta/cancelación mediante enlace y de suscripción mensual se incluyen además porque figuran en la descripción del proyecto y en las historias de usuario.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1.4 Tipos de prueba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 al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Registro, login, perfiles, servicios, búsqueda, agenda, reservas, abonos y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y 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Campos obligatorios, correos válidos, precios/duración, horarios,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de cita y conflictos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Comunicación entre interfaz, API, PostgreSQL, correo y proveedor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Hash de contraseñas, rutas protegidas, autorización para editar el propio emprendimiento.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Compatibilidad/usabilidad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Navegación web, reserva sin cuenta de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clienta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Regresión y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Repetición de pruebas tras correcciones y comprobación del flujo completo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1.5 Ambiente y responsables</w:t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Configuración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Equipo 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Adriana Ávila y Natalia Leiva; pruebas y revisión compartidas.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Computadores de desarrollo con Visual Studio Code, Node.js, npm, Git, PostgreSQL y pgAdmin; Docker disponible como apoyo.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Meraki ejecutándose localmente; base de datos de prueba con registros ficticios; correo y pagos en modo de prueba si se integran.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Emprendedoras, emprendimientos, servicios, horarios, bloqueos,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clientas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y reservas ficticias. No utilizar datos personales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Capturas de pantallas, registros de ejecución, datos de consulta y commits de cambios cuando existan.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1.6 Criterios de entrada, aprobación y salida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Entrada: el módulo a probar debe estar implementado, ejecutándose y conectado a las dependencias necesarias; contar con datos de prueba definidos.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Aprobación individual: el resultado obtenido coincide con el esperado y no se detecta una falla que impida el flujo evaluado.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 fallido: registrar el comportamiento observado, la incidencia, su prioridad y la corrección aplicada; después repetir la prueba.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Salida del ciclo: se ejecutan los casos prioritarios del flujo búsqueda → disponibilidad → reserva → abono → confirmación → agenda; no deben persistir defectos críticos conocidos para la demostración.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1.7 Ejecución y seguimiento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Los casos se preparan antes de la programación y se ejecutarán a medida que estén disponibles los módulos. Para cada ejecución se registrarán fecha, responsable, ambiente, resultado obtenido, estado (Aprobado / Fallido / Bloqueado / Pendiente), evidencia y observaciones. Las pruebas pendientes no se contabilizarán como aprobadas. Se priorizará la ejecución progresiva dentro de las cuatro semanas previstas de programación.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>
          <w:shd w:fill="9900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/>
      </w:pPr>
      <w:r w:rsidDel="00000000" w:rsidR="00000000" w:rsidRPr="00000000">
        <w:rPr>
          <w:rtl w:val="0"/>
        </w:rPr>
        <w:t xml:space="preserve">2. Casos de prueba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Los siguientes casos están diseñados para ejecutarse cuando el módulo correspondiente esté implementado. Su estado inicial es Pendiente. La descripción del procedimiento es preliminar y puede adaptarse a la interfaz final sin cambiar el objetivo de la prueba.</w:t>
      </w:r>
    </w:p>
    <w:tbl>
      <w:tblPr>
        <w:tblStyle w:val="Table3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RF-01; 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público sin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por zona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RF-03;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Filtrar por categoría/nombre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detalle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RF-06; 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Calcular horarios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RF-07; RF-08; 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Seleccionar fecha y registrar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Rechazar correo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RF-09; RF-26; 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Bloquear hora ocupada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RF-10; RF-11; 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abono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RF-12;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reserva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reserva por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HU-08; 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Cancelar reserva desde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RF-14;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emprendedora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Rechazar correo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y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Rechazar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RF-16;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Proteger Back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RF-17; 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Editar perfil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Crear/editar/desactivar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precio, duración y abono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Configurar horario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Bloquear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Actualizar estado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citas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ingresos por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HU-11; RN-05; 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vigencia de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RF-06–RF-13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Flujo completo 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Regresión y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RNF-07; 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Repetir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2.1 Fichas de ejecución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CP-01 — Acceso público sin cuenta</w:t>
      </w:r>
    </w:p>
    <w:tbl>
      <w:tblPr>
        <w:tblStyle w:val="Table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 Office · RF-01; RNF-01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la página pública sin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puede navegar y consultar ofertas sin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CP-02 — Buscar por zona o ubicación</w:t>
      </w:r>
    </w:p>
    <w:tbl>
      <w:tblPr>
        <w:tblStyle w:val="Table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Ubicación · RF-02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Autorizar ubicación; repetir indicando zona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utiliza la ubicación o zona elegida sin bloquear la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CP-03 — Filtrar por categoría/nombre</w:t>
      </w:r>
    </w:p>
    <w:tbl>
      <w:tblPr>
        <w:tblStyle w:val="Table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Búsqueda · RF-03; RF-04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un servicio existente y otro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Aparecen coincidencias pertinentes o aviso sin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CP-04 — Consultar detalle de servicio</w:t>
      </w:r>
    </w:p>
    <w:tbl>
      <w:tblPr>
        <w:tblStyle w:val="Table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Catálogo · RF-05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emprendimiento y servicio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Muestra nombre, precio, duración y datos del emprendimiento.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CP-05 — Calcular horarios válidos</w:t>
      </w:r>
    </w:p>
    <w:tbl>
      <w:tblPr>
        <w:tblStyle w:val="Table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Disponibilidad · RF-06; RN-04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Definir horario, duración, bloqueo y reserva previa; consultar.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Solo aparecen bloques compatibles y libres.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CP-06 — Seleccionar fecha y registrar contacto</w:t>
      </w:r>
    </w:p>
    <w:tbl>
      <w:tblPr>
        <w:tblStyle w:val="Table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 · RF-07; RF-08; RN-02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Elegir bloque libre e ingresar correo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Permite continuar con información de contacto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CP-07 — Rechazar correo inválido</w:t>
      </w:r>
    </w:p>
    <w:tbl>
      <w:tblPr>
        <w:tblStyle w:val="Table1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 · RF-08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Ingresar correo sin formato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Muestra validación y no procesa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CP-08 — Bloquear hora ocupada</w:t>
      </w:r>
    </w:p>
    <w:tbl>
      <w:tblPr>
        <w:tblStyle w:val="Table1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 · RF-09; RF-26; RN-03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Intentar reservar un bloque ya 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confirma una doble reserva ni crea registros inconsistentes.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CP-09 — Registrar abono de prueba</w:t>
      </w:r>
    </w:p>
    <w:tbl>
      <w:tblPr>
        <w:tblStyle w:val="Table1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Abono · RF-10; RF-11; RN-10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pago exitoso simulado/sandbox.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registra monto, estado y asociación a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CP-10 — Crear reserva válida</w:t>
      </w:r>
    </w:p>
    <w:tbl>
      <w:tblPr>
        <w:tblStyle w:val="Table1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 · RF-12; RNF-05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disponibilidad y resultado válido de abono.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genera una reserva única con datos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CP-11 — Enviar confirmación</w:t>
      </w:r>
    </w:p>
    <w:tbl>
      <w:tblPr>
        <w:tblStyle w:val="Table1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· RF-13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reserva y revisar buzón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incluye servicio, fecha, hora y referencia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CP-12 — Consultar reserva por enlace</w:t>
      </w:r>
    </w:p>
    <w:tbl>
      <w:tblPr>
        <w:tblStyle w:val="Table1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de citas · HU-07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enlace único recibido en el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muestra únicamente la reserva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CP-13 — Cancelar reserva desde enlace</w:t>
      </w:r>
    </w:p>
    <w:tbl>
      <w:tblPr>
        <w:tblStyle w:val="Table1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Cancelación · HU-08; RN-09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Cancelar una reserva válida mediante su enlace.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Cambia estado y libera horario según política establecida.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CP-14 — Registrar emprendedora</w:t>
      </w:r>
    </w:p>
    <w:tbl>
      <w:tblPr>
        <w:tblStyle w:val="Table1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· RF-14; RNF-02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Completar formulario válido con correo no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crea la cuenta y la contraseña queda almacenada con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CP-15 — Rechazar correo duplicado</w:t>
      </w:r>
    </w:p>
    <w:tbl>
      <w:tblPr>
        <w:tblStyle w:val="Table1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· RF-14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Intentar registrar dos cuentas con el mismo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impide el duplicado y se informa el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CP-16 — Iniciar y cerrar sesión</w:t>
      </w:r>
    </w:p>
    <w:tbl>
      <w:tblPr>
        <w:tblStyle w:val="Table1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· RF-15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sesión con credenciales válidas y cerrar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autorizado y sesión finalizada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CP-17 — Rechazar contraseña incorrecta</w:t>
      </w:r>
    </w:p>
    <w:tbl>
      <w:tblPr>
        <w:tblStyle w:val="Table2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Autenticación · RF-15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Ingresar correo válido y contraseña equivocada.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Acceso denegado sin revelar datos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CP-18 — Proteger Back Office</w:t>
      </w:r>
    </w:p>
    <w:tbl>
      <w:tblPr>
        <w:tblStyle w:val="Table2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 · RF-16; RNF-03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Abrir ruta privada sin autenticar.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bloquea acceso o redirige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CP-19 — Editar perfil propio</w:t>
      </w:r>
    </w:p>
    <w:tbl>
      <w:tblPr>
        <w:tblStyle w:val="Table2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Emprendimiento · RF-17; RN-07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Modificar nombre y descripción de emprendimiento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Cambios guardados; no permite editar datos de otros negocios.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CP-20 — Crear/editar/desactivar servicio</w:t>
      </w:r>
    </w:p>
    <w:tbl>
      <w:tblPr>
        <w:tblStyle w:val="Table2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· RF-18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servicio, modificarlo y desactivarlo.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Cambios persistentes; servicio inactivo no es reservable.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CP-21 — Validar precio, duración y abono</w:t>
      </w:r>
    </w:p>
    <w:tbl>
      <w:tblPr>
        <w:tblStyle w:val="Table2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· RF-19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Ingresar datos válidos y valores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Guarda valores válidos y rechaza montos/duración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CP-22 — Configurar horario de atención</w:t>
      </w:r>
    </w:p>
    <w:tbl>
      <w:tblPr>
        <w:tblStyle w:val="Table2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Horarios · RF-20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.51953125" w:hRule="atLeast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horario semanal válido y editarlo.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8">
            <w:pPr>
              <w:spacing w:after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horario se guarda correctamente y los cambios se reflejan en las horas disponibles para reservar.</w:t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CP-23 — Bloquear período</w:t>
      </w:r>
    </w:p>
    <w:tbl>
      <w:tblPr>
        <w:tblStyle w:val="Table26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E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Bloqueos · RF-21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Crear bloqueo sobre horario inicialmente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Bloqueo se guarda y el rango deja de estar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rtl w:val="0"/>
        </w:rPr>
        <w:t xml:space="preserve">CP-24 — Ver agenda</w:t>
      </w:r>
    </w:p>
    <w:tbl>
      <w:tblPr>
        <w:tblStyle w:val="Table27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 · RF-22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reservas de prueba y abrir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 fecha, hora, servicio y estado de cada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r w:rsidDel="00000000" w:rsidR="00000000" w:rsidRPr="00000000">
        <w:rPr>
          <w:rtl w:val="0"/>
        </w:rPr>
        <w:t xml:space="preserve">CP-25 — Actualizar estado de cita</w:t>
      </w:r>
    </w:p>
    <w:tbl>
      <w:tblPr>
        <w:tblStyle w:val="Table28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Agenda · RF-23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Cambiar estado de reserva por opciones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registra el nuevo estado y no se aceptan valores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CP-26 — Mostrar citas por estado</w:t>
      </w:r>
    </w:p>
    <w:tbl>
      <w:tblPr>
        <w:tblStyle w:val="Table29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 · RF-24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Cargar citas con distintos estados y revisar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conteos coinciden con datos en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r w:rsidDel="00000000" w:rsidR="00000000" w:rsidRPr="00000000">
        <w:rPr>
          <w:rtl w:val="0"/>
        </w:rPr>
        <w:t xml:space="preserve">CP-27 — Mostrar ingresos por abonos</w:t>
      </w:r>
    </w:p>
    <w:tbl>
      <w:tblPr>
        <w:tblStyle w:val="Table30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 · RF-25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abonos de prueba y consultar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montos agregados coinciden con las transacciones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CP-28 — Consultar vigencia de suscripción</w:t>
      </w:r>
    </w:p>
    <w:tbl>
      <w:tblPr>
        <w:tblStyle w:val="Table3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Suscripción · HU-11; RN-05; RN-06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Probar suscripción vigente y vencida.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Informa estado y aplica reglas de acceso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rPr>
          <w:rtl w:val="0"/>
        </w:rPr>
        <w:t xml:space="preserve">CP-29 — Flujo completo clienta</w:t>
      </w:r>
    </w:p>
    <w:tbl>
      <w:tblPr>
        <w:tblStyle w:val="Table3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 · RF-06–RF-13 · Prioridad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desplegado, datos de prueba disponibles y dependencias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Buscar → seleccionar → reservar → abonar → confirmar.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operaciones se completan sin inconsistencias entre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CP-30 — Verificar funcionamiento y adaptación de la página web </w:t>
      </w:r>
    </w:p>
    <w:tbl>
      <w:tblPr>
        <w:tblStyle w:val="Table3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42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Módulo y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Regresión y compatibilidad · RNF-07; RNF-08 · 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Página web disponible y funcionalidades principales implementadas.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Pasos / 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Comprobar el funcionamiento de las funcionalidades principales después de realizar correcciones y verificar que la página web se adapte correctamente a pantallas de computador y celular.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48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funcionalidades continúan funcionando después de las correcciones y la página web se visualiza correctamente en ambos tamaños de pantalla, sin problemas de navegación o visualización. </w:t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</w:tcPr>
          <w:p w:rsidR="00000000" w:rsidDel="00000000" w:rsidP="00000000" w:rsidRDefault="00000000" w:rsidRPr="00000000" w14:paraId="0000024A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 real / fecha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ejecución. Completar al probar el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Title"/>
        <w:rPr/>
      </w:pPr>
      <w:r w:rsidDel="00000000" w:rsidR="00000000" w:rsidRPr="00000000">
        <w:rPr>
          <w:rtl w:val="0"/>
        </w:rPr>
        <w:t xml:space="preserve">3. Registro de resultados de las pruebas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Al momento de preparar este documento aún no se han ejecutado pruebas funcionales de Meraki, porque sus módulos están pendientes de programación. Los registros siguientes son una plantilla de ejecución; el texto “Pendiente” no representa falla ni aprobación.</w:t>
      </w:r>
    </w:p>
    <w:tbl>
      <w:tblPr>
        <w:tblStyle w:val="Table34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observado /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.51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8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A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B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C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D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E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3.1 Seguimiento de incidencias y correcciones</w:t>
      </w:r>
    </w:p>
    <w:tbl>
      <w:tblPr>
        <w:tblStyle w:val="Table35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Corrección y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Nueva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F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F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F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F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2F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3.2 Resumen del ciclo de pruebas</w:t>
      </w:r>
    </w:p>
    <w:tbl>
      <w:tblPr>
        <w:tblStyle w:val="Table3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0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1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1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1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31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3.3 Criterio de actualización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Cada vez que se implemente un módulo, sus casos se ejecutarán y se documentarán sin borrar el historial de fallos. Se adjuntará al menos una evidencia por flujo funcional crítico. Si el alcance cambia, se actualizará la trazabilidad con los requerimientos de Fase 2 y se registrará la decisión antes de dar un caso por no aplicable.</w:t>
      </w:r>
    </w:p>
    <w:p w:rsidR="00000000" w:rsidDel="00000000" w:rsidP="00000000" w:rsidRDefault="00000000" w:rsidRPr="00000000" w14:paraId="00000319">
      <w:pPr>
        <w:pStyle w:val="Title"/>
        <w:rPr/>
      </w:pPr>
      <w:r w:rsidDel="00000000" w:rsidR="00000000" w:rsidRPr="00000000">
        <w:rPr>
          <w:rtl w:val="0"/>
        </w:rPr>
        <w:t xml:space="preserve">4. Observación de cierre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Este documento presenta el plan y los casos de prueba de la plataforma que se desarrollará. No certifica un software terminado. Los resultados efectivos se incorporarán durante la programación y validación de Meraki, antes de su entrega final.</w:t>
      </w:r>
    </w:p>
    <w:sectPr>
      <w:footerReference r:id="rId8" w:type="default"/>
      <w:pgSz w:h="15840" w:w="12240" w:orient="portrait"/>
      <w:pgMar w:bottom="1123" w:top="1195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MERAKI  ·  PLAN Y REGISTRO DE PRUEBAS  · 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b3352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b335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00" w:line="240" w:lineRule="auto"/>
    </w:pPr>
    <w:rPr>
      <w:rFonts w:ascii="Calibri" w:cs="Calibri" w:eastAsia="Calibri" w:hAnsi="Calibri"/>
      <w:b w:val="1"/>
      <w:bCs w:val="1"/>
      <w:color w:val="1b3352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A4Kg1EGHy/8y3NXdjObtLSbmQ==">CgMxLjA4AHIhMUsyVXJoc2NTMnNMc29iNTh3ZmpReFY0QTRMUWlKbGxa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