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Título del dataset:</w:t>
      </w:r>
      <w:r w:rsidDel="00000000" w:rsidR="00000000" w:rsidRPr="00000000">
        <w:rPr>
          <w:rtl w:val="0"/>
        </w:rPr>
        <w:t xml:space="preserve"> Music Genre Classification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Este archivo hace la clasificación de audio en 10 géneros de música. Los géneros son: blues, clásico, país, disco, hip hop, jazz, metal, música pop, reggae, Roca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Variables: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nombre de archivo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rmse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croma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sft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especificación central (espectroide central),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Mfcc (frecuencia Mel, la forma en que los humanos perciben el sonido)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etiqueta (10 clases)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Link de descarga: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https://www.kaggle.com/harish24/music-genre-classification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.0000000000002" w:top="850.393700787401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harish24/music-genre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