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EB79C6" w:rsidRPr="000E7574" w:rsidRDefault="00EB79C6" w:rsidP="00EB79C6">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860868"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860868" w:rsidRPr="000E7574" w:rsidRDefault="00860868" w:rsidP="00860868">
      <w:pPr>
        <w:spacing w:before="100" w:beforeAutospacing="1" w:after="100" w:afterAutospacing="1" w:line="240" w:lineRule="auto"/>
        <w:ind w:left="720"/>
        <w:rPr>
          <w:rFonts w:ascii="Times New Roman" w:eastAsia="Times New Roman" w:hAnsi="Times New Roman" w:cs="Times New Roman"/>
          <w:noProof w:val="0"/>
          <w:color w:val="000000" w:themeColor="text1"/>
          <w:sz w:val="24"/>
          <w:szCs w:val="24"/>
          <w:lang w:val="es-MX" w:eastAsia="es-MX"/>
        </w:rPr>
      </w:pPr>
      <w:r w:rsidRPr="00860868">
        <w:rPr>
          <w:rFonts w:ascii="Times New Roman" w:eastAsia="Times New Roman" w:hAnsi="Times New Roman" w:cs="Times New Roman"/>
          <w:noProof w:val="0"/>
          <w:color w:val="000000" w:themeColor="text1"/>
          <w:sz w:val="24"/>
          <w:szCs w:val="24"/>
          <w:lang w:val="es-MX" w:eastAsia="es-MX"/>
        </w:rPr>
        <w:t>La Ecoeficiencia de México en una taza</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Ecoeficiencia</w:t>
      </w:r>
      <w:r w:rsidR="00860868" w:rsidRPr="00860868">
        <w:rPr>
          <w:rFonts w:ascii="Times New Roman" w:eastAsia="Times New Roman" w:hAnsi="Times New Roman" w:cs="Times New Roman"/>
          <w:b/>
          <w:bCs/>
          <w:noProof w:val="0"/>
          <w:color w:val="000000" w:themeColor="text1"/>
          <w:sz w:val="24"/>
          <w:szCs w:val="24"/>
          <w:lang w:val="es-MX" w:eastAsia="es-MX"/>
        </w:rPr>
        <w:t xml:space="preserve"> en cafetales</w:t>
      </w:r>
      <w:r w:rsidRPr="00860868">
        <w:rPr>
          <w:rFonts w:ascii="Times New Roman" w:eastAsia="Times New Roman" w:hAnsi="Times New Roman" w:cs="Times New Roman"/>
          <w:noProof w:val="0"/>
          <w:color w:val="000000" w:themeColor="text1"/>
          <w:sz w:val="24"/>
          <w:szCs w:val="24"/>
          <w:lang w:val="es-MX" w:eastAsia="es-MX"/>
        </w:rPr>
        <w:t xml:space="preserve"> </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del Ciclo de Vida (LCA)</w:t>
      </w:r>
    </w:p>
    <w:p w:rsidR="003435B4" w:rsidRPr="00860868" w:rsidRDefault="003435B4"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Envolvente de Datos (DEA)</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7F59A0"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5"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6"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lastRenderedPageBreak/>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7"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w:t>
      </w:r>
      <w:r w:rsidRPr="000E7574">
        <w:rPr>
          <w:rFonts w:ascii="Times New Roman" w:hAnsi="Times New Roman" w:cs="Times New Roman"/>
          <w:bCs/>
          <w:color w:val="000000" w:themeColor="text1"/>
          <w:sz w:val="24"/>
          <w:szCs w:val="24"/>
          <w:lang w:val="es-MX"/>
        </w:rPr>
        <w:lastRenderedPageBreak/>
        <w:t>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2"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lastRenderedPageBreak/>
        <w:t xml:space="preserve">Fuente: </w:t>
      </w:r>
      <w:r w:rsidR="009E5390">
        <w:rPr>
          <w:rFonts w:ascii="Times New Roman" w:hAnsi="Times New Roman" w:cs="Times New Roman"/>
          <w:color w:val="000000" w:themeColor="text1"/>
          <w:sz w:val="24"/>
          <w:szCs w:val="24"/>
          <w:lang w:val="es-ES"/>
        </w:rPr>
        <w:t>González et al.</w:t>
      </w:r>
      <w:r w:rsidRPr="000E7574">
        <w:rPr>
          <w:rFonts w:ascii="Times New Roman" w:hAnsi="Times New Roman" w:cs="Times New Roman"/>
          <w:color w:val="000000" w:themeColor="text1"/>
          <w:sz w:val="24"/>
          <w:szCs w:val="24"/>
          <w:lang w:val="es-ES"/>
        </w:rPr>
        <w:t xml:space="preserve"> (201</w:t>
      </w:r>
      <w:r w:rsidR="009E5390">
        <w:rPr>
          <w:rFonts w:ascii="Times New Roman" w:hAnsi="Times New Roman" w:cs="Times New Roman"/>
          <w:color w:val="000000" w:themeColor="text1"/>
          <w:sz w:val="24"/>
          <w:szCs w:val="24"/>
          <w:lang w:val="es-ES"/>
        </w:rPr>
        <w:t>9</w:t>
      </w:r>
      <w:r w:rsidRPr="000E7574">
        <w:rPr>
          <w:rFonts w:ascii="Times New Roman" w:hAnsi="Times New Roman" w:cs="Times New Roman"/>
          <w:color w:val="000000" w:themeColor="text1"/>
          <w:sz w:val="24"/>
          <w:szCs w:val="24"/>
          <w:lang w:val="es-ES"/>
        </w:rPr>
        <w:t xml:space="preserve">)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lastRenderedPageBreak/>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menor a 3 ha (</w:t>
      </w:r>
      <w:r w:rsidR="00EB79C6" w:rsidRPr="00EB79C6">
        <w:rPr>
          <w:rFonts w:ascii="Times New Roman" w:hAnsi="Times New Roman" w:cs="Times New Roman"/>
          <w:color w:val="000000" w:themeColor="text1"/>
          <w:sz w:val="24"/>
          <w:szCs w:val="24"/>
        </w:rPr>
        <w:t>Venegas</w:t>
      </w:r>
      <w:r w:rsidRPr="00EB79C6">
        <w:rPr>
          <w:rFonts w:ascii="Times New Roman" w:hAnsi="Times New Roman" w:cs="Times New Roman"/>
          <w:color w:val="000000" w:themeColor="text1"/>
          <w:sz w:val="24"/>
          <w:szCs w:val="24"/>
        </w:rPr>
        <w:t xml:space="preserve"> et al., 20</w:t>
      </w:r>
      <w:r w:rsidR="00EB79C6" w:rsidRPr="00EB79C6">
        <w:rPr>
          <w:rFonts w:ascii="Times New Roman" w:hAnsi="Times New Roman" w:cs="Times New Roman"/>
          <w:color w:val="000000" w:themeColor="text1"/>
          <w:sz w:val="24"/>
          <w:szCs w:val="24"/>
        </w:rPr>
        <w:t>2</w:t>
      </w:r>
      <w:r w:rsidRPr="00EB79C6">
        <w:rPr>
          <w:rFonts w:ascii="Times New Roman" w:hAnsi="Times New Roman" w:cs="Times New Roman"/>
          <w:color w:val="000000" w:themeColor="text1"/>
          <w:sz w:val="24"/>
          <w:szCs w:val="24"/>
        </w:rPr>
        <w:t>1</w:t>
      </w:r>
      <w:r w:rsidRPr="000E7574">
        <w:rPr>
          <w:rFonts w:ascii="Times New Roman" w:hAnsi="Times New Roman" w:cs="Times New Roman"/>
          <w:color w:val="000000" w:themeColor="text1"/>
          <w:sz w:val="24"/>
          <w:szCs w:val="24"/>
        </w:rPr>
        <w:t>).</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w:t>
      </w:r>
      <w:r w:rsidRPr="000E7574">
        <w:rPr>
          <w:rFonts w:ascii="Times New Roman" w:hAnsi="Times New Roman" w:cs="Times New Roman"/>
          <w:color w:val="000000" w:themeColor="text1"/>
          <w:sz w:val="24"/>
          <w:szCs w:val="24"/>
        </w:rPr>
        <w:lastRenderedPageBreak/>
        <w:t>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D73F9D" w:rsidRDefault="009E5390" w:rsidP="003435B4">
      <w:pPr>
        <w:spacing w:after="0"/>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lastRenderedPageBreak/>
        <w:t>Referencias</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w:t>
      </w:r>
      <w:r w:rsidRPr="00345C92">
        <w:rPr>
          <w:rFonts w:ascii="Times New Roman" w:hAnsi="Times New Roman" w:cs="Times New Roman"/>
          <w:bCs/>
          <w:i/>
          <w:color w:val="000000" w:themeColor="text1"/>
          <w:sz w:val="24"/>
          <w:szCs w:val="24"/>
          <w:lang w:val="es-MX"/>
        </w:rPr>
        <w:t>Economía Sociedad y Territorio</w:t>
      </w:r>
      <w:r w:rsidRPr="00345C92">
        <w:rPr>
          <w:rFonts w:ascii="Times New Roman" w:hAnsi="Times New Roman" w:cs="Times New Roman"/>
          <w:bCs/>
          <w:color w:val="000000" w:themeColor="text1"/>
          <w:sz w:val="24"/>
          <w:szCs w:val="24"/>
          <w:lang w:val="es-MX"/>
        </w:rPr>
        <w:t xml:space="preserve">, May. </w:t>
      </w:r>
      <w:hyperlink r:id="rId28" w:history="1">
        <w:r w:rsidRPr="006A5A0D">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Cervera Muñoz, Arcadio, and Wilson Oviedo García. 2024. “revisión bibliográfica de la aplicación de la metodología de análisis envolvente de datos (dea) en el sector agropecuario de colombia.” </w:t>
      </w:r>
      <w:r w:rsidRPr="00345C92">
        <w:rPr>
          <w:rFonts w:ascii="Times New Roman" w:hAnsi="Times New Roman" w:cs="Times New Roman"/>
          <w:bCs/>
          <w:i/>
          <w:color w:val="000000" w:themeColor="text1"/>
          <w:sz w:val="24"/>
          <w:szCs w:val="24"/>
          <w:lang w:val="es-MX"/>
        </w:rPr>
        <w:t>Revista Facultad de Ciencias Contables Económicas y Administrativas -FACCEA</w:t>
      </w:r>
      <w:r w:rsidRPr="00345C92">
        <w:rPr>
          <w:rFonts w:ascii="Times New Roman" w:hAnsi="Times New Roman" w:cs="Times New Roman"/>
          <w:bCs/>
          <w:color w:val="000000" w:themeColor="text1"/>
          <w:sz w:val="24"/>
          <w:szCs w:val="24"/>
          <w:lang w:val="es-MX"/>
        </w:rPr>
        <w:t xml:space="preserve"> 14 (1): 24–43. </w:t>
      </w:r>
      <w:hyperlink r:id="rId29" w:history="1">
        <w:r w:rsidRPr="006A5A0D">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w:t>
      </w:r>
      <w:r w:rsidRPr="00345C92">
        <w:rPr>
          <w:rFonts w:ascii="Times New Roman" w:hAnsi="Times New Roman" w:cs="Times New Roman"/>
          <w:bCs/>
          <w:i/>
          <w:color w:val="000000" w:themeColor="text1"/>
          <w:sz w:val="24"/>
          <w:szCs w:val="24"/>
          <w:lang w:val="es-MX"/>
        </w:rPr>
        <w:t>Revista Mexicana de Ciencias Agrícolas</w:t>
      </w:r>
      <w:r w:rsidRPr="00345C92">
        <w:rPr>
          <w:rFonts w:ascii="Times New Roman" w:hAnsi="Times New Roman" w:cs="Times New Roman"/>
          <w:bCs/>
          <w:color w:val="000000" w:themeColor="text1"/>
          <w:sz w:val="24"/>
          <w:szCs w:val="24"/>
          <w:lang w:val="es-MX"/>
        </w:rPr>
        <w:t xml:space="preserve"> 10 (6): 1195–1206. </w:t>
      </w:r>
      <w:hyperlink r:id="rId30" w:history="1">
        <w:r w:rsidRPr="006A5A0D">
          <w:rPr>
            <w:rStyle w:val="Hipervnculo"/>
            <w:rFonts w:ascii="Times New Roman" w:hAnsi="Times New Roman" w:cs="Times New Roman"/>
            <w:bCs/>
            <w:sz w:val="24"/>
            <w:szCs w:val="24"/>
            <w:lang w:val="es-MX"/>
          </w:rPr>
          <w:t>https://doi.org/10.29312/remexca.v10i6.2057</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Leguizamo-Sotelo, Gabriel, Martha Lidya Salgado-Siclán, and Martín Rubí-Arriaga. 2024. “Análisis de La Producción de Café (Coffea Arabica l.), En Amatepec, Estado de México.” </w:t>
      </w:r>
      <w:r w:rsidRPr="00345C92">
        <w:rPr>
          <w:rFonts w:ascii="Times New Roman" w:hAnsi="Times New Roman" w:cs="Times New Roman"/>
          <w:bCs/>
          <w:i/>
          <w:color w:val="000000" w:themeColor="text1"/>
          <w:sz w:val="24"/>
          <w:szCs w:val="24"/>
          <w:lang w:val="es-MX"/>
        </w:rPr>
        <w:t>Ecosistemas y Recursos Agropecuarios</w:t>
      </w:r>
      <w:r w:rsidRPr="00345C92">
        <w:rPr>
          <w:rFonts w:ascii="Times New Roman" w:hAnsi="Times New Roman" w:cs="Times New Roman"/>
          <w:bCs/>
          <w:color w:val="000000" w:themeColor="text1"/>
          <w:sz w:val="24"/>
          <w:szCs w:val="24"/>
          <w:lang w:val="es-MX"/>
        </w:rPr>
        <w:t xml:space="preserve"> 11 (1). </w:t>
      </w:r>
      <w:hyperlink r:id="rId31" w:history="1">
        <w:r w:rsidRPr="006A5A0D">
          <w:rPr>
            <w:rStyle w:val="Hipervnculo"/>
            <w:rFonts w:ascii="Times New Roman" w:hAnsi="Times New Roman" w:cs="Times New Roman"/>
            <w:bCs/>
            <w:sz w:val="24"/>
            <w:szCs w:val="24"/>
            <w:lang w:val="es-MX"/>
          </w:rPr>
          <w:t>https://doi.org/10.19136/era.a11n1.3840</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Riaño Henao, Camilo Andrés, and Olga Lucía Larrea Serna. 2022. “Análisis Envolvente de Datos y Sus Aplicaciones En Sostenibilidad.” Ingeniare, no. 31 (July). </w:t>
      </w:r>
      <w:hyperlink r:id="rId32" w:history="1">
        <w:r w:rsidRPr="006A5A0D">
          <w:rPr>
            <w:rStyle w:val="Hipervnculo"/>
            <w:rFonts w:ascii="Times New Roman" w:hAnsi="Times New Roman" w:cs="Times New Roman"/>
            <w:bCs/>
            <w:sz w:val="24"/>
            <w:szCs w:val="24"/>
            <w:lang w:val="es-MX"/>
          </w:rPr>
          <w:t>https://doi.org/10.18041/1909-2458/ingeniare.31.8934</w:t>
        </w:r>
      </w:hyperlink>
      <w:r>
        <w:rPr>
          <w:rFonts w:ascii="Times New Roman" w:hAnsi="Times New Roman" w:cs="Times New Roman"/>
          <w:bCs/>
          <w:color w:val="000000" w:themeColor="text1"/>
          <w:sz w:val="24"/>
          <w:szCs w:val="24"/>
          <w:lang w:val="es-MX"/>
        </w:rPr>
        <w:t xml:space="preserve"> </w:t>
      </w:r>
    </w:p>
    <w:p w:rsidR="00D73F9D" w:rsidRDefault="00345C92" w:rsidP="00345C92">
      <w:pPr>
        <w:spacing w:after="0"/>
        <w:ind w:left="709" w:hanging="709"/>
        <w:rPr>
          <w:rFonts w:ascii="Times New Roman" w:hAnsi="Times New Roman" w:cs="Times New Roman"/>
          <w:color w:val="000000" w:themeColor="text1"/>
          <w:sz w:val="24"/>
          <w:szCs w:val="24"/>
        </w:rPr>
      </w:pPr>
      <w:r w:rsidRPr="00345C92">
        <w:rPr>
          <w:rFonts w:ascii="Times New Roman" w:hAnsi="Times New Roman" w:cs="Times New Roman"/>
          <w:bCs/>
          <w:color w:val="000000" w:themeColor="text1"/>
          <w:sz w:val="24"/>
          <w:szCs w:val="24"/>
          <w:lang w:val="es-MX"/>
        </w:rPr>
        <w:t xml:space="preserve">Venegas Sandoval, Andrea, Lorena Soto Pinto, Guadalupe Álvarez Gordillo, Armando Alayón Gamboa, and Emmanuel Díaz Nigenda. 2021. “La Diversificación de Estrategias Socioambientales En La Familia Campesina: Mecanismo de Resiliencia Ante La Crisis Del Café En Chiapas.” Revista Pueblos y Fronteras Digital 16 (May): 1–31. </w:t>
      </w:r>
      <w:hyperlink r:id="rId33" w:history="1">
        <w:r w:rsidRPr="006A5A0D">
          <w:rPr>
            <w:rStyle w:val="Hipervnculo"/>
            <w:rFonts w:ascii="Times New Roman" w:hAnsi="Times New Roman" w:cs="Times New Roman"/>
            <w:bCs/>
            <w:sz w:val="24"/>
            <w:szCs w:val="24"/>
            <w:lang w:val="es-MX"/>
          </w:rPr>
          <w:t>https://doi.org/10.22201/cimsur.18704115e.2021.v16.510</w:t>
        </w:r>
      </w:hyperlink>
      <w:r>
        <w:rPr>
          <w:rFonts w:ascii="Times New Roman" w:hAnsi="Times New Roman" w:cs="Times New Roman"/>
          <w:bCs/>
          <w:color w:val="000000" w:themeColor="text1"/>
          <w:sz w:val="24"/>
          <w:szCs w:val="24"/>
          <w:lang w:val="es-MX"/>
        </w:rPr>
        <w:t xml:space="preserve"> </w:t>
      </w: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BB0517" w:rsidRDefault="003969DF"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w:t>
      </w:r>
      <w:r w:rsidR="007B1673">
        <w:rPr>
          <w:rFonts w:ascii="Times New Roman" w:eastAsia="Times New Roman" w:hAnsi="Times New Roman" w:cs="Times New Roman"/>
          <w:color w:val="000000" w:themeColor="text1"/>
          <w:sz w:val="24"/>
          <w:szCs w:val="24"/>
          <w:lang w:eastAsia="es-MX"/>
        </w:rPr>
        <w:t>a cuna hasta la tumba (ISO 2006</w:t>
      </w:r>
      <w:r w:rsidRPr="000E7574">
        <w:rPr>
          <w:rFonts w:ascii="Times New Roman" w:eastAsia="Times New Roman" w:hAnsi="Times New Roman" w:cs="Times New Roman"/>
          <w:color w:val="000000" w:themeColor="text1"/>
          <w:sz w:val="24"/>
          <w:szCs w:val="24"/>
          <w:lang w:eastAsia="es-MX"/>
        </w:rPr>
        <w:t>)</w:t>
      </w:r>
      <w:r w:rsidR="00D473EB">
        <w:rPr>
          <w:rFonts w:ascii="Times New Roman" w:eastAsia="Times New Roman" w:hAnsi="Times New Roman" w:cs="Times New Roman"/>
          <w:color w:val="000000" w:themeColor="text1"/>
          <w:sz w:val="24"/>
          <w:szCs w:val="24"/>
          <w:lang w:eastAsia="es-MX"/>
        </w:rPr>
        <w:t>.</w:t>
      </w:r>
    </w:p>
    <w:p w:rsidR="007B1673" w:rsidRDefault="007B1673"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BB0517" w:rsidRPr="006D26C8" w:rsidRDefault="00BB0517" w:rsidP="00BB0517">
      <w:pPr>
        <w:shd w:val="clear" w:color="auto" w:fill="FFFFFF"/>
        <w:spacing w:after="0" w:line="24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En la agricultura, el LCA cuantifica indicadores como el consumo de agua, las emisiones de gases de efecto invernadero y la pérdida de biodiversidad (</w:t>
      </w:r>
      <w:proofErr w:type="spellStart"/>
      <w:r w:rsidRPr="006D26C8">
        <w:rPr>
          <w:rFonts w:ascii="Times New Roman" w:eastAsia="Times New Roman" w:hAnsi="Times New Roman" w:cs="Times New Roman"/>
          <w:noProof w:val="0"/>
          <w:sz w:val="24"/>
          <w:szCs w:val="24"/>
          <w:lang w:val="es-MX" w:eastAsia="es-MX"/>
        </w:rPr>
        <w:t>Notarnicola</w:t>
      </w:r>
      <w:proofErr w:type="spellEnd"/>
      <w:r w:rsidRPr="006D26C8">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sidRPr="006D26C8">
        <w:rPr>
          <w:rFonts w:ascii="Times New Roman" w:eastAsia="Times New Roman" w:hAnsi="Times New Roman" w:cs="Times New Roman"/>
          <w:noProof w:val="0"/>
          <w:sz w:val="24"/>
          <w:szCs w:val="24"/>
          <w:lang w:val="es-MX" w:eastAsia="es-MX"/>
        </w:rPr>
        <w:t>., 2017).</w:t>
      </w:r>
      <w:r>
        <w:rPr>
          <w:rFonts w:ascii="Times New Roman" w:eastAsia="Times New Roman" w:hAnsi="Times New Roman" w:cs="Times New Roman"/>
          <w:noProof w:val="0"/>
          <w:sz w:val="24"/>
          <w:szCs w:val="24"/>
          <w:lang w:val="es-MX" w:eastAsia="es-MX"/>
        </w:rPr>
        <w:t xml:space="preserve"> </w:t>
      </w:r>
      <w:r w:rsidRPr="006D26C8">
        <w:rPr>
          <w:rFonts w:ascii="Times New Roman" w:eastAsia="Times New Roman" w:hAnsi="Times New Roman" w:cs="Times New Roman"/>
          <w:noProof w:val="0"/>
          <w:sz w:val="24"/>
          <w:szCs w:val="24"/>
          <w:lang w:val="es-MX" w:eastAsia="es-MX"/>
        </w:rPr>
        <w:t xml:space="preserve">La metodología LCA permite </w:t>
      </w:r>
      <w:r>
        <w:rPr>
          <w:rFonts w:ascii="Times New Roman" w:eastAsia="Times New Roman" w:hAnsi="Times New Roman" w:cs="Times New Roman"/>
          <w:noProof w:val="0"/>
          <w:sz w:val="24"/>
          <w:szCs w:val="24"/>
          <w:lang w:val="es-MX" w:eastAsia="es-MX"/>
        </w:rPr>
        <w:t>medir</w:t>
      </w:r>
      <w:r w:rsidRPr="006D26C8">
        <w:rPr>
          <w:rFonts w:ascii="Times New Roman" w:eastAsia="Times New Roman" w:hAnsi="Times New Roman" w:cs="Times New Roman"/>
          <w:noProof w:val="0"/>
          <w:sz w:val="24"/>
          <w:szCs w:val="24"/>
          <w:lang w:val="es-MX" w:eastAsia="es-MX"/>
        </w:rPr>
        <w:t xml:space="preserve"> el </w:t>
      </w:r>
      <w:r w:rsidRPr="000C1E00">
        <w:rPr>
          <w:rFonts w:ascii="Times New Roman" w:eastAsia="Times New Roman" w:hAnsi="Times New Roman" w:cs="Times New Roman"/>
          <w:noProof w:val="0"/>
          <w:sz w:val="24"/>
          <w:szCs w:val="24"/>
          <w:lang w:val="es-MX" w:eastAsia="es-MX"/>
        </w:rPr>
        <w:t>impacto ambiental</w:t>
      </w:r>
      <w:r w:rsidRPr="006D26C8">
        <w:rPr>
          <w:rFonts w:ascii="Times New Roman" w:eastAsia="Times New Roman" w:hAnsi="Times New Roman" w:cs="Times New Roman"/>
          <w:noProof w:val="0"/>
          <w:sz w:val="24"/>
          <w:szCs w:val="24"/>
          <w:lang w:val="es-MX" w:eastAsia="es-MX"/>
        </w:rPr>
        <w:t xml:space="preserve"> de un producto desde la extracción de materias primas hasta su disposición final (ISO 14040, 2006). Por su parte, el DEA permite medir la eficiencia relativa de unidades productivas utilizando múltiples insumos y productos (</w:t>
      </w:r>
      <w:proofErr w:type="spellStart"/>
      <w:r w:rsidRPr="006D26C8">
        <w:rPr>
          <w:rFonts w:ascii="Times New Roman" w:eastAsia="Times New Roman" w:hAnsi="Times New Roman" w:cs="Times New Roman"/>
          <w:noProof w:val="0"/>
          <w:sz w:val="24"/>
          <w:szCs w:val="24"/>
          <w:lang w:val="es-MX" w:eastAsia="es-MX"/>
        </w:rPr>
        <w:t>Charnes</w:t>
      </w:r>
      <w:proofErr w:type="spellEnd"/>
      <w:r>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 1978).</w:t>
      </w:r>
    </w:p>
    <w:p w:rsidR="00BB0517" w:rsidRDefault="00BB0517"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D473EB" w:rsidRDefault="00D473EB"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t>En la producción agrícola y otras áreas, los impactos ambientales se pueden medir mediante diversos indicadores a través del LCA. Esta metodología permite evaluar los impactos ambientales de un producto o proceso a lo largo de toda su cadena de suministro, lo que ha llevado a su amplia adopción, especialmente en el ámbito agrícola (Angulo et al., 2019). Uno de los principales problemas ambientales es el calentamiento global, cuyo impacto se evalúa en LCA mediante la Huella de Carbono (FC). Este indicador estima las emisiones totales de gases de efecto invernadero asociadas a un producto o actividad a lo largo de su ciclo de vida (</w:t>
      </w:r>
      <w:proofErr w:type="spellStart"/>
      <w:r w:rsidR="00732C89" w:rsidRPr="0028590A">
        <w:rPr>
          <w:rFonts w:ascii="Times New Roman" w:eastAsia="Times New Roman" w:hAnsi="Times New Roman" w:cs="Times New Roman"/>
          <w:bCs/>
          <w:noProof w:val="0"/>
          <w:sz w:val="24"/>
          <w:szCs w:val="24"/>
          <w:lang w:val="es-MX" w:eastAsia="es-MX"/>
        </w:rPr>
        <w:t>Garcia</w:t>
      </w:r>
      <w:proofErr w:type="spellEnd"/>
      <w:r w:rsidR="00732C89">
        <w:rPr>
          <w:rFonts w:ascii="Times New Roman" w:eastAsia="Times New Roman" w:hAnsi="Times New Roman" w:cs="Times New Roman"/>
          <w:bCs/>
          <w:noProof w:val="0"/>
          <w:sz w:val="24"/>
          <w:szCs w:val="24"/>
          <w:lang w:val="es-MX" w:eastAsia="es-MX"/>
        </w:rPr>
        <w:t xml:space="preserve"> et al.</w:t>
      </w:r>
      <w:r w:rsidRPr="00D473EB">
        <w:rPr>
          <w:rFonts w:ascii="Times New Roman" w:eastAsia="Times New Roman" w:hAnsi="Times New Roman" w:cs="Times New Roman"/>
          <w:color w:val="000000" w:themeColor="text1"/>
          <w:sz w:val="24"/>
          <w:szCs w:val="24"/>
          <w:lang w:eastAsia="es-MX"/>
        </w:rPr>
        <w:t>, 2017).</w:t>
      </w:r>
    </w:p>
    <w:p w:rsidR="003969DF" w:rsidRPr="00D473EB" w:rsidRDefault="00D473EB" w:rsidP="00D473EB">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lastRenderedPageBreak/>
        <w:t>Por su parte el Análisis de Ciclo de Vida es una técnica iterativa para evaluar la cadena de valor de un producto, servicio o sistema y conocer los posibles impactos asociados con su manufactura y consumo (Sar</w:t>
      </w:r>
      <w:r w:rsidR="00732C89">
        <w:rPr>
          <w:rFonts w:ascii="Times New Roman" w:eastAsia="Times New Roman" w:hAnsi="Times New Roman" w:cs="Times New Roman"/>
          <w:color w:val="000000" w:themeColor="text1"/>
          <w:sz w:val="24"/>
          <w:szCs w:val="24"/>
          <w:lang w:eastAsia="es-MX"/>
        </w:rPr>
        <w:t xml:space="preserve">per </w:t>
      </w:r>
      <w:r w:rsidR="00732C89" w:rsidRPr="005A6CC8">
        <w:rPr>
          <w:rFonts w:ascii="Times New Roman" w:eastAsia="Times New Roman" w:hAnsi="Times New Roman" w:cs="Times New Roman"/>
          <w:bCs/>
          <w:noProof w:val="0"/>
          <w:sz w:val="24"/>
          <w:szCs w:val="24"/>
          <w:lang w:val="es-MX" w:eastAsia="es-MX"/>
        </w:rPr>
        <w:t xml:space="preserve">&amp; </w:t>
      </w:r>
      <w:r w:rsidR="00732C89" w:rsidRPr="006D26C8">
        <w:rPr>
          <w:rFonts w:ascii="Times New Roman" w:eastAsia="Times New Roman" w:hAnsi="Times New Roman" w:cs="Times New Roman"/>
          <w:bCs/>
          <w:noProof w:val="0"/>
          <w:sz w:val="24"/>
          <w:szCs w:val="24"/>
          <w:lang w:val="es-MX" w:eastAsia="es-MX"/>
        </w:rPr>
        <w:t>Quiñones</w:t>
      </w:r>
      <w:r w:rsidRPr="00D473EB">
        <w:rPr>
          <w:rFonts w:ascii="Times New Roman" w:eastAsia="Times New Roman" w:hAnsi="Times New Roman" w:cs="Times New Roman"/>
          <w:color w:val="000000" w:themeColor="text1"/>
          <w:sz w:val="24"/>
          <w:szCs w:val="24"/>
          <w:lang w:eastAsia="es-MX"/>
        </w:rPr>
        <w:t>, 201</w:t>
      </w:r>
      <w:r w:rsidR="00732C89">
        <w:rPr>
          <w:rFonts w:ascii="Times New Roman" w:eastAsia="Times New Roman" w:hAnsi="Times New Roman" w:cs="Times New Roman"/>
          <w:color w:val="000000" w:themeColor="text1"/>
          <w:sz w:val="24"/>
          <w:szCs w:val="24"/>
          <w:lang w:eastAsia="es-MX"/>
        </w:rPr>
        <w:t>7</w:t>
      </w:r>
      <w:r w:rsidRPr="00D473EB">
        <w:rPr>
          <w:rFonts w:ascii="Times New Roman" w:eastAsia="Times New Roman" w:hAnsi="Times New Roman" w:cs="Times New Roman"/>
          <w:color w:val="000000" w:themeColor="text1"/>
          <w:sz w:val="24"/>
          <w:szCs w:val="24"/>
          <w:lang w:eastAsia="es-MX"/>
        </w:rPr>
        <w:t>). Es una herramienta poderosa para hacer comparaciones holísticas de los sistemas y para la correcta asignación de los recursos (</w:t>
      </w:r>
      <w:r w:rsidR="00A31E95">
        <w:rPr>
          <w:rFonts w:ascii="Times New Roman" w:eastAsia="Times New Roman" w:hAnsi="Times New Roman" w:cs="Times New Roman"/>
          <w:color w:val="000000" w:themeColor="text1"/>
          <w:sz w:val="24"/>
          <w:szCs w:val="24"/>
          <w:lang w:eastAsia="es-MX"/>
        </w:rPr>
        <w:t>Costa et al.</w:t>
      </w:r>
      <w:r w:rsidRPr="00D473EB">
        <w:rPr>
          <w:rFonts w:ascii="Times New Roman" w:eastAsia="Times New Roman" w:hAnsi="Times New Roman" w:cs="Times New Roman"/>
          <w:color w:val="000000" w:themeColor="text1"/>
          <w:sz w:val="24"/>
          <w:szCs w:val="24"/>
          <w:lang w:eastAsia="es-MX"/>
        </w:rPr>
        <w:t>, 201</w:t>
      </w:r>
      <w:r w:rsidR="00A31E95">
        <w:rPr>
          <w:rFonts w:ascii="Times New Roman" w:eastAsia="Times New Roman" w:hAnsi="Times New Roman" w:cs="Times New Roman"/>
          <w:color w:val="000000" w:themeColor="text1"/>
          <w:sz w:val="24"/>
          <w:szCs w:val="24"/>
          <w:lang w:eastAsia="es-MX"/>
        </w:rPr>
        <w:t>8</w:t>
      </w:r>
      <w:r w:rsidRPr="00D473EB">
        <w:rPr>
          <w:rFonts w:ascii="Times New Roman" w:eastAsia="Times New Roman" w:hAnsi="Times New Roman" w:cs="Times New Roman"/>
          <w:color w:val="000000" w:themeColor="text1"/>
          <w:sz w:val="24"/>
          <w:szCs w:val="24"/>
          <w:lang w:eastAsia="es-MX"/>
        </w:rPr>
        <w:t>).</w:t>
      </w:r>
    </w:p>
    <w:p w:rsidR="003435B4" w:rsidRDefault="003435B4" w:rsidP="003435B4">
      <w:pPr>
        <w:pStyle w:val="Ttulo3"/>
        <w:rPr>
          <w:noProof/>
          <w:lang w:val="es-ES_tradnl"/>
        </w:rPr>
      </w:pPr>
      <w:r w:rsidRPr="00D473EB">
        <w:rPr>
          <w:noProof/>
          <w:lang w:val="es-ES_tradnl"/>
        </w:rPr>
        <w:t>2. Características</w:t>
      </w:r>
    </w:p>
    <w:p w:rsidR="00681277" w:rsidRPr="006D26C8" w:rsidRDefault="00681277" w:rsidP="00681277">
      <w:pPr>
        <w:spacing w:after="0" w:line="36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 xml:space="preserve">El enfoque LCA ha sido aplicado en cafetales para identificar los puntos críticos del ciclo de vida del producto, como el uso del agua en el riego, la energía empleada en el beneficiado húmedo y las emisiones de </w:t>
      </w:r>
      <w:r w:rsidR="00A31E95" w:rsidRPr="00A31E95">
        <w:rPr>
          <w:rFonts w:ascii="Times New Roman" w:eastAsia="Times New Roman" w:hAnsi="Times New Roman" w:cs="Times New Roman"/>
          <w:noProof w:val="0"/>
          <w:sz w:val="24"/>
          <w:szCs w:val="24"/>
          <w:lang w:val="es-MX" w:eastAsia="es-MX"/>
        </w:rPr>
        <w:t xml:space="preserve">Gases de Efecto Invernadero </w:t>
      </w:r>
      <w:r w:rsidR="00A31E95">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G</w:t>
      </w:r>
      <w:r>
        <w:rPr>
          <w:rFonts w:ascii="Times New Roman" w:eastAsia="Times New Roman" w:hAnsi="Times New Roman" w:cs="Times New Roman"/>
          <w:noProof w:val="0"/>
          <w:sz w:val="24"/>
          <w:szCs w:val="24"/>
          <w:lang w:val="es-MX" w:eastAsia="es-MX"/>
        </w:rPr>
        <w:t>EI</w:t>
      </w:r>
      <w:r w:rsidR="00A31E95">
        <w:rPr>
          <w:rFonts w:ascii="Times New Roman" w:eastAsia="Times New Roman" w:hAnsi="Times New Roman" w:cs="Times New Roman"/>
          <w:noProof w:val="0"/>
          <w:sz w:val="24"/>
          <w:szCs w:val="24"/>
          <w:lang w:val="es-MX" w:eastAsia="es-MX"/>
        </w:rPr>
        <w:t>)</w:t>
      </w:r>
      <w:r>
        <w:rPr>
          <w:rFonts w:ascii="Times New Roman" w:eastAsia="Times New Roman" w:hAnsi="Times New Roman" w:cs="Times New Roman"/>
          <w:noProof w:val="0"/>
          <w:sz w:val="24"/>
          <w:szCs w:val="24"/>
          <w:lang w:val="es-MX" w:eastAsia="es-MX"/>
        </w:rPr>
        <w:t xml:space="preserve"> durante el transporte (</w:t>
      </w:r>
      <w:proofErr w:type="spellStart"/>
      <w:r w:rsidRPr="00CF0A40">
        <w:rPr>
          <w:rFonts w:ascii="Times New Roman" w:eastAsia="Times New Roman" w:hAnsi="Times New Roman" w:cs="Times New Roman"/>
          <w:bCs/>
          <w:noProof w:val="0"/>
          <w:sz w:val="24"/>
          <w:szCs w:val="24"/>
          <w:lang w:val="es-MX" w:eastAsia="es-MX"/>
        </w:rPr>
        <w:t>Trinh</w:t>
      </w:r>
      <w:proofErr w:type="spellEnd"/>
      <w:r>
        <w:rPr>
          <w:rFonts w:ascii="Times New Roman" w:eastAsia="Times New Roman" w:hAnsi="Times New Roman" w:cs="Times New Roman"/>
          <w:bCs/>
          <w:noProof w:val="0"/>
          <w:sz w:val="24"/>
          <w:szCs w:val="24"/>
          <w:lang w:val="es-MX" w:eastAsia="es-MX"/>
        </w:rPr>
        <w:t xml:space="preserve"> </w:t>
      </w:r>
      <w:r w:rsidRPr="00916F63">
        <w:rPr>
          <w:rFonts w:ascii="Times New Roman" w:eastAsia="Times New Roman" w:hAnsi="Times New Roman" w:cs="Times New Roman"/>
          <w:bCs/>
          <w:i/>
          <w:noProof w:val="0"/>
          <w:sz w:val="24"/>
          <w:szCs w:val="24"/>
          <w:lang w:val="es-MX" w:eastAsia="es-MX"/>
        </w:rPr>
        <w:t>et al</w:t>
      </w:r>
      <w:r>
        <w:rPr>
          <w:rFonts w:ascii="Times New Roman" w:eastAsia="Times New Roman" w:hAnsi="Times New Roman" w:cs="Times New Roman"/>
          <w:bCs/>
          <w:noProof w:val="0"/>
          <w:sz w:val="24"/>
          <w:szCs w:val="24"/>
          <w:lang w:val="es-MX" w:eastAsia="es-MX"/>
        </w:rPr>
        <w:t>.</w:t>
      </w:r>
      <w:r w:rsidR="00A31E95">
        <w:rPr>
          <w:rFonts w:ascii="Times New Roman" w:eastAsia="Times New Roman" w:hAnsi="Times New Roman" w:cs="Times New Roman"/>
          <w:noProof w:val="0"/>
          <w:sz w:val="24"/>
          <w:szCs w:val="24"/>
          <w:lang w:val="es-MX" w:eastAsia="es-MX"/>
        </w:rPr>
        <w:t>, 2019</w:t>
      </w:r>
      <w:r w:rsidRPr="006D26C8">
        <w:rPr>
          <w:rFonts w:ascii="Times New Roman" w:eastAsia="Times New Roman" w:hAnsi="Times New Roman" w:cs="Times New Roman"/>
          <w:noProof w:val="0"/>
          <w:sz w:val="24"/>
          <w:szCs w:val="24"/>
          <w:lang w:val="es-MX" w:eastAsia="es-MX"/>
        </w:rPr>
        <w:t>). Estos estudios han demostrado que la fase agrícola es responsable de una proporción considerable del impacto ambiental total del café, lo que resalta la necesidad de intervención directa en las prácticas de cultivo.</w:t>
      </w:r>
    </w:p>
    <w:p w:rsidR="00681277" w:rsidRPr="00D473EB" w:rsidRDefault="00681277" w:rsidP="003435B4">
      <w:pPr>
        <w:pStyle w:val="Ttulo3"/>
        <w:rPr>
          <w:b w:val="0"/>
          <w:bCs w:val="0"/>
          <w:noProof/>
          <w:color w:val="000000" w:themeColor="text1"/>
          <w:sz w:val="24"/>
          <w:szCs w:val="24"/>
          <w:lang w:val="es-ES_tradnl"/>
        </w:rPr>
      </w:pP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w:t>
      </w:r>
      <w:r w:rsidR="00A31E95">
        <w:rPr>
          <w:rFonts w:ascii="Times New Roman" w:hAnsi="Times New Roman" w:cs="Times New Roman"/>
          <w:color w:val="000000" w:themeColor="text1"/>
          <w:sz w:val="24"/>
          <w:szCs w:val="24"/>
        </w:rPr>
        <w:t>lla de carbono, consumo de agua</w:t>
      </w:r>
      <w:r w:rsidRPr="000E7574">
        <w:rPr>
          <w:rFonts w:ascii="Times New Roman" w:hAnsi="Times New Roman" w:cs="Times New Roman"/>
          <w:color w:val="000000" w:themeColor="text1"/>
          <w:sz w:val="24"/>
          <w:szCs w:val="24"/>
        </w:rPr>
        <w:t>).</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MX"/>
        </w:rPr>
        <w:t xml:space="preserve">El análisis del ciclo de vida de un producto es una metodología que </w:t>
      </w:r>
      <w:r w:rsidRPr="00A31E95">
        <w:rPr>
          <w:rFonts w:ascii="Times New Roman" w:hAnsi="Times New Roman" w:cs="Times New Roman"/>
          <w:b/>
          <w:bCs/>
          <w:color w:val="000000" w:themeColor="text1"/>
          <w:sz w:val="24"/>
          <w:szCs w:val="24"/>
          <w:lang w:val="es-MX"/>
        </w:rPr>
        <w:t xml:space="preserve">intenta identificar, cuantificar y caracterizar los diferentes impactos ambientales </w:t>
      </w:r>
      <w:r w:rsidRPr="00A31E95">
        <w:rPr>
          <w:rFonts w:ascii="Times New Roman" w:hAnsi="Times New Roman" w:cs="Times New Roman"/>
          <w:color w:val="000000" w:themeColor="text1"/>
          <w:sz w:val="24"/>
          <w:szCs w:val="24"/>
          <w:lang w:val="es-MX"/>
        </w:rPr>
        <w:t>potenciales, asociados a cada una de las etapas del ciclo de vida de un producto.</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ES"/>
        </w:rPr>
        <w:t xml:space="preserve">El Análisis del Ciclo de Vida </w:t>
      </w:r>
      <w:r w:rsidRPr="00A31E95">
        <w:rPr>
          <w:rFonts w:ascii="Times New Roman" w:hAnsi="Times New Roman" w:cs="Times New Roman"/>
          <w:color w:val="000000" w:themeColor="text1"/>
          <w:sz w:val="24"/>
          <w:szCs w:val="24"/>
          <w:lang w:val="es-MX"/>
        </w:rPr>
        <w:t xml:space="preserve">es la </w:t>
      </w:r>
      <w:r w:rsidRPr="00A31E95">
        <w:rPr>
          <w:rFonts w:ascii="Times New Roman" w:hAnsi="Times New Roman" w:cs="Times New Roman"/>
          <w:b/>
          <w:bCs/>
          <w:color w:val="000000" w:themeColor="text1"/>
          <w:sz w:val="24"/>
          <w:szCs w:val="24"/>
          <w:lang w:val="es-MX"/>
        </w:rPr>
        <w:t xml:space="preserve">recopilación y evaluación de las entradas, las salidas y los impactos ambientales potenciales de un sistema del producto a través de su ciclo de vida </w:t>
      </w:r>
      <w:r w:rsidRPr="00A31E95">
        <w:rPr>
          <w:rFonts w:ascii="Times New Roman" w:hAnsi="Times New Roman" w:cs="Times New Roman"/>
          <w:color w:val="000000" w:themeColor="text1"/>
          <w:sz w:val="24"/>
          <w:szCs w:val="24"/>
          <w:lang w:val="es-ES"/>
        </w:rPr>
        <w:t>(</w:t>
      </w:r>
      <w:r w:rsidRPr="00A31E95">
        <w:rPr>
          <w:rFonts w:ascii="Times New Roman" w:hAnsi="Times New Roman" w:cs="Times New Roman"/>
          <w:color w:val="000000" w:themeColor="text1"/>
          <w:sz w:val="24"/>
          <w:szCs w:val="24"/>
          <w:lang w:val="en-US"/>
        </w:rPr>
        <w:t>ISO 14040, 2006).</w:t>
      </w:r>
    </w:p>
    <w:p w:rsidR="00D637CB" w:rsidRPr="00A31E95" w:rsidRDefault="00E20794"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Definición de objetivos y alcances</w:t>
      </w:r>
      <w:r w:rsidRPr="00A31E95">
        <w:rPr>
          <w:rFonts w:ascii="Times New Roman" w:hAnsi="Times New Roman" w:cs="Times New Roman"/>
          <w:iCs/>
          <w:color w:val="000000" w:themeColor="text1"/>
          <w:sz w:val="24"/>
          <w:szCs w:val="24"/>
          <w:lang w:val="es-MX"/>
        </w:rPr>
        <w:t>:</w:t>
      </w:r>
      <w:r w:rsidRPr="00A31E95">
        <w:rPr>
          <w:rFonts w:ascii="Times New Roman" w:hAnsi="Times New Roman" w:cs="Times New Roman"/>
          <w:color w:val="000000" w:themeColor="text1"/>
          <w:sz w:val="24"/>
          <w:szCs w:val="24"/>
          <w:lang w:val="es-MX"/>
        </w:rPr>
        <w:t> En esta fase se exponen los motivos por los que se desarrolla el estudio y se establece </w:t>
      </w:r>
      <w:r w:rsidRPr="00A31E95">
        <w:rPr>
          <w:rFonts w:ascii="Times New Roman" w:hAnsi="Times New Roman" w:cs="Times New Roman"/>
          <w:bCs/>
          <w:color w:val="000000" w:themeColor="text1"/>
          <w:sz w:val="24"/>
          <w:szCs w:val="24"/>
          <w:lang w:val="es-MX"/>
        </w:rPr>
        <w:t>el alcance</w:t>
      </w:r>
      <w:r w:rsidRPr="00A31E95">
        <w:rPr>
          <w:rFonts w:ascii="Times New Roman" w:hAnsi="Times New Roman" w:cs="Times New Roman"/>
          <w:color w:val="000000" w:themeColor="text1"/>
          <w:sz w:val="24"/>
          <w:szCs w:val="24"/>
          <w:lang w:val="es-MX"/>
        </w:rPr>
        <w:t xml:space="preserve"> donde se define la </w:t>
      </w:r>
      <w:r w:rsidR="00A31E95" w:rsidRPr="00A31E95">
        <w:rPr>
          <w:rFonts w:ascii="Times New Roman" w:hAnsi="Times New Roman" w:cs="Times New Roman"/>
          <w:color w:val="000000" w:themeColor="text1"/>
          <w:sz w:val="24"/>
          <w:szCs w:val="24"/>
          <w:lang w:val="es-MX"/>
        </w:rPr>
        <w:t>amplitud, profundidad y detalle del estudio</w:t>
      </w:r>
      <w:r w:rsidRPr="00A31E95">
        <w:rPr>
          <w:rFonts w:ascii="Times New Roman" w:hAnsi="Times New Roman" w:cs="Times New Roman"/>
          <w:color w:val="000000" w:themeColor="text1"/>
          <w:sz w:val="24"/>
          <w:szCs w:val="24"/>
          <w:lang w:val="es-MX"/>
        </w:rPr>
        <w:t>.</w:t>
      </w:r>
    </w:p>
    <w:p w:rsidR="00D637CB" w:rsidRPr="00A31E95" w:rsidRDefault="00E20794"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w:t>
      </w:r>
      <w:r w:rsidRPr="00A31E95">
        <w:rPr>
          <w:rFonts w:ascii="Times New Roman" w:hAnsi="Times New Roman" w:cs="Times New Roman"/>
          <w:bCs/>
          <w:iCs/>
          <w:color w:val="000000" w:themeColor="text1"/>
          <w:sz w:val="24"/>
          <w:szCs w:val="24"/>
          <w:lang w:val="es-MX"/>
        </w:rPr>
        <w:t>nventario del Ciclo de Vida (ICV)</w:t>
      </w:r>
      <w:r w:rsidRPr="00A31E95">
        <w:rPr>
          <w:rFonts w:ascii="Times New Roman" w:hAnsi="Times New Roman" w:cs="Times New Roman"/>
          <w:color w:val="000000" w:themeColor="text1"/>
          <w:sz w:val="24"/>
          <w:szCs w:val="24"/>
          <w:lang w:val="es-MX"/>
        </w:rPr>
        <w:t>: Durante esta etapa se </w:t>
      </w:r>
      <w:r w:rsidRPr="00A31E95">
        <w:rPr>
          <w:rFonts w:ascii="Times New Roman" w:hAnsi="Times New Roman" w:cs="Times New Roman"/>
          <w:bCs/>
          <w:color w:val="000000" w:themeColor="text1"/>
          <w:sz w:val="24"/>
          <w:szCs w:val="24"/>
          <w:lang w:val="es-MX"/>
        </w:rPr>
        <w:t>identifican y cuantifican</w:t>
      </w:r>
      <w:r w:rsidRPr="00A31E95">
        <w:rPr>
          <w:rFonts w:ascii="Times New Roman" w:hAnsi="Times New Roman" w:cs="Times New Roman"/>
          <w:color w:val="000000" w:themeColor="text1"/>
          <w:sz w:val="24"/>
          <w:szCs w:val="24"/>
          <w:lang w:val="es-MX"/>
        </w:rPr>
        <w:t xml:space="preserve"> todas las </w:t>
      </w:r>
      <w:r w:rsidRPr="00A31E95">
        <w:rPr>
          <w:rFonts w:ascii="Times New Roman" w:hAnsi="Times New Roman" w:cs="Times New Roman"/>
          <w:bCs/>
          <w:color w:val="000000" w:themeColor="text1"/>
          <w:sz w:val="24"/>
          <w:szCs w:val="24"/>
          <w:lang w:val="es-MX"/>
        </w:rPr>
        <w:t>entradas</w:t>
      </w:r>
      <w:r w:rsidRPr="00A31E95">
        <w:rPr>
          <w:rFonts w:ascii="Times New Roman" w:hAnsi="Times New Roman" w:cs="Times New Roman"/>
          <w:color w:val="000000" w:themeColor="text1"/>
          <w:sz w:val="24"/>
          <w:szCs w:val="24"/>
          <w:lang w:val="es-MX"/>
        </w:rPr>
        <w:t xml:space="preserve"> (consumo de recursos y materiales) </w:t>
      </w:r>
      <w:r w:rsidRPr="00A31E95">
        <w:rPr>
          <w:rFonts w:ascii="Times New Roman" w:hAnsi="Times New Roman" w:cs="Times New Roman"/>
          <w:bCs/>
          <w:color w:val="000000" w:themeColor="text1"/>
          <w:sz w:val="24"/>
          <w:szCs w:val="24"/>
          <w:lang w:val="es-MX"/>
        </w:rPr>
        <w:t xml:space="preserve">y salidas </w:t>
      </w:r>
      <w:r w:rsidRPr="00A31E95">
        <w:rPr>
          <w:rFonts w:ascii="Times New Roman" w:hAnsi="Times New Roman" w:cs="Times New Roman"/>
          <w:color w:val="000000" w:themeColor="text1"/>
          <w:sz w:val="24"/>
          <w:szCs w:val="24"/>
          <w:lang w:val="es-MX"/>
        </w:rPr>
        <w:t xml:space="preserve">(emisiones al aire, suelo, aguas y generación de residuos) </w:t>
      </w:r>
      <w:r w:rsidRPr="00A31E95">
        <w:rPr>
          <w:rFonts w:ascii="Times New Roman" w:hAnsi="Times New Roman" w:cs="Times New Roman"/>
          <w:bCs/>
          <w:color w:val="000000" w:themeColor="text1"/>
          <w:sz w:val="24"/>
          <w:szCs w:val="24"/>
          <w:lang w:val="es-MX"/>
        </w:rPr>
        <w:t xml:space="preserve">que pueden causar un impacto </w:t>
      </w:r>
      <w:r w:rsidRPr="00A31E95">
        <w:rPr>
          <w:rFonts w:ascii="Times New Roman" w:hAnsi="Times New Roman" w:cs="Times New Roman"/>
          <w:color w:val="000000" w:themeColor="text1"/>
          <w:sz w:val="24"/>
          <w:szCs w:val="24"/>
          <w:lang w:val="es-MX"/>
        </w:rPr>
        <w:t>durante el ciclo de vida de un producto. Los datos obtenidos en esta fase son el punto de partida para la evaluación de impactos del ciclo de vida.</w:t>
      </w:r>
    </w:p>
    <w:p w:rsidR="00D637CB" w:rsidRPr="00A31E95" w:rsidRDefault="00E20794"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Evaluación de los Impactos del Ciclo de Vida (EICV)</w:t>
      </w:r>
      <w:r w:rsidRPr="00A31E95">
        <w:rPr>
          <w:rFonts w:ascii="Times New Roman" w:hAnsi="Times New Roman" w:cs="Times New Roman"/>
          <w:color w:val="000000" w:themeColor="text1"/>
          <w:sz w:val="24"/>
          <w:szCs w:val="24"/>
          <w:lang w:val="es-MX"/>
        </w:rPr>
        <w:t>: Durante esta etapa </w:t>
      </w:r>
      <w:r w:rsidRPr="00A31E95">
        <w:rPr>
          <w:rFonts w:ascii="Times New Roman" w:hAnsi="Times New Roman" w:cs="Times New Roman"/>
          <w:bCs/>
          <w:color w:val="000000" w:themeColor="text1"/>
          <w:sz w:val="24"/>
          <w:szCs w:val="24"/>
          <w:lang w:val="es-MX"/>
        </w:rPr>
        <w:t>se relacionan</w:t>
      </w:r>
      <w:r w:rsidRPr="00A31E95">
        <w:rPr>
          <w:rFonts w:ascii="Times New Roman" w:hAnsi="Times New Roman" w:cs="Times New Roman"/>
          <w:color w:val="000000" w:themeColor="text1"/>
          <w:sz w:val="24"/>
          <w:szCs w:val="24"/>
          <w:lang w:val="es-MX"/>
        </w:rPr>
        <w:t xml:space="preserve"> las </w:t>
      </w:r>
      <w:r w:rsidRPr="00A31E95">
        <w:rPr>
          <w:rFonts w:ascii="Times New Roman" w:hAnsi="Times New Roman" w:cs="Times New Roman"/>
          <w:bCs/>
          <w:color w:val="000000" w:themeColor="text1"/>
          <w:sz w:val="24"/>
          <w:szCs w:val="24"/>
          <w:lang w:val="es-MX"/>
        </w:rPr>
        <w:t xml:space="preserve">entradas y salidas </w:t>
      </w:r>
      <w:r w:rsidRPr="00A31E95">
        <w:rPr>
          <w:rFonts w:ascii="Times New Roman" w:hAnsi="Times New Roman" w:cs="Times New Roman"/>
          <w:color w:val="000000" w:themeColor="text1"/>
          <w:sz w:val="24"/>
          <w:szCs w:val="24"/>
          <w:lang w:val="es-MX"/>
        </w:rPr>
        <w:t xml:space="preserve">seleccionadas en el inventario con los posibles impactos sobre el medio ambiente, la salud humana y los recursos, con el fin de </w:t>
      </w:r>
      <w:r w:rsidRPr="00A31E95">
        <w:rPr>
          <w:rFonts w:ascii="Times New Roman" w:hAnsi="Times New Roman" w:cs="Times New Roman"/>
          <w:bCs/>
          <w:color w:val="000000" w:themeColor="text1"/>
          <w:sz w:val="24"/>
          <w:szCs w:val="24"/>
          <w:lang w:val="es-MX"/>
        </w:rPr>
        <w:t xml:space="preserve">clasificar, caracterizar y valorar </w:t>
      </w:r>
      <w:r w:rsidRPr="00A31E95">
        <w:rPr>
          <w:rFonts w:ascii="Times New Roman" w:hAnsi="Times New Roman" w:cs="Times New Roman"/>
          <w:color w:val="000000" w:themeColor="text1"/>
          <w:sz w:val="24"/>
          <w:szCs w:val="24"/>
          <w:lang w:val="es-MX"/>
        </w:rPr>
        <w:t>la importancia que los potenciales impactos generan.</w:t>
      </w:r>
    </w:p>
    <w:p w:rsidR="00D637CB" w:rsidRDefault="00E20794"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Interpretación de resultados</w:t>
      </w:r>
      <w:r w:rsidRPr="00A31E95">
        <w:rPr>
          <w:rFonts w:ascii="Times New Roman" w:hAnsi="Times New Roman" w:cs="Times New Roman"/>
          <w:color w:val="000000" w:themeColor="text1"/>
          <w:sz w:val="24"/>
          <w:szCs w:val="24"/>
          <w:lang w:val="es-MX"/>
        </w:rPr>
        <w:t xml:space="preserve">: La interpretación es la combinación de los resultados del (ICV) y la (EICV), con la finalidad de extraer, de acuerdo a los objetivos y alcances </w:t>
      </w:r>
      <w:r w:rsidRPr="00A31E95">
        <w:rPr>
          <w:rFonts w:ascii="Times New Roman" w:hAnsi="Times New Roman" w:cs="Times New Roman"/>
          <w:color w:val="000000" w:themeColor="text1"/>
          <w:sz w:val="24"/>
          <w:szCs w:val="24"/>
          <w:lang w:val="es-MX"/>
        </w:rPr>
        <w:lastRenderedPageBreak/>
        <w:t>planteados</w:t>
      </w:r>
      <w:r w:rsidRPr="00A31E95">
        <w:rPr>
          <w:rFonts w:ascii="Times New Roman" w:hAnsi="Times New Roman" w:cs="Times New Roman"/>
          <w:bCs/>
          <w:color w:val="000000" w:themeColor="text1"/>
          <w:sz w:val="24"/>
          <w:szCs w:val="24"/>
          <w:lang w:val="es-MX"/>
        </w:rPr>
        <w:t>, conclusiones y recomendaciones</w:t>
      </w:r>
      <w:r w:rsidRPr="00A31E95">
        <w:rPr>
          <w:rFonts w:ascii="Times New Roman" w:hAnsi="Times New Roman" w:cs="Times New Roman"/>
          <w:color w:val="000000" w:themeColor="text1"/>
          <w:sz w:val="24"/>
          <w:szCs w:val="24"/>
          <w:lang w:val="es-MX"/>
        </w:rPr>
        <w:t xml:space="preserve"> que permitan la </w:t>
      </w:r>
      <w:r w:rsidRPr="00A31E95">
        <w:rPr>
          <w:rFonts w:ascii="Times New Roman" w:hAnsi="Times New Roman" w:cs="Times New Roman"/>
          <w:bCs/>
          <w:color w:val="000000" w:themeColor="text1"/>
          <w:sz w:val="24"/>
          <w:szCs w:val="24"/>
          <w:lang w:val="es-MX"/>
        </w:rPr>
        <w:t>toma de decisiones</w:t>
      </w:r>
      <w:r w:rsidRPr="00A31E95">
        <w:rPr>
          <w:rFonts w:ascii="Times New Roman" w:hAnsi="Times New Roman" w:cs="Times New Roman"/>
          <w:color w:val="000000" w:themeColor="text1"/>
          <w:sz w:val="24"/>
          <w:szCs w:val="24"/>
          <w:lang w:val="es-MX"/>
        </w:rPr>
        <w:t>. A veces, puede implicar un proceso dinámico de revisión y  actualización del alcance, así como de la naturaleza y la calidad de los datos recopilados para que sean coherentes con el objetivo y el alcance.</w:t>
      </w:r>
    </w:p>
    <w:p w:rsidR="00C35D3E" w:rsidRDefault="00C35D3E" w:rsidP="00C35D3E">
      <w:pPr>
        <w:pStyle w:val="NormalWeb"/>
        <w:ind w:left="720"/>
      </w:pPr>
      <w:r>
        <w:t xml:space="preserve">Existen diferentes metodologías para la integración de LCA, de acuerdo con </w:t>
      </w:r>
      <w:r>
        <w:rPr>
          <w:rStyle w:val="cite"/>
        </w:rPr>
        <w:t>[</w:t>
      </w:r>
      <w:r>
        <w:rPr>
          <w:rStyle w:val="cite-id"/>
        </w:rPr>
        <w:t>@vásquez-ibarra2021</w:t>
      </w:r>
      <w:r>
        <w:rPr>
          <w:rStyle w:val="cite"/>
        </w:rPr>
        <w:t>]</w:t>
      </w:r>
      <w:r>
        <w:t xml:space="preserve"> estas son;</w:t>
      </w:r>
    </w:p>
    <w:p w:rsidR="00C35D3E" w:rsidRPr="00A31E95" w:rsidRDefault="00C35D3E" w:rsidP="00C35D3E">
      <w:pPr>
        <w:spacing w:before="100" w:beforeAutospacing="1" w:after="100" w:afterAutospacing="1" w:line="240" w:lineRule="auto"/>
        <w:ind w:left="720"/>
        <w:rPr>
          <w:rFonts w:ascii="Times New Roman" w:hAnsi="Times New Roman" w:cs="Times New Roman"/>
          <w:color w:val="000000" w:themeColor="text1"/>
          <w:sz w:val="24"/>
          <w:szCs w:val="24"/>
          <w:lang w:val="es-MX"/>
        </w:rPr>
      </w:pPr>
      <w:r w:rsidRPr="00C35D3E">
        <w:rPr>
          <w:rFonts w:ascii="Times New Roman" w:hAnsi="Times New Roman" w:cs="Times New Roman"/>
          <w:color w:val="000000" w:themeColor="text1"/>
          <w:sz w:val="24"/>
          <w:szCs w:val="24"/>
          <w:lang w:val="es-MX" w:eastAsia="es-MX"/>
        </w:rPr>
        <w:drawing>
          <wp:inline distT="0" distB="0" distL="0" distR="0" wp14:anchorId="75F2FB13" wp14:editId="1D088A7F">
            <wp:extent cx="5971540" cy="33585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1540" cy="3358515"/>
                    </a:xfrm>
                    <a:prstGeom prst="rect">
                      <a:avLst/>
                    </a:prstGeom>
                  </pic:spPr>
                </pic:pic>
              </a:graphicData>
            </a:graphic>
          </wp:inline>
        </w:drawing>
      </w:r>
    </w:p>
    <w:p w:rsidR="00C35D3E" w:rsidRDefault="00C35D3E" w:rsidP="00C35D3E">
      <w:pPr>
        <w:pStyle w:val="NormalWeb"/>
        <w:ind w:left="720"/>
      </w:pPr>
      <w:r>
        <w:t>En esta oportunidad se resalta para el contexto actual de Veracruz, la Metodología LCA+DEA con el método de cuatro pasos</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lastRenderedPageBreak/>
        <w:drawing>
          <wp:inline distT="0" distB="0" distL="0" distR="0">
            <wp:extent cx="4168815" cy="2857500"/>
            <wp:effectExtent l="0" t="0" r="3175"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74486" cy="2861387"/>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lastRenderedPageBreak/>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r w:rsidR="007550E2">
        <w:rPr>
          <w:rFonts w:ascii="Times New Roman" w:hAnsi="Times New Roman" w:cs="Times New Roman"/>
          <w:color w:val="000000" w:themeColor="text1"/>
          <w:sz w:val="24"/>
          <w:szCs w:val="24"/>
        </w:rPr>
        <w:t xml:space="preserve"> de cultivos agrícolas</w:t>
      </w:r>
      <w:r w:rsidRPr="000E7574">
        <w:rPr>
          <w:rFonts w:ascii="Times New Roman" w:hAnsi="Times New Roman" w:cs="Times New Roman"/>
          <w:color w:val="000000" w:themeColor="text1"/>
          <w:sz w:val="24"/>
          <w:szCs w:val="24"/>
        </w:rPr>
        <w:t>.</w:t>
      </w:r>
    </w:p>
    <w:p w:rsidR="004B486C" w:rsidRPr="000E7574" w:rsidRDefault="004B486C" w:rsidP="003435B4">
      <w:pPr>
        <w:spacing w:after="0"/>
        <w:rPr>
          <w:rFonts w:ascii="Times New Roman" w:hAnsi="Times New Roman" w:cs="Times New Roman"/>
          <w:color w:val="000000" w:themeColor="text1"/>
          <w:sz w:val="24"/>
          <w:szCs w:val="24"/>
        </w:rPr>
      </w:pPr>
    </w:p>
    <w:p w:rsidR="00694DC7" w:rsidRPr="00694DC7" w:rsidRDefault="00694DC7" w:rsidP="00694DC7">
      <w:pPr>
        <w:pStyle w:val="Ttulo2"/>
        <w:shd w:val="clear" w:color="auto" w:fill="FFFFFF"/>
        <w:spacing w:before="0" w:line="336" w:lineRule="atLeast"/>
        <w:rPr>
          <w:rFonts w:ascii="Source Sans Pro" w:hAnsi="Source Sans Pro"/>
          <w:b/>
          <w:noProof w:val="0"/>
          <w:color w:val="343A40"/>
          <w:lang w:val="es-MX"/>
        </w:rPr>
      </w:pPr>
      <w:r w:rsidRPr="00694DC7">
        <w:rPr>
          <w:rFonts w:ascii="Source Sans Pro" w:hAnsi="Source Sans Pro"/>
          <w:b/>
          <w:color w:val="343A40"/>
        </w:rPr>
        <w:t>References</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Angulo-Meza, Lidia, Marcela González-Araya, Alfredo Iriarte, Ricardo Rebolledo-Leiva, and João Carlos Soares de Mello. 2019. “A Multiobjective DEA Model to Assess the Eco-Efficiency of Agricultural Practices Within the CF + DEA Method.” </w:t>
      </w:r>
      <w:r>
        <w:rPr>
          <w:rStyle w:val="nfasis"/>
          <w:rFonts w:ascii="Source Sans Pro" w:hAnsi="Source Sans Pro"/>
          <w:color w:val="343A40"/>
        </w:rPr>
        <w:t>Computers and Electronics in Agriculture</w:t>
      </w:r>
      <w:r>
        <w:rPr>
          <w:rFonts w:ascii="Source Sans Pro" w:hAnsi="Source Sans Pro"/>
          <w:color w:val="343A40"/>
        </w:rPr>
        <w:t> 161 (June): 151–61. </w:t>
      </w:r>
      <w:hyperlink r:id="rId38" w:history="1">
        <w:r>
          <w:rPr>
            <w:rStyle w:val="Hipervnculo"/>
            <w:rFonts w:ascii="Source Sans Pro" w:hAnsi="Source Sans Pro"/>
            <w:color w:val="2761E3"/>
          </w:rPr>
          <w:t>https://doi.org/10.1016/j.compag.2018.05.037</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Charnes, A., W. W. Cooper, and E. Rhodes. 1978. “Measuring the Efficiency of Decision Making Units.” </w:t>
      </w:r>
      <w:r>
        <w:rPr>
          <w:rStyle w:val="nfasis"/>
          <w:rFonts w:ascii="Source Sans Pro" w:hAnsi="Source Sans Pro"/>
          <w:color w:val="343A40"/>
        </w:rPr>
        <w:t>European Journal of Operational Research</w:t>
      </w:r>
      <w:r>
        <w:rPr>
          <w:rFonts w:ascii="Source Sans Pro" w:hAnsi="Source Sans Pro"/>
          <w:color w:val="343A40"/>
        </w:rPr>
        <w:t> 2 (6): 429–44. </w:t>
      </w:r>
      <w:hyperlink r:id="rId39" w:history="1">
        <w:r>
          <w:rPr>
            <w:rStyle w:val="Hipervnculo"/>
            <w:rFonts w:ascii="Source Sans Pro" w:hAnsi="Source Sans Pro"/>
            <w:color w:val="2761E3"/>
          </w:rPr>
          <w:t>https://doi.org/10.1016/0377-2217(78)90138-8</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Costa, Marcela P., Jan C. Schoeneboom, Sueli A. Oliveira, Rafael S. Viñas, and Gerson A. de Medeiros. 2018. “A Socio-Eco-Efficiency Analysis of Integrated and Non-Integrated Crop-Livestock-Forestry Systems in the Brazilian Cerrado Based on LCA.” </w:t>
      </w:r>
      <w:r>
        <w:rPr>
          <w:rStyle w:val="nfasis"/>
          <w:rFonts w:ascii="Source Sans Pro" w:hAnsi="Source Sans Pro"/>
          <w:color w:val="343A40"/>
        </w:rPr>
        <w:t>Journal of Cleaner Production</w:t>
      </w:r>
      <w:r>
        <w:rPr>
          <w:rFonts w:ascii="Source Sans Pro" w:hAnsi="Source Sans Pro"/>
          <w:color w:val="343A40"/>
        </w:rPr>
        <w:t> 171 (January): 1460–71. </w:t>
      </w:r>
      <w:hyperlink r:id="rId40" w:history="1">
        <w:r>
          <w:rPr>
            <w:rStyle w:val="Hipervnculo"/>
            <w:rFonts w:ascii="Source Sans Pro" w:hAnsi="Source Sans Pro"/>
            <w:color w:val="2761E3"/>
          </w:rPr>
          <w:t>https://doi.org/10.1016/j.jclepro.2017.10.063</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Finkbeiner, Matthias, Atsushi Inaba, Reginald Tan, Kim Christiansen, and Hans-Jürgen Klüppel. 2006. “The New International Standards for Life Cycle Assessment: ISO 14040 and ISO 14044.” </w:t>
      </w:r>
      <w:r>
        <w:rPr>
          <w:rStyle w:val="nfasis"/>
          <w:rFonts w:ascii="Source Sans Pro" w:hAnsi="Source Sans Pro"/>
          <w:color w:val="343A40"/>
        </w:rPr>
        <w:t>The International Journal of Life Cycle Assessment</w:t>
      </w:r>
      <w:r>
        <w:rPr>
          <w:rFonts w:ascii="Source Sans Pro" w:hAnsi="Source Sans Pro"/>
          <w:color w:val="343A40"/>
        </w:rPr>
        <w:t> 11 (2): 80–85. </w:t>
      </w:r>
      <w:hyperlink r:id="rId41" w:history="1">
        <w:r>
          <w:rPr>
            <w:rStyle w:val="Hipervnculo"/>
            <w:rFonts w:ascii="Source Sans Pro" w:hAnsi="Source Sans Pro"/>
            <w:color w:val="2761E3"/>
          </w:rPr>
          <w:t>https://doi.org/10.1065/lca2006.02.002</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Garcia-Freites, Samira, Mirjam Röder, and Patricia Thornley. 2020. “Environmental Trade-Offs Associated with Bioenergy from Agri-Residues in Sub-Tropical Regions: A Case Study of the Colombian Coffee Sector.” </w:t>
      </w:r>
      <w:r>
        <w:rPr>
          <w:rStyle w:val="nfasis"/>
          <w:rFonts w:ascii="Source Sans Pro" w:hAnsi="Source Sans Pro"/>
          <w:color w:val="343A40"/>
        </w:rPr>
        <w:t>Biomass and Bioenergy</w:t>
      </w:r>
      <w:r>
        <w:rPr>
          <w:rFonts w:ascii="Source Sans Pro" w:hAnsi="Source Sans Pro"/>
          <w:color w:val="343A40"/>
        </w:rPr>
        <w:t> 140 (September): 105581. </w:t>
      </w:r>
      <w:hyperlink r:id="rId42" w:history="1">
        <w:r>
          <w:rPr>
            <w:rStyle w:val="Hipervnculo"/>
            <w:rFonts w:ascii="Source Sans Pro" w:hAnsi="Source Sans Pro"/>
            <w:color w:val="2761E3"/>
          </w:rPr>
          <w:t>https://doi.org/10.1016/j.biombioe.2020.105581</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lastRenderedPageBreak/>
        <w:t>Notarnicola, Bruno, Serenella Sala, Assumpció Anton, Sarah J. McLaren, Erwan Saouter, and Ulf Sonesson. 2017. “The Role of Life Cycle Assessment in Supporting Sustainable Agri-Food Systems: A Review of the Challenges.” </w:t>
      </w:r>
      <w:r>
        <w:rPr>
          <w:rStyle w:val="nfasis"/>
          <w:rFonts w:ascii="Source Sans Pro" w:hAnsi="Source Sans Pro"/>
          <w:color w:val="343A40"/>
        </w:rPr>
        <w:t>Journal of Cleaner Production</w:t>
      </w:r>
      <w:r>
        <w:rPr>
          <w:rFonts w:ascii="Source Sans Pro" w:hAnsi="Source Sans Pro"/>
          <w:color w:val="343A40"/>
        </w:rPr>
        <w:t> 140 (January): 399–409. </w:t>
      </w:r>
      <w:hyperlink r:id="rId43" w:history="1">
        <w:r>
          <w:rPr>
            <w:rStyle w:val="Hipervnculo"/>
            <w:rFonts w:ascii="Source Sans Pro" w:hAnsi="Source Sans Pro"/>
            <w:color w:val="2761E3"/>
          </w:rPr>
          <w:t>https://doi.org/10.1016/j.jclepro.2016.06.071</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Samper, Luis, and Xiomara Quiñones-Ruiz. 2017. “Towards a Balanced Sustainability Vision for the Coffee Industry.” </w:t>
      </w:r>
      <w:r>
        <w:rPr>
          <w:rStyle w:val="nfasis"/>
          <w:rFonts w:ascii="Source Sans Pro" w:hAnsi="Source Sans Pro"/>
          <w:color w:val="343A40"/>
        </w:rPr>
        <w:t>Resources</w:t>
      </w:r>
      <w:r>
        <w:rPr>
          <w:rFonts w:ascii="Source Sans Pro" w:hAnsi="Source Sans Pro"/>
          <w:color w:val="343A40"/>
        </w:rPr>
        <w:t> 6 (2): 17. </w:t>
      </w:r>
      <w:hyperlink r:id="rId44" w:history="1">
        <w:r>
          <w:rPr>
            <w:rStyle w:val="Hipervnculo"/>
            <w:rFonts w:ascii="Source Sans Pro" w:hAnsi="Source Sans Pro"/>
            <w:color w:val="2761E3"/>
          </w:rPr>
          <w:t>https://doi.org/10.3390/resources6020017</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Trinh, L. T. K., A. H. Hu, Y. C. Lan, and Z. H. Chen. 2019. “Comparative Life Cycle Assessment for Conventional and Organic Coffee Cultivation in Vietnam.” </w:t>
      </w:r>
      <w:r>
        <w:rPr>
          <w:rStyle w:val="nfasis"/>
          <w:rFonts w:ascii="Source Sans Pro" w:hAnsi="Source Sans Pro"/>
          <w:color w:val="343A40"/>
        </w:rPr>
        <w:t>International Journal of Environmental Science and Technology</w:t>
      </w:r>
      <w:r>
        <w:rPr>
          <w:rFonts w:ascii="Source Sans Pro" w:hAnsi="Source Sans Pro"/>
          <w:color w:val="343A40"/>
        </w:rPr>
        <w:t> 17 (3): 1307–24. </w:t>
      </w:r>
      <w:hyperlink r:id="rId45" w:history="1">
        <w:r>
          <w:rPr>
            <w:rStyle w:val="Hipervnculo"/>
            <w:rFonts w:ascii="Source Sans Pro" w:hAnsi="Source Sans Pro"/>
            <w:color w:val="2761E3"/>
          </w:rPr>
          <w:t>https://doi.org/10.1007/s13762-019-02539-5</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Vásquez-Ibarra, Leonardo, Alfredo Iriarte, Ricardo Rebolledo-Leiva, Marcia Vásquez, Lidia Angulo-Meza, and Marcela C. González-Araya. 2021. “Considering the Influence of the Variability in Management Practices on the Environmental Impacts of Fruit Production: A Case Study on Raspberry Production in Chile.” </w:t>
      </w:r>
      <w:r>
        <w:rPr>
          <w:rStyle w:val="nfasis"/>
          <w:rFonts w:ascii="Source Sans Pro" w:hAnsi="Source Sans Pro"/>
          <w:color w:val="343A40"/>
        </w:rPr>
        <w:t>Journal of Cleaner Production</w:t>
      </w:r>
      <w:r>
        <w:rPr>
          <w:rFonts w:ascii="Source Sans Pro" w:hAnsi="Source Sans Pro"/>
          <w:color w:val="343A40"/>
        </w:rPr>
        <w:t> 313 (September): 127609. </w:t>
      </w:r>
      <w:hyperlink r:id="rId46" w:history="1">
        <w:r>
          <w:rPr>
            <w:rStyle w:val="Hipervnculo"/>
            <w:rFonts w:ascii="Source Sans Pro" w:hAnsi="Source Sans Pro"/>
            <w:color w:val="2761E3"/>
          </w:rPr>
          <w:t>https://doi.org/10.1016/j.jclepro.2021.127609</w:t>
        </w:r>
      </w:hyperlink>
      <w:r>
        <w:rPr>
          <w:rFonts w:ascii="Source Sans Pro" w:hAnsi="Source Sans Pro"/>
          <w:color w:val="343A40"/>
        </w:rPr>
        <w:t>.</w:t>
      </w:r>
    </w:p>
    <w:p w:rsidR="00F627F5" w:rsidRDefault="00F627F5">
      <w:pPr>
        <w:rPr>
          <w:rStyle w:val="Textoennegrita"/>
          <w:rFonts w:ascii="Times New Roman" w:eastAsiaTheme="majorEastAsia" w:hAnsi="Times New Roman" w:cs="Times New Roman"/>
          <w:bCs w:val="0"/>
          <w:color w:val="000000" w:themeColor="text1"/>
          <w:sz w:val="24"/>
          <w:szCs w:val="24"/>
        </w:rPr>
      </w:pPr>
    </w:p>
    <w:p w:rsidR="00694DC7" w:rsidRDefault="00694DC7">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D473EB" w:rsidRDefault="00D473EB" w:rsidP="003435B4">
      <w:pPr>
        <w:spacing w:before="100" w:beforeAutospacing="1" w:after="100" w:afterAutospacing="1"/>
        <w:rPr>
          <w:rFonts w:ascii="Times New Roman" w:hAnsi="Times New Roman" w:cs="Times New Roman"/>
          <w:color w:val="000000" w:themeColor="text1"/>
          <w:sz w:val="24"/>
          <w:szCs w:val="24"/>
        </w:rPr>
      </w:pPr>
      <w:r w:rsidRPr="00D473EB">
        <w:rPr>
          <w:rFonts w:ascii="Times New Roman" w:hAnsi="Times New Roman" w:cs="Times New Roman"/>
          <w:color w:val="000000" w:themeColor="text1"/>
          <w:sz w:val="24"/>
          <w:szCs w:val="24"/>
        </w:rPr>
        <w:t>El Análisis Envolvente de Datos es una técnica no paramétrica cuyas primeras aplicaciones se remontan a 1978 (Riaño y Larrea, 2021). Su origen se encuentra en la investigación doctoral de Rhodes, quien evaluaba la eficacia del programa de educación Follow-Through en las escuelas públicas de Estados Unidos. No obstante, el desarrollo de esta técnica no se debe exclusivamente a Rhodes. También es fundamental reconocer la contribución de Charnes, Cooper, Banker, Färe, Grosskopf, Seiford y Thrall, quienes desempeñaron un papel crucial en el desarrollo de los modelos matemáticos que sustentan el DEA (</w:t>
      </w:r>
      <w:proofErr w:type="spellStart"/>
      <w:r w:rsidR="003A5E55" w:rsidRPr="005A6CC8">
        <w:rPr>
          <w:rFonts w:ascii="Times New Roman" w:eastAsia="Times New Roman" w:hAnsi="Times New Roman" w:cs="Times New Roman"/>
          <w:bCs/>
          <w:noProof w:val="0"/>
          <w:sz w:val="24"/>
          <w:szCs w:val="24"/>
          <w:lang w:val="es-MX" w:eastAsia="es-MX"/>
        </w:rPr>
        <w:t>Taoumi</w:t>
      </w:r>
      <w:proofErr w:type="spellEnd"/>
      <w:r w:rsidR="003A5E55" w:rsidRPr="007E64E8">
        <w:rPr>
          <w:rFonts w:ascii="Times New Roman" w:eastAsia="Times New Roman" w:hAnsi="Times New Roman" w:cs="Times New Roman"/>
          <w:bCs/>
          <w:noProof w:val="0"/>
          <w:sz w:val="24"/>
          <w:szCs w:val="24"/>
          <w:lang w:val="es-MX" w:eastAsia="es-MX"/>
        </w:rPr>
        <w:t xml:space="preserve"> &amp; </w:t>
      </w:r>
      <w:proofErr w:type="spellStart"/>
      <w:r w:rsidR="003A5E55" w:rsidRPr="007E64E8">
        <w:rPr>
          <w:rFonts w:ascii="Times New Roman" w:eastAsia="Times New Roman" w:hAnsi="Times New Roman" w:cs="Times New Roman"/>
          <w:bCs/>
          <w:noProof w:val="0"/>
          <w:sz w:val="24"/>
          <w:szCs w:val="24"/>
          <w:lang w:val="es-MX" w:eastAsia="es-MX"/>
        </w:rPr>
        <w:t>Lahrech</w:t>
      </w:r>
      <w:proofErr w:type="spellEnd"/>
      <w:r w:rsidRPr="00D473EB">
        <w:rPr>
          <w:rFonts w:ascii="Times New Roman" w:hAnsi="Times New Roman" w:cs="Times New Roman"/>
          <w:color w:val="000000" w:themeColor="text1"/>
          <w:sz w:val="24"/>
          <w:szCs w:val="24"/>
        </w:rPr>
        <w:t>, 202</w:t>
      </w:r>
      <w:r w:rsidR="003A5E55">
        <w:rPr>
          <w:rFonts w:ascii="Times New Roman" w:hAnsi="Times New Roman" w:cs="Times New Roman"/>
          <w:color w:val="000000" w:themeColor="text1"/>
          <w:sz w:val="24"/>
          <w:szCs w:val="24"/>
        </w:rPr>
        <w:t>3</w:t>
      </w:r>
      <w:r w:rsidRPr="00D473EB">
        <w:rPr>
          <w:rFonts w:ascii="Times New Roman" w:hAnsi="Times New Roman" w:cs="Times New Roman"/>
          <w:color w:val="000000" w:themeColor="text1"/>
          <w:sz w:val="24"/>
          <w:szCs w:val="24"/>
        </w:rPr>
        <w:t>).</w:t>
      </w:r>
    </w:p>
    <w:p w:rsidR="00A910E0" w:rsidRDefault="00A910E0" w:rsidP="003435B4">
      <w:pPr>
        <w:spacing w:before="100" w:beforeAutospacing="1" w:after="100" w:afterAutospacing="1"/>
        <w:rPr>
          <w:rFonts w:ascii="Times New Roman" w:hAnsi="Times New Roman" w:cs="Times New Roman"/>
          <w:color w:val="000000" w:themeColor="text1"/>
          <w:sz w:val="24"/>
          <w:szCs w:val="24"/>
        </w:rPr>
      </w:pPr>
      <w:r w:rsidRPr="00A910E0">
        <w:rPr>
          <w:rFonts w:ascii="Times New Roman" w:hAnsi="Times New Roman" w:cs="Times New Roman"/>
          <w:color w:val="000000" w:themeColor="text1"/>
          <w:sz w:val="24"/>
          <w:szCs w:val="24"/>
        </w:rPr>
        <w:t xml:space="preserve">Los métodos de selección de variables persiguen, primordialmente, ordenar un conjunto de variables (inputs y outputs) definidas para evaluar a las </w:t>
      </w:r>
      <w:r w:rsidR="004F7CD1">
        <w:rPr>
          <w:rFonts w:ascii="Times New Roman" w:hAnsi="Times New Roman" w:cs="Times New Roman"/>
          <w:color w:val="000000" w:themeColor="text1"/>
          <w:sz w:val="24"/>
          <w:szCs w:val="24"/>
        </w:rPr>
        <w:t>Unidades de Toma de Decisiones (</w:t>
      </w:r>
      <w:r w:rsidRPr="00A910E0">
        <w:rPr>
          <w:rFonts w:ascii="Times New Roman" w:hAnsi="Times New Roman" w:cs="Times New Roman"/>
          <w:color w:val="000000" w:themeColor="text1"/>
          <w:sz w:val="24"/>
          <w:szCs w:val="24"/>
        </w:rPr>
        <w:t>DMUs</w:t>
      </w:r>
      <w:r w:rsidR="004F7CD1">
        <w:rPr>
          <w:rFonts w:ascii="Times New Roman" w:hAnsi="Times New Roman" w:cs="Times New Roman"/>
          <w:color w:val="000000" w:themeColor="text1"/>
          <w:sz w:val="24"/>
          <w:szCs w:val="24"/>
        </w:rPr>
        <w:t>)</w:t>
      </w:r>
      <w:r w:rsidRPr="00A910E0">
        <w:rPr>
          <w:rFonts w:ascii="Times New Roman" w:hAnsi="Times New Roman" w:cs="Times New Roman"/>
          <w:color w:val="000000" w:themeColor="text1"/>
          <w:sz w:val="24"/>
          <w:szCs w:val="24"/>
        </w:rPr>
        <w:t xml:space="preserve"> usando modelos DEA, con el propósito de seleccionar un número restringido de variables, a manera de mantener la relación causal en los modelos y que éstos indiquen adecuadamente el desempeño de las DMU</w:t>
      </w:r>
      <w:r w:rsidR="00CD4877">
        <w:rPr>
          <w:rFonts w:ascii="Times New Roman" w:hAnsi="Times New Roman" w:cs="Times New Roman"/>
          <w:color w:val="000000" w:themeColor="text1"/>
          <w:sz w:val="24"/>
          <w:szCs w:val="24"/>
        </w:rPr>
        <w:t>s evaluadas (Peças et al., 2019</w:t>
      </w:r>
      <w:r w:rsidRPr="00A910E0">
        <w:rPr>
          <w:rFonts w:ascii="Times New Roman" w:hAnsi="Times New Roman" w:cs="Times New Roman"/>
          <w:color w:val="000000" w:themeColor="text1"/>
          <w:sz w:val="24"/>
          <w:szCs w:val="24"/>
        </w:rPr>
        <w:t>).</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48"/>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una función de producción. El DEA es una metodología de optimización diseñada para medir la eficiencia relativa de las unidades organizacionales (DMU's, por sus siglas en inglés de Decision Making Units, o Unidades de Toma de Decisión). </w:t>
      </w:r>
    </w:p>
    <w:p w:rsidR="00CD4877"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DEA, se ha consolidado como una herramienta clave en el ámbito de la investigación. </w:t>
      </w:r>
      <w:r w:rsidR="00CD4877">
        <w:rPr>
          <w:rFonts w:ascii="Times New Roman" w:eastAsia="Times New Roman" w:hAnsi="Times New Roman" w:cs="Times New Roman"/>
          <w:color w:val="000000" w:themeColor="text1"/>
          <w:sz w:val="24"/>
          <w:szCs w:val="24"/>
          <w:lang w:eastAsia="es-MX"/>
        </w:rPr>
        <w:t>Se</w:t>
      </w:r>
      <w:r w:rsidRPr="000E7574">
        <w:rPr>
          <w:rFonts w:ascii="Times New Roman" w:eastAsia="Times New Roman" w:hAnsi="Times New Roman" w:cs="Times New Roman"/>
          <w:color w:val="000000" w:themeColor="text1"/>
          <w:sz w:val="24"/>
          <w:szCs w:val="24"/>
          <w:lang w:eastAsia="es-MX"/>
        </w:rPr>
        <w:t xml:space="preserve"> ha sido desarrollado a partir de los planteamient</w:t>
      </w:r>
      <w:r w:rsidR="00CD4877">
        <w:rPr>
          <w:rFonts w:ascii="Times New Roman" w:eastAsia="Times New Roman" w:hAnsi="Times New Roman" w:cs="Times New Roman"/>
          <w:color w:val="000000" w:themeColor="text1"/>
          <w:sz w:val="24"/>
          <w:szCs w:val="24"/>
          <w:lang w:eastAsia="es-MX"/>
        </w:rPr>
        <w:t xml:space="preserve">os teóricos de Farrell en 1957 según </w:t>
      </w:r>
      <w:r w:rsidRPr="000E7574">
        <w:rPr>
          <w:rFonts w:ascii="Times New Roman" w:eastAsia="Times New Roman" w:hAnsi="Times New Roman" w:cs="Times New Roman"/>
          <w:color w:val="000000" w:themeColor="text1"/>
          <w:sz w:val="24"/>
          <w:szCs w:val="24"/>
          <w:lang w:eastAsia="es-MX"/>
        </w:rPr>
        <w:t xml:space="preserve">Cooper </w:t>
      </w:r>
      <w:r w:rsidRPr="000E7574">
        <w:rPr>
          <w:rFonts w:ascii="Times New Roman" w:eastAsia="Times New Roman" w:hAnsi="Times New Roman" w:cs="Times New Roman"/>
          <w:i/>
          <w:iCs/>
          <w:color w:val="000000" w:themeColor="text1"/>
          <w:sz w:val="24"/>
          <w:szCs w:val="24"/>
          <w:lang w:eastAsia="es-MX"/>
        </w:rPr>
        <w:t>et al</w:t>
      </w:r>
      <w:r w:rsidR="00CD4877">
        <w:rPr>
          <w:rFonts w:ascii="Times New Roman" w:eastAsia="Times New Roman" w:hAnsi="Times New Roman" w:cs="Times New Roman"/>
          <w:color w:val="000000" w:themeColor="text1"/>
          <w:sz w:val="24"/>
          <w:szCs w:val="24"/>
          <w:lang w:eastAsia="es-MX"/>
        </w:rPr>
        <w:t>.</w:t>
      </w:r>
      <w:r w:rsidRPr="000E7574">
        <w:rPr>
          <w:rFonts w:ascii="Times New Roman" w:eastAsia="Times New Roman" w:hAnsi="Times New Roman" w:cs="Times New Roman"/>
          <w:color w:val="000000" w:themeColor="text1"/>
          <w:sz w:val="24"/>
          <w:szCs w:val="24"/>
          <w:lang w:eastAsia="es-MX"/>
        </w:rPr>
        <w:t>, y desde entonces ha sido ampliamente aplicado en diversas disciplinas</w:t>
      </w:r>
      <w:r w:rsidR="00CD4877">
        <w:rPr>
          <w:rFonts w:ascii="Times New Roman" w:eastAsia="Times New Roman" w:hAnsi="Times New Roman" w:cs="Times New Roman"/>
          <w:color w:val="000000" w:themeColor="text1"/>
          <w:sz w:val="24"/>
          <w:szCs w:val="24"/>
          <w:lang w:eastAsia="es-MX"/>
        </w:rPr>
        <w:t xml:space="preserve"> (</w:t>
      </w:r>
      <w:proofErr w:type="spellStart"/>
      <w:r w:rsidR="00CD4877" w:rsidRPr="0028590A">
        <w:rPr>
          <w:rFonts w:ascii="Times New Roman" w:eastAsia="Times New Roman" w:hAnsi="Times New Roman" w:cs="Times New Roman"/>
          <w:bCs/>
          <w:noProof w:val="0"/>
          <w:sz w:val="24"/>
          <w:szCs w:val="24"/>
          <w:lang w:val="es-MX" w:eastAsia="es-MX"/>
        </w:rPr>
        <w:t>Börner</w:t>
      </w:r>
      <w:proofErr w:type="spellEnd"/>
      <w:r w:rsidR="00CD4877">
        <w:rPr>
          <w:rFonts w:ascii="Times New Roman" w:eastAsia="Times New Roman" w:hAnsi="Times New Roman" w:cs="Times New Roman"/>
          <w:bCs/>
          <w:noProof w:val="0"/>
          <w:sz w:val="24"/>
          <w:szCs w:val="24"/>
          <w:lang w:val="es-MX" w:eastAsia="es-MX"/>
        </w:rPr>
        <w:t xml:space="preserve"> et al., 2017)</w:t>
      </w:r>
      <w:r w:rsidRPr="000E7574">
        <w:rPr>
          <w:rFonts w:ascii="Times New Roman" w:eastAsia="Times New Roman" w:hAnsi="Times New Roman" w:cs="Times New Roman"/>
          <w:color w:val="000000" w:themeColor="text1"/>
          <w:sz w:val="24"/>
          <w:szCs w:val="24"/>
          <w:lang w:eastAsia="es-MX"/>
        </w:rPr>
        <w:t xml:space="preserve">. </w:t>
      </w:r>
    </w:p>
    <w:p w:rsidR="008864A9"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BB0517" w:rsidRPr="00BB0517" w:rsidRDefault="00BB0517" w:rsidP="00BB0517">
      <w:pPr>
        <w:spacing w:after="0" w:line="360" w:lineRule="auto"/>
        <w:jc w:val="both"/>
        <w:rPr>
          <w:rFonts w:ascii="Times New Roman" w:eastAsia="Times New Roman" w:hAnsi="Times New Roman" w:cs="Times New Roman"/>
          <w:color w:val="000000" w:themeColor="text1"/>
          <w:sz w:val="24"/>
          <w:szCs w:val="24"/>
          <w:lang w:eastAsia="es-MX"/>
        </w:rPr>
      </w:pPr>
      <w:r w:rsidRPr="00BB0517">
        <w:rPr>
          <w:rFonts w:ascii="Times New Roman" w:eastAsia="Times New Roman" w:hAnsi="Times New Roman" w:cs="Times New Roman"/>
          <w:color w:val="000000" w:themeColor="text1"/>
          <w:sz w:val="24"/>
          <w:szCs w:val="24"/>
          <w:lang w:eastAsia="es-MX"/>
        </w:rPr>
        <w:t>Por su parte, el uso del DEA en la cafeticultura permite analizar la eficiencia técnica de las unidades productivas, comparando entradas como insumos agrícolas y mano de obra, con salidas como volumen de producción e ingresos generados. En un estudio reciente realizado en Colombia, Gaitán (2020) identificó diferencias significativas en la eficiencia de las fincas cafetaleras asociadas a factores como la capacitación técnica, el acceso a tecnologías limpias y la diversificación productiva.</w:t>
      </w: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76203D" w:rsidRPr="0076203D" w:rsidRDefault="0076203D" w:rsidP="0076203D">
      <w:pPr>
        <w:spacing w:before="100" w:beforeAutospacing="1" w:after="100" w:afterAutospacing="1"/>
        <w:rPr>
          <w:rFonts w:ascii="Times New Roman" w:hAnsi="Times New Roman" w:cs="Times New Roman"/>
          <w:b/>
          <w:color w:val="000000" w:themeColor="text1"/>
          <w:sz w:val="24"/>
          <w:szCs w:val="24"/>
        </w:rPr>
      </w:pPr>
      <w:r w:rsidRPr="0076203D">
        <w:rPr>
          <w:rFonts w:ascii="Times New Roman" w:hAnsi="Times New Roman" w:cs="Times New Roman"/>
          <w:b/>
          <w:color w:val="000000" w:themeColor="text1"/>
          <w:sz w:val="24"/>
          <w:szCs w:val="24"/>
        </w:rPr>
        <w:t>Diferencia entre eficiencia técnica, económica y ecoeficiencia</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técnica se centra en maximizar la producción utilizando un conjunto fijo de insumos, sin tener en cuenta los costos ni las externalidades ambientales (Harya et al., 2024). Se refiere a la capacidad de un sistema productivo para generar la mayor cantidad posible de producto con la mínima utilización de recursos, optimizando los procesos técnicos. Este enfoque prioriza el rendimiento productivo, ignorando aspectos financieros o impactos ecológicos.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económica se centra en maximizar la rentabilidad mediante la optimización de la relación entre costos</w:t>
      </w:r>
      <w:r w:rsidR="00E20794">
        <w:rPr>
          <w:rFonts w:ascii="Times New Roman" w:hAnsi="Times New Roman" w:cs="Times New Roman"/>
          <w:color w:val="000000" w:themeColor="text1"/>
          <w:sz w:val="24"/>
          <w:szCs w:val="24"/>
        </w:rPr>
        <w:t xml:space="preserve"> y beneficios (Bhat &amp; Kaur, 2022</w:t>
      </w:r>
      <w:r w:rsidRPr="0076203D">
        <w:rPr>
          <w:rFonts w:ascii="Times New Roman" w:hAnsi="Times New Roman" w:cs="Times New Roman"/>
          <w:color w:val="000000" w:themeColor="text1"/>
          <w:sz w:val="24"/>
          <w:szCs w:val="24"/>
        </w:rPr>
        <w:t xml:space="preserve">). Evalúa el uso de recursos desde una perspectiva monetaria, buscando generar el mayor ingreso posible con los menores costos de producción. Este enfoque prioriza la viabilidad financiera, asegurando que las decisiones de gestión resulten en un equilibrio óptimo entre los recursos invertidos y los retornos obtenidos.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En contraste, la ecoeficiencia incorpora el impacto ambiental como un criterio central, evaluando simultáneamente la productividad, los costos y las externalidades entre ellas las emisiones de carbono o la pérdida de biodiversidad (Cardoso et al., 2024). Esta integración holística distingue a la ecoeficiencia dado que es un enfoque más completo para la sostenibilidad.</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ecoeficiencia trasciende las nociones tradicionales de eficiencia al exigir un equilibrio ético entre el bienestar humano y la conservación del capital natural, un aspecto que debería guiar las políticas agrícolas globales.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Así, la ecoeficiencia busca producir más con pocos recursos y menos daño ambiental. Mientras la eficiencia técnica y económica se enfocan en desempeño físico o financiero, la ecoeficiencia añade una dimensión ecológica. Por ello se plantea que la ecoeficiencia es clave en sistemas sostenibles, como los agrícolas dado que aporta una mirada distinta sobre el uso eficiente de los recursos.</w:t>
      </w:r>
    </w:p>
    <w:p w:rsidR="0076203D" w:rsidRPr="0093273D" w:rsidRDefault="0076203D" w:rsidP="0076203D">
      <w:pPr>
        <w:spacing w:before="100" w:beforeAutospacing="1" w:after="100" w:afterAutospacing="1"/>
        <w:rPr>
          <w:rFonts w:ascii="Times New Roman" w:hAnsi="Times New Roman" w:cs="Times New Roman"/>
          <w:color w:val="000000" w:themeColor="text1"/>
          <w:sz w:val="24"/>
          <w:szCs w:val="24"/>
        </w:rPr>
      </w:pPr>
      <w:r w:rsidRPr="0093273D">
        <w:rPr>
          <w:rFonts w:ascii="Times New Roman" w:hAnsi="Times New Roman" w:cs="Times New Roman"/>
          <w:color w:val="000000" w:themeColor="text1"/>
          <w:sz w:val="24"/>
          <w:szCs w:val="24"/>
        </w:rPr>
        <w:t xml:space="preserve">Experiencias en México, Colombia y Costa Rica ilustran el potencial de la ecoeficiencia. Para el caso de México, según la Morales et al. (2025) reportaron que los cafetales bajo sombra en Chiapas, que integran árboles nativos, aumentaron la biodiversidad en un 20% y redujeron el uso de agroquímicos en un 30%.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Del análisis en Colombia, la Federación Nacional de Cafeteros implementó un programa de café sostenible que mejoró los rendimientos en un 15% y disminuyó las emisiones en un 10% mediante la utilización de compost (Ferrucho et al., 2024).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Otro hallazgo fue en Costa Rica, las certificaciones como Rainforest Alliance han permitido a los productores reducir el consumo de agua en un 25% y aumentar sus ingresos en un 12% (Rubio, 2024). Sin embargo, la falta de metodologías estandarizadas y el acceso limitado a financiamiento restringen la escalabilidad de las iniciativas (Broeckhoven et al., 2025).</w:t>
      </w:r>
    </w:p>
    <w:p w:rsidR="0076203D" w:rsidRPr="000E7574"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lastRenderedPageBreak/>
        <w:t>Estas experiencias destacan la necesidad de integrar los conocimientos tradicionales de los productores, como el uso de cultivos intercalados, para enriquecer las estrategias ecoeficientes y garantizar su viabilidad a largo plazo.</w:t>
      </w:r>
    </w:p>
    <w:p w:rsidR="003435B4" w:rsidRDefault="003435B4" w:rsidP="003435B4">
      <w:pPr>
        <w:pStyle w:val="Ttulo3"/>
        <w:rPr>
          <w:rStyle w:val="Textoennegrita"/>
          <w:b/>
          <w:bCs/>
          <w:color w:val="000000" w:themeColor="text1"/>
          <w:sz w:val="24"/>
          <w:szCs w:val="24"/>
        </w:rPr>
      </w:pPr>
      <w:r w:rsidRPr="000E7574">
        <w:rPr>
          <w:rStyle w:val="Textoennegrita"/>
          <w:b/>
          <w:bCs/>
          <w:color w:val="000000" w:themeColor="text1"/>
          <w:sz w:val="24"/>
          <w:szCs w:val="24"/>
        </w:rPr>
        <w:t>2. Características</w:t>
      </w:r>
    </w:p>
    <w:p w:rsidR="0093273D" w:rsidRPr="0093273D" w:rsidRDefault="0093273D" w:rsidP="0093273D">
      <w:pPr>
        <w:pStyle w:val="Prrafodelista"/>
        <w:numPr>
          <w:ilvl w:val="0"/>
          <w:numId w:val="11"/>
        </w:numPr>
        <w:spacing w:after="0" w:line="240" w:lineRule="auto"/>
        <w:rPr>
          <w:rFonts w:ascii="Times New Roman" w:hAnsi="Times New Roman" w:cs="Times New Roman"/>
          <w:color w:val="000000" w:themeColor="text1"/>
          <w:sz w:val="24"/>
          <w:szCs w:val="24"/>
        </w:rPr>
      </w:pPr>
      <w:r w:rsidRPr="0093273D">
        <w:rPr>
          <w:rFonts w:ascii="Times New Roman" w:hAnsi="Times New Roman" w:cs="Times New Roman"/>
          <w:b/>
          <w:color w:val="000000" w:themeColor="text1"/>
          <w:sz w:val="24"/>
          <w:szCs w:val="24"/>
        </w:rPr>
        <w:t>Método no paramétrico basado en programación matemática</w:t>
      </w:r>
      <w:r w:rsidRPr="0093273D">
        <w:rPr>
          <w:rFonts w:ascii="Times New Roman" w:hAnsi="Times New Roman" w:cs="Times New Roman"/>
          <w:color w:val="000000" w:themeColor="text1"/>
          <w:sz w:val="24"/>
          <w:szCs w:val="24"/>
        </w:rPr>
        <w:t>: DEA utiliza técnicas de programación lineal para construir una frontera de eficiencia sin asumir una forma funcional específica para la relación entre insumos y productos. Esto significa que no requiere suposiciones previas sobre cómo los recursos se convierten en resultados, lo que lo hace adaptable a diferentes contextos, como fincas cafetaleras con diversas prácticas agrícolas, evitando sesgos derivados de modelos teóricos rígidos.</w:t>
      </w:r>
    </w:p>
    <w:p w:rsidR="0093273D" w:rsidRPr="0093273D" w:rsidRDefault="0093273D" w:rsidP="0093273D">
      <w:pPr>
        <w:pStyle w:val="Prrafodelista"/>
        <w:numPr>
          <w:ilvl w:val="0"/>
          <w:numId w:val="11"/>
        </w:numPr>
        <w:spacing w:after="0" w:line="240" w:lineRule="auto"/>
        <w:rPr>
          <w:rFonts w:ascii="Times New Roman" w:hAnsi="Times New Roman" w:cs="Times New Roman"/>
          <w:color w:val="000000" w:themeColor="text1"/>
          <w:sz w:val="24"/>
          <w:szCs w:val="24"/>
        </w:rPr>
      </w:pPr>
      <w:r w:rsidRPr="0093273D">
        <w:rPr>
          <w:rFonts w:ascii="Times New Roman" w:hAnsi="Times New Roman" w:cs="Times New Roman"/>
          <w:b/>
          <w:color w:val="000000" w:themeColor="text1"/>
          <w:sz w:val="24"/>
          <w:szCs w:val="24"/>
        </w:rPr>
        <w:t>Permite comparar fincas cafetaleras sin necesidad de una función de producción predefinida</w:t>
      </w:r>
      <w:r w:rsidRPr="0093273D">
        <w:rPr>
          <w:rFonts w:ascii="Times New Roman" w:hAnsi="Times New Roman" w:cs="Times New Roman"/>
          <w:color w:val="000000" w:themeColor="text1"/>
          <w:sz w:val="24"/>
          <w:szCs w:val="24"/>
        </w:rPr>
        <w:t>: A diferencia de otros métodos que dependen de una ecuación matemática preestablecida para modelar la producción, DEA evalúa la eficiencia comparando directamente las fincas según su desempeño real en términos de insumos utilizados y productos generados. Esto permite analizar fincas con características heterogéneas (tamaño, tecnología, tipo de café) de manera objetiva y sin imponer estructuras rígidas.</w:t>
      </w:r>
    </w:p>
    <w:p w:rsidR="0093273D" w:rsidRPr="0093273D" w:rsidRDefault="0093273D" w:rsidP="0093273D">
      <w:pPr>
        <w:pStyle w:val="Prrafodelista"/>
        <w:numPr>
          <w:ilvl w:val="0"/>
          <w:numId w:val="11"/>
        </w:numPr>
        <w:spacing w:after="0" w:line="240" w:lineRule="auto"/>
        <w:rPr>
          <w:rFonts w:ascii="Times New Roman" w:hAnsi="Times New Roman" w:cs="Times New Roman"/>
          <w:color w:val="000000" w:themeColor="text1"/>
          <w:sz w:val="24"/>
          <w:szCs w:val="24"/>
        </w:rPr>
      </w:pPr>
      <w:r w:rsidRPr="0093273D">
        <w:rPr>
          <w:rFonts w:ascii="Times New Roman" w:hAnsi="Times New Roman" w:cs="Times New Roman"/>
          <w:b/>
          <w:color w:val="000000" w:themeColor="text1"/>
          <w:sz w:val="24"/>
          <w:szCs w:val="24"/>
        </w:rPr>
        <w:t>Identifica las unidades más eficientes y las que requieren mejoras</w:t>
      </w:r>
      <w:r>
        <w:rPr>
          <w:rFonts w:ascii="Times New Roman" w:hAnsi="Times New Roman" w:cs="Times New Roman"/>
          <w:color w:val="000000" w:themeColor="text1"/>
          <w:sz w:val="24"/>
          <w:szCs w:val="24"/>
        </w:rPr>
        <w:t xml:space="preserve">: </w:t>
      </w:r>
      <w:r w:rsidRPr="0093273D">
        <w:rPr>
          <w:rFonts w:ascii="Times New Roman" w:hAnsi="Times New Roman" w:cs="Times New Roman"/>
          <w:color w:val="000000" w:themeColor="text1"/>
          <w:sz w:val="24"/>
          <w:szCs w:val="24"/>
        </w:rPr>
        <w:t>DEA clasifica las fincas cafetaleras en eficientes e ineficientes al compararlas con una frontera de eficiencia construida a partir de las mejores prácticas observadas. Las fincas eficientes están en la frontera, mientras que las ineficientes se identifican con un puntaje que indica cuánto deben mejorar en el uso de insumos o en la producción para alcanzar la eficiencia, ofreciendo una guía clara para la optimización.</w:t>
      </w:r>
    </w:p>
    <w:p w:rsidR="0093273D" w:rsidRPr="0093273D" w:rsidRDefault="0093273D" w:rsidP="0093273D">
      <w:pPr>
        <w:pStyle w:val="Prrafodelista"/>
        <w:numPr>
          <w:ilvl w:val="0"/>
          <w:numId w:val="11"/>
        </w:numPr>
        <w:spacing w:after="0" w:line="240" w:lineRule="auto"/>
        <w:rPr>
          <w:rFonts w:ascii="Times New Roman" w:eastAsia="Times New Roman" w:hAnsi="Times New Roman" w:cs="Times New Roman"/>
          <w:noProof w:val="0"/>
          <w:sz w:val="24"/>
          <w:szCs w:val="24"/>
          <w:lang w:val="es-MX" w:eastAsia="es-MX"/>
        </w:rPr>
      </w:pPr>
      <w:r w:rsidRPr="0093273D">
        <w:rPr>
          <w:rFonts w:ascii="Times New Roman" w:eastAsia="Times New Roman" w:hAnsi="Times New Roman" w:cs="Times New Roman"/>
          <w:b/>
          <w:bCs/>
          <w:noProof w:val="0"/>
          <w:sz w:val="24"/>
          <w:szCs w:val="24"/>
          <w:lang w:val="es-MX" w:eastAsia="es-MX"/>
        </w:rPr>
        <w:t>Flexibilidad en el manejo de múltiples insumos y productos</w:t>
      </w:r>
      <w:r w:rsidRPr="0093273D">
        <w:rPr>
          <w:rFonts w:ascii="Times New Roman" w:eastAsia="Times New Roman" w:hAnsi="Times New Roman" w:cs="Times New Roman"/>
          <w:noProof w:val="0"/>
          <w:sz w:val="24"/>
          <w:szCs w:val="24"/>
          <w:lang w:val="es-MX" w:eastAsia="es-MX"/>
        </w:rPr>
        <w:t xml:space="preserve">: DEA permite evaluar la eficiencia considerando simultáneamente múltiples insumos (como mano de obra, fertilizantes, agua) y productos (como cantidad de café cosechado o ingresos generados), sin necesidad de asignar pesos subjetivos a cada uno. </w:t>
      </w:r>
    </w:p>
    <w:p w:rsidR="0093273D" w:rsidRPr="0093273D" w:rsidRDefault="0093273D" w:rsidP="0093273D">
      <w:pPr>
        <w:pStyle w:val="Prrafodelista"/>
        <w:numPr>
          <w:ilvl w:val="0"/>
          <w:numId w:val="11"/>
        </w:numPr>
        <w:spacing w:after="0" w:line="240" w:lineRule="auto"/>
        <w:rPr>
          <w:rFonts w:ascii="Times New Roman" w:eastAsia="Times New Roman" w:hAnsi="Times New Roman" w:cs="Times New Roman"/>
          <w:noProof w:val="0"/>
          <w:sz w:val="24"/>
          <w:szCs w:val="24"/>
          <w:lang w:val="es-MX" w:eastAsia="es-MX"/>
        </w:rPr>
      </w:pPr>
      <w:r w:rsidRPr="0093273D">
        <w:rPr>
          <w:rFonts w:ascii="Times New Roman" w:eastAsia="Times New Roman" w:hAnsi="Times New Roman" w:cs="Times New Roman"/>
          <w:b/>
          <w:bCs/>
          <w:noProof w:val="0"/>
          <w:sz w:val="24"/>
          <w:szCs w:val="24"/>
          <w:lang w:val="es-MX" w:eastAsia="es-MX"/>
        </w:rPr>
        <w:t>Orientación a la optimización</w:t>
      </w:r>
      <w:r w:rsidRPr="0093273D">
        <w:rPr>
          <w:rFonts w:ascii="Times New Roman" w:eastAsia="Times New Roman" w:hAnsi="Times New Roman" w:cs="Times New Roman"/>
          <w:noProof w:val="0"/>
          <w:sz w:val="24"/>
          <w:szCs w:val="24"/>
          <w:lang w:val="es-MX" w:eastAsia="es-MX"/>
        </w:rPr>
        <w:t xml:space="preserve">: DEA puede configurarse con diferentes orientaciones, como la minimización de insumos (lograr el mismo nivel de producción con menos recursos) o la maximización de productos (aumentar la producción con los mismos recursos), adaptándose a los objetivos específicos del análisis. </w:t>
      </w:r>
    </w:p>
    <w:p w:rsidR="0093273D" w:rsidRPr="0093273D" w:rsidRDefault="0093273D" w:rsidP="0093273D">
      <w:pPr>
        <w:pStyle w:val="Prrafodelista"/>
        <w:numPr>
          <w:ilvl w:val="0"/>
          <w:numId w:val="11"/>
        </w:numPr>
        <w:spacing w:after="0" w:line="240" w:lineRule="auto"/>
        <w:rPr>
          <w:rFonts w:ascii="Times New Roman" w:eastAsia="Times New Roman" w:hAnsi="Times New Roman" w:cs="Times New Roman"/>
          <w:noProof w:val="0"/>
          <w:sz w:val="24"/>
          <w:szCs w:val="24"/>
          <w:lang w:val="es-MX" w:eastAsia="es-MX"/>
        </w:rPr>
      </w:pPr>
      <w:r w:rsidRPr="0093273D">
        <w:rPr>
          <w:rFonts w:ascii="Times New Roman" w:eastAsia="Times New Roman" w:hAnsi="Times New Roman" w:cs="Times New Roman"/>
          <w:b/>
          <w:bCs/>
          <w:noProof w:val="0"/>
          <w:sz w:val="24"/>
          <w:szCs w:val="24"/>
          <w:lang w:val="es-MX" w:eastAsia="es-MX"/>
        </w:rPr>
        <w:t>Identificación de referencias (</w:t>
      </w:r>
      <w:proofErr w:type="spellStart"/>
      <w:r w:rsidRPr="0093273D">
        <w:rPr>
          <w:rFonts w:ascii="Times New Roman" w:eastAsia="Times New Roman" w:hAnsi="Times New Roman" w:cs="Times New Roman"/>
          <w:b/>
          <w:bCs/>
          <w:noProof w:val="0"/>
          <w:sz w:val="24"/>
          <w:szCs w:val="24"/>
          <w:lang w:val="es-MX" w:eastAsia="es-MX"/>
        </w:rPr>
        <w:t>benchmarks</w:t>
      </w:r>
      <w:proofErr w:type="spellEnd"/>
      <w:r w:rsidRPr="0093273D">
        <w:rPr>
          <w:rFonts w:ascii="Times New Roman" w:eastAsia="Times New Roman" w:hAnsi="Times New Roman" w:cs="Times New Roman"/>
          <w:b/>
          <w:bCs/>
          <w:noProof w:val="0"/>
          <w:sz w:val="24"/>
          <w:szCs w:val="24"/>
          <w:lang w:val="es-MX" w:eastAsia="es-MX"/>
        </w:rPr>
        <w:t>)</w:t>
      </w:r>
      <w:r w:rsidRPr="0093273D">
        <w:rPr>
          <w:rFonts w:ascii="Times New Roman" w:eastAsia="Times New Roman" w:hAnsi="Times New Roman" w:cs="Times New Roman"/>
          <w:noProof w:val="0"/>
          <w:sz w:val="24"/>
          <w:szCs w:val="24"/>
          <w:lang w:val="es-MX" w:eastAsia="es-MX"/>
        </w:rPr>
        <w:t xml:space="preserve">: DEA no solo señala las unidades ineficientes, sino que también identifica las unidades eficientes que sirven como referencia o "mejores prácticas" para las demás, proporcionando metas alcanzables y ejemplos prácticos de mejora. </w:t>
      </w:r>
    </w:p>
    <w:p w:rsidR="0093273D" w:rsidRPr="0093273D" w:rsidRDefault="0093273D" w:rsidP="0093273D">
      <w:pPr>
        <w:pStyle w:val="Prrafodelista"/>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93273D">
        <w:rPr>
          <w:rFonts w:ascii="Times New Roman" w:eastAsia="Times New Roman" w:hAnsi="Times New Roman" w:cs="Times New Roman"/>
          <w:b/>
          <w:bCs/>
          <w:noProof w:val="0"/>
          <w:sz w:val="24"/>
          <w:szCs w:val="24"/>
          <w:lang w:val="es-MX" w:eastAsia="es-MX"/>
        </w:rPr>
        <w:t>Capacidad para incorporar restricciones contextuales</w:t>
      </w:r>
      <w:r w:rsidRPr="0093273D">
        <w:rPr>
          <w:rFonts w:ascii="Times New Roman" w:eastAsia="Times New Roman" w:hAnsi="Times New Roman" w:cs="Times New Roman"/>
          <w:noProof w:val="0"/>
          <w:sz w:val="24"/>
          <w:szCs w:val="24"/>
          <w:lang w:val="es-MX" w:eastAsia="es-MX"/>
        </w:rPr>
        <w:t>: DEA puede adaptarse para incluir restricciones específicas del entorno, como limitaciones ambientales, tecnológicas o económicas, lo que permite un análisis más realista y ajustado a las condiciones de las fincas cafetaleras.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083908" w:rsidRPr="00083908" w:rsidRDefault="00083908" w:rsidP="00083908">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083908">
        <w:rPr>
          <w:rFonts w:ascii="Times New Roman" w:eastAsia="Times New Roman" w:hAnsi="Times New Roman" w:cs="Times New Roman"/>
          <w:noProof w:val="0"/>
          <w:sz w:val="24"/>
          <w:szCs w:val="24"/>
          <w:lang w:val="es-MX" w:eastAsia="es-MX"/>
        </w:rPr>
        <w:lastRenderedPageBreak/>
        <w:t xml:space="preserve">Este modelo de DEA, desarrollado por </w:t>
      </w:r>
      <w:proofErr w:type="spellStart"/>
      <w:r w:rsidRPr="00083908">
        <w:rPr>
          <w:rFonts w:ascii="Times New Roman" w:eastAsia="Times New Roman" w:hAnsi="Times New Roman" w:cs="Times New Roman"/>
          <w:noProof w:val="0"/>
          <w:sz w:val="24"/>
          <w:szCs w:val="24"/>
          <w:lang w:val="es-MX" w:eastAsia="es-MX"/>
        </w:rPr>
        <w:t>Charnes</w:t>
      </w:r>
      <w:proofErr w:type="spellEnd"/>
      <w:r w:rsidRPr="00083908">
        <w:rPr>
          <w:rFonts w:ascii="Times New Roman" w:eastAsia="Times New Roman" w:hAnsi="Times New Roman" w:cs="Times New Roman"/>
          <w:noProof w:val="0"/>
          <w:sz w:val="24"/>
          <w:szCs w:val="24"/>
          <w:lang w:val="es-MX" w:eastAsia="es-MX"/>
        </w:rPr>
        <w:t xml:space="preserve">, Cooper y </w:t>
      </w:r>
      <w:proofErr w:type="spellStart"/>
      <w:r w:rsidRPr="00083908">
        <w:rPr>
          <w:rFonts w:ascii="Times New Roman" w:eastAsia="Times New Roman" w:hAnsi="Times New Roman" w:cs="Times New Roman"/>
          <w:noProof w:val="0"/>
          <w:sz w:val="24"/>
          <w:szCs w:val="24"/>
          <w:lang w:val="es-MX" w:eastAsia="es-MX"/>
        </w:rPr>
        <w:t>Rhodes</w:t>
      </w:r>
      <w:proofErr w:type="spellEnd"/>
      <w:r w:rsidRPr="00083908">
        <w:rPr>
          <w:rFonts w:ascii="Times New Roman" w:eastAsia="Times New Roman" w:hAnsi="Times New Roman" w:cs="Times New Roman"/>
          <w:noProof w:val="0"/>
          <w:sz w:val="24"/>
          <w:szCs w:val="24"/>
          <w:lang w:val="es-MX" w:eastAsia="es-MX"/>
        </w:rPr>
        <w:t xml:space="preserve"> en 1978, asume rendimientos constantes a escala (CRS), lo que implica que un aumento proporcional en los insumos genera un aumento proporcional en los productos. Evalúa la eficiencia técnica global de unidades de decisión (como fincas cafetaleras) comparando insumos y productos para determinar cuáles operan en la frontera de eficiencia, sin considerar variaciones en la escala de operación.</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49"/>
                    <a:stretch>
                      <a:fillRect/>
                    </a:stretch>
                  </pic:blipFill>
                  <pic:spPr>
                    <a:xfrm>
                      <a:off x="0" y="0"/>
                      <a:ext cx="3028351" cy="1999581"/>
                    </a:xfrm>
                    <a:prstGeom prst="rect">
                      <a:avLst/>
                    </a:prstGeom>
                  </pic:spPr>
                </pic:pic>
              </a:graphicData>
            </a:graphic>
          </wp:inline>
        </w:drawing>
      </w:r>
    </w:p>
    <w:p w:rsidR="003435B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083908" w:rsidRPr="00083908" w:rsidRDefault="00083908" w:rsidP="00083908">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083908">
        <w:rPr>
          <w:rFonts w:ascii="Times New Roman" w:eastAsia="Times New Roman" w:hAnsi="Times New Roman" w:cs="Times New Roman"/>
          <w:noProof w:val="0"/>
          <w:sz w:val="24"/>
          <w:szCs w:val="24"/>
          <w:lang w:val="es-MX" w:eastAsia="es-MX"/>
        </w:rPr>
        <w:t xml:space="preserve">Desarrollado por </w:t>
      </w:r>
      <w:proofErr w:type="spellStart"/>
      <w:r w:rsidRPr="00083908">
        <w:rPr>
          <w:rFonts w:ascii="Times New Roman" w:eastAsia="Times New Roman" w:hAnsi="Times New Roman" w:cs="Times New Roman"/>
          <w:noProof w:val="0"/>
          <w:sz w:val="24"/>
          <w:szCs w:val="24"/>
          <w:lang w:val="es-MX" w:eastAsia="es-MX"/>
        </w:rPr>
        <w:t>Banker</w:t>
      </w:r>
      <w:proofErr w:type="spellEnd"/>
      <w:r w:rsidRPr="00083908">
        <w:rPr>
          <w:rFonts w:ascii="Times New Roman" w:eastAsia="Times New Roman" w:hAnsi="Times New Roman" w:cs="Times New Roman"/>
          <w:noProof w:val="0"/>
          <w:sz w:val="24"/>
          <w:szCs w:val="24"/>
          <w:lang w:val="es-MX" w:eastAsia="es-MX"/>
        </w:rPr>
        <w:t xml:space="preserve">, </w:t>
      </w:r>
      <w:proofErr w:type="spellStart"/>
      <w:r w:rsidRPr="00083908">
        <w:rPr>
          <w:rFonts w:ascii="Times New Roman" w:eastAsia="Times New Roman" w:hAnsi="Times New Roman" w:cs="Times New Roman"/>
          <w:noProof w:val="0"/>
          <w:sz w:val="24"/>
          <w:szCs w:val="24"/>
          <w:lang w:val="es-MX" w:eastAsia="es-MX"/>
        </w:rPr>
        <w:t>Charnes</w:t>
      </w:r>
      <w:proofErr w:type="spellEnd"/>
      <w:r w:rsidRPr="00083908">
        <w:rPr>
          <w:rFonts w:ascii="Times New Roman" w:eastAsia="Times New Roman" w:hAnsi="Times New Roman" w:cs="Times New Roman"/>
          <w:noProof w:val="0"/>
          <w:sz w:val="24"/>
          <w:szCs w:val="24"/>
          <w:lang w:val="es-MX" w:eastAsia="es-MX"/>
        </w:rPr>
        <w:t xml:space="preserve"> y Cooper en 1984, este modelo de DEA asume rendimientos variables a escala (VRS), reconociendo que el tamaño o escala de las unidades de decisión (como fincas cafetaleras) puede influir en su eficiencia. Evalúa la eficiencia técnica pura, separando los efectos de la gestión de los efectos de escala, permitiendo comparaciones más precisas entre unidades de diferentes tamaños.</w:t>
      </w:r>
    </w:p>
    <w:p w:rsidR="00083908" w:rsidRPr="000E7574" w:rsidRDefault="00083908" w:rsidP="00083908">
      <w:pPr>
        <w:spacing w:before="100" w:beforeAutospacing="1" w:after="100" w:afterAutospacing="1" w:line="240" w:lineRule="auto"/>
        <w:ind w:left="720"/>
        <w:rPr>
          <w:rFonts w:ascii="Times New Roman" w:hAnsi="Times New Roman" w:cs="Times New Roman"/>
          <w:color w:val="000000" w:themeColor="text1"/>
          <w:sz w:val="24"/>
          <w:szCs w:val="24"/>
        </w:rPr>
      </w:pP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50"/>
                    <a:stretch>
                      <a:fillRect/>
                    </a:stretch>
                  </pic:blipFill>
                  <pic:spPr>
                    <a:xfrm>
                      <a:off x="0" y="0"/>
                      <a:ext cx="3167657" cy="1966650"/>
                    </a:xfrm>
                    <a:prstGeom prst="rect">
                      <a:avLst/>
                    </a:prstGeom>
                  </pic:spPr>
                </pic:pic>
              </a:graphicData>
            </a:graphic>
          </wp:inline>
        </w:drawing>
      </w:r>
    </w:p>
    <w:p w:rsidR="003435B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083908" w:rsidRPr="00083908" w:rsidRDefault="00083908" w:rsidP="00083908">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083908">
        <w:rPr>
          <w:rFonts w:ascii="Times New Roman" w:eastAsia="Times New Roman" w:hAnsi="Times New Roman" w:cs="Times New Roman"/>
          <w:noProof w:val="0"/>
          <w:sz w:val="24"/>
          <w:szCs w:val="24"/>
          <w:lang w:val="es-MX" w:eastAsia="es-MX"/>
        </w:rPr>
        <w:t xml:space="preserve">Modelos orientados a insumos o productos: En el Análisis Envolvente de Datos (DEA), los modelos pueden orientarse hacia insumos o hacia productos, dependiendo del objetivo </w:t>
      </w:r>
      <w:r w:rsidRPr="00083908">
        <w:rPr>
          <w:rFonts w:ascii="Times New Roman" w:eastAsia="Times New Roman" w:hAnsi="Times New Roman" w:cs="Times New Roman"/>
          <w:noProof w:val="0"/>
          <w:sz w:val="24"/>
          <w:szCs w:val="24"/>
          <w:lang w:val="es-MX" w:eastAsia="es-MX"/>
        </w:rPr>
        <w:lastRenderedPageBreak/>
        <w:t>del análisis. La orientación a insumos se centra en minimizar los recursos utilizados (como mano de obra, fertilizantes o agua en fincas cafetaleras) para lograr un nivel dado de producción, siendo ideal para contextos donde se busca reducir costos o mejorar la eficiencia en el uso de recursos escasos. Por otro lado, la orientación a productos se enfoca en maximizar la producción (como la cantidad de café cosechado o ingresos generados) utilizando un nivel fijo de insumos, lo que es útil cuando el objetivo es aumentar los resultados sin incrementar los recursos. Ambos enfoques permiten adaptar el análisis a las prioridades específicas de las fincas, ya sea optimizando costos operativos o incrementando la productividad, y se implementan mediante programación lineal para identificar la frontera de eficiencia y las mejoras necesarias en cada caso.</w:t>
      </w:r>
    </w:p>
    <w:p w:rsidR="00083908" w:rsidRPr="000E7574" w:rsidRDefault="00083908" w:rsidP="00083908">
      <w:pPr>
        <w:spacing w:before="100" w:beforeAutospacing="1" w:after="100" w:afterAutospacing="1" w:line="240" w:lineRule="auto"/>
        <w:ind w:left="720"/>
        <w:rPr>
          <w:rFonts w:ascii="Times New Roman" w:hAnsi="Times New Roman" w:cs="Times New Roman"/>
          <w:color w:val="000000" w:themeColor="text1"/>
          <w:sz w:val="24"/>
          <w:szCs w:val="24"/>
        </w:rPr>
      </w:pP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9B32C9" w:rsidRDefault="003435B4" w:rsidP="003435B4">
      <w:pPr>
        <w:numPr>
          <w:ilvl w:val="0"/>
          <w:numId w:val="13"/>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Combinación de DEA con análisis de big data en agricultura.</w:t>
      </w:r>
    </w:p>
    <w:p w:rsidR="00BE0251" w:rsidRPr="00BE0251" w:rsidRDefault="00BE0251" w:rsidP="00BE0251">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BE0251">
        <w:rPr>
          <w:rFonts w:ascii="Times New Roman" w:eastAsia="Times New Roman" w:hAnsi="Times New Roman" w:cs="Times New Roman"/>
          <w:noProof w:val="0"/>
          <w:sz w:val="24"/>
          <w:szCs w:val="24"/>
          <w:lang w:val="es-MX" w:eastAsia="es-MX"/>
        </w:rPr>
        <w:t xml:space="preserve">La integración del DEA con el análisis de </w:t>
      </w:r>
      <w:proofErr w:type="spellStart"/>
      <w:r w:rsidRPr="00BE0251">
        <w:rPr>
          <w:rFonts w:ascii="Times New Roman" w:eastAsia="Times New Roman" w:hAnsi="Times New Roman" w:cs="Times New Roman"/>
          <w:noProof w:val="0"/>
          <w:sz w:val="24"/>
          <w:szCs w:val="24"/>
          <w:lang w:val="es-MX" w:eastAsia="es-MX"/>
        </w:rPr>
        <w:t>big</w:t>
      </w:r>
      <w:proofErr w:type="spellEnd"/>
      <w:r w:rsidRPr="00BE0251">
        <w:rPr>
          <w:rFonts w:ascii="Times New Roman" w:eastAsia="Times New Roman" w:hAnsi="Times New Roman" w:cs="Times New Roman"/>
          <w:noProof w:val="0"/>
          <w:sz w:val="24"/>
          <w:szCs w:val="24"/>
          <w:lang w:val="es-MX" w:eastAsia="es-MX"/>
        </w:rPr>
        <w:t xml:space="preserve"> data está transformando la evaluación de la eficiencia en la agricultura al combinar la capacidad del DEA para medir la eficiencia relativa con el manejo de grandes volúmenes de datos provenientes de tecnologías avanzadas, como sensores, imágenes satelitales, drones y plataformas </w:t>
      </w:r>
      <w:proofErr w:type="spellStart"/>
      <w:r w:rsidRPr="00BE0251">
        <w:rPr>
          <w:rFonts w:ascii="Times New Roman" w:eastAsia="Times New Roman" w:hAnsi="Times New Roman" w:cs="Times New Roman"/>
          <w:noProof w:val="0"/>
          <w:sz w:val="24"/>
          <w:szCs w:val="24"/>
          <w:lang w:val="es-MX" w:eastAsia="es-MX"/>
        </w:rPr>
        <w:t>IoT</w:t>
      </w:r>
      <w:proofErr w:type="spellEnd"/>
      <w:r w:rsidRPr="00BE0251">
        <w:rPr>
          <w:rFonts w:ascii="Times New Roman" w:eastAsia="Times New Roman" w:hAnsi="Times New Roman" w:cs="Times New Roman"/>
          <w:noProof w:val="0"/>
          <w:sz w:val="24"/>
          <w:szCs w:val="24"/>
          <w:lang w:val="es-MX" w:eastAsia="es-MX"/>
        </w:rPr>
        <w:t xml:space="preserve"> (Internet de las cosas). Esta combinación permite procesar datos en tiempo real sobre variables como el clima, la calidad del suelo, el uso de agua y la productividad de los cultivos, generando modelos de eficiencia más precisos y dinámicos. Por ejemplo, el DEA puede identificar fincas cafetaleras eficientes, mientras que el </w:t>
      </w:r>
      <w:proofErr w:type="spellStart"/>
      <w:r w:rsidRPr="00BE0251">
        <w:rPr>
          <w:rFonts w:ascii="Times New Roman" w:eastAsia="Times New Roman" w:hAnsi="Times New Roman" w:cs="Times New Roman"/>
          <w:noProof w:val="0"/>
          <w:sz w:val="24"/>
          <w:szCs w:val="24"/>
          <w:lang w:val="es-MX" w:eastAsia="es-MX"/>
        </w:rPr>
        <w:t>big</w:t>
      </w:r>
      <w:proofErr w:type="spellEnd"/>
      <w:r w:rsidRPr="00BE0251">
        <w:rPr>
          <w:rFonts w:ascii="Times New Roman" w:eastAsia="Times New Roman" w:hAnsi="Times New Roman" w:cs="Times New Roman"/>
          <w:noProof w:val="0"/>
          <w:sz w:val="24"/>
          <w:szCs w:val="24"/>
          <w:lang w:val="es-MX" w:eastAsia="es-MX"/>
        </w:rPr>
        <w:t xml:space="preserve"> data proporciona patrones y tendencias (como predicciones de rendimiento o riesgos climáticos) que enriquecen el análisis, permitiendo a los agricultores optimizar recursos, reducir costos y adoptar prácticas más sostenibles. Esta sinergia facilita la toma de decisiones informadas, adaptadas a las condiciones específicas de cada parcela, y promueve la agricultura de precisión</w:t>
      </w:r>
      <w:r w:rsidR="001B3B9E">
        <w:rPr>
          <w:rFonts w:ascii="Times New Roman" w:eastAsia="Times New Roman" w:hAnsi="Times New Roman" w:cs="Times New Roman"/>
          <w:noProof w:val="0"/>
          <w:sz w:val="24"/>
          <w:szCs w:val="24"/>
          <w:lang w:val="es-MX" w:eastAsia="es-MX"/>
        </w:rPr>
        <w:t>.</w:t>
      </w:r>
    </w:p>
    <w:p w:rsidR="003435B4" w:rsidRPr="009B32C9" w:rsidRDefault="003435B4" w:rsidP="003435B4">
      <w:pPr>
        <w:numPr>
          <w:ilvl w:val="0"/>
          <w:numId w:val="13"/>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Uso en evaluación de impactos económicos y ambientales simultáneamente.</w:t>
      </w:r>
    </w:p>
    <w:p w:rsidR="001B3B9E" w:rsidRPr="001B3B9E" w:rsidRDefault="001B3B9E" w:rsidP="001B3B9E">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1B3B9E">
        <w:rPr>
          <w:rFonts w:ascii="Times New Roman" w:eastAsia="Times New Roman" w:hAnsi="Times New Roman" w:cs="Times New Roman"/>
          <w:noProof w:val="0"/>
          <w:sz w:val="24"/>
          <w:szCs w:val="24"/>
          <w:lang w:val="es-MX" w:eastAsia="es-MX"/>
        </w:rPr>
        <w:t>El DEA se utiliza cada vez más para evaluar simultáneamente los impactos económicos y ambientales de sistemas agrícolas, integrando métricas de desempeño financiero (como costos de producción y rentabilidad) con indicadores ambientales (como emisiones de carbono, uso de agua o degradación del suelo). Esta aproximación permite a los productores y responsables de políticas identificar fincas cafetaleras que logran un equilibrio entre viabilidad económica y sostenibilidad ambiental, promoviendo prácticas que minimicen el impacto ecológico sin comprometer los ingresos. Por ejemplo, el DEA puede evaluar cómo la reducción de fertilizantes químicos afecta tanto los costos como la calidad del suelo, ayudando a diseñar estrategias que optimicen el uso de recursos y reduzcan externalidades negativas, como la contaminación por nitratos o la pérdida de biodiversidad. Esta tendencia es clave para alinear la producción agrícola con los Objetivos de Desarrollo Sostenible, especialmente en contextos vulnerables al cambio climático</w:t>
      </w:r>
      <w:r>
        <w:rPr>
          <w:rFonts w:ascii="Times New Roman" w:eastAsia="Times New Roman" w:hAnsi="Times New Roman" w:cs="Times New Roman"/>
          <w:noProof w:val="0"/>
          <w:sz w:val="24"/>
          <w:szCs w:val="24"/>
          <w:lang w:val="es-MX" w:eastAsia="es-MX"/>
        </w:rPr>
        <w:t>.</w:t>
      </w:r>
    </w:p>
    <w:p w:rsidR="00BE0251" w:rsidRDefault="00BE0251" w:rsidP="00BE0251">
      <w:pPr>
        <w:pStyle w:val="Prrafodelista"/>
        <w:rPr>
          <w:rFonts w:ascii="Times New Roman" w:hAnsi="Times New Roman" w:cs="Times New Roman"/>
          <w:color w:val="000000" w:themeColor="text1"/>
          <w:sz w:val="24"/>
          <w:szCs w:val="24"/>
        </w:rPr>
      </w:pPr>
    </w:p>
    <w:p w:rsidR="00BE0251" w:rsidRPr="000E7574" w:rsidRDefault="00BE0251" w:rsidP="00BE0251">
      <w:pPr>
        <w:spacing w:before="100" w:beforeAutospacing="1" w:after="100" w:afterAutospacing="1" w:line="240" w:lineRule="auto"/>
        <w:rPr>
          <w:rFonts w:ascii="Times New Roman" w:hAnsi="Times New Roman" w:cs="Times New Roman"/>
          <w:color w:val="000000" w:themeColor="text1"/>
          <w:sz w:val="24"/>
          <w:szCs w:val="24"/>
        </w:rPr>
      </w:pPr>
    </w:p>
    <w:p w:rsidR="003435B4" w:rsidRPr="009B32C9" w:rsidRDefault="003435B4" w:rsidP="003435B4">
      <w:pPr>
        <w:numPr>
          <w:ilvl w:val="0"/>
          <w:numId w:val="13"/>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Aplicación en certificaciones de producción sostenible.</w:t>
      </w:r>
    </w:p>
    <w:p w:rsidR="00BE0251" w:rsidRPr="000E7574" w:rsidRDefault="001B3B9E" w:rsidP="00BE0251">
      <w:pPr>
        <w:spacing w:before="100" w:beforeAutospacing="1" w:after="100" w:afterAutospacing="1" w:line="240" w:lineRule="auto"/>
        <w:rPr>
          <w:rFonts w:ascii="Times New Roman" w:hAnsi="Times New Roman" w:cs="Times New Roman"/>
          <w:color w:val="000000" w:themeColor="text1"/>
          <w:sz w:val="24"/>
          <w:szCs w:val="24"/>
        </w:rPr>
      </w:pPr>
      <w:r w:rsidRPr="001B3B9E">
        <w:rPr>
          <w:rFonts w:ascii="Times New Roman" w:hAnsi="Times New Roman" w:cs="Times New Roman"/>
          <w:color w:val="000000" w:themeColor="text1"/>
          <w:sz w:val="24"/>
          <w:szCs w:val="24"/>
        </w:rPr>
        <w:t>El DEA se está aplicando para respaldar certificaciones de producción sostenible, como Veriflora® o Rainforest Alliance, al proporcionar una metodología objetiva para evaluar la eficiencia de las prácticas agrícolas en términos de sostenibilidad. Esta herramienta permite medir cómo las fincas cafetaleras cumplen con criterios de certificación, como el uso eficiente de recursos, la reducción de insumos químicos y la conservación de la biodiversidad, comparándolas con estándares de mejores prácticas. Por ejemplo, el DEA puede identificar fincas que optimizan el uso de agua y energía mientras mantienen altos rendimientos, ayudando a validar su elegibilidad para certificaciones ecológicas. Además, al combinarse con tecnologías como el big data, el DEA facilita el monitoreo continuo de indicadores de sostenibilidad, asegurando la transparencia y autenticidad de los productos certificados, lo que responde a la creciente demanda de consumidores por alimentos producidos de manera responsable</w:t>
      </w:r>
      <w:r>
        <w:rPr>
          <w:rFonts w:ascii="Times New Roman" w:hAnsi="Times New Roman" w:cs="Times New Roman"/>
          <w:color w:val="000000" w:themeColor="text1"/>
          <w:sz w:val="24"/>
          <w:szCs w:val="24"/>
        </w:rPr>
        <w:t>.</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9B32C9" w:rsidRDefault="003435B4" w:rsidP="003435B4">
      <w:pPr>
        <w:numPr>
          <w:ilvl w:val="0"/>
          <w:numId w:val="14"/>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Requiere datos homogéneos y comparables.</w:t>
      </w:r>
    </w:p>
    <w:p w:rsidR="001B3B9E" w:rsidRPr="001B3B9E" w:rsidRDefault="001B3B9E" w:rsidP="009B32C9">
      <w:pPr>
        <w:pStyle w:val="NormalWeb"/>
        <w:ind w:left="360"/>
      </w:pPr>
      <w:r>
        <w:t>El DEA depende de la calidad y consistencia de los datos utilizados para comparar las unidades de decisión, como fincas cafetaleras. Esto implica que los datos de insumos (por ejemplo, cantidad de fertilizantes, horas de trabajo, agua utilizada) y productos (como kilogramos de café cosechado o ingresos) deben ser homogéneos en términos de unidades de medida, período de recolección y contexto operativo. En la práctica, las fincas pueden variar en factores como el tipo de cultivo, las condiciones climáticas o las prácticas de gestión, lo que dificulta la comparabilidad. Si los datos no son uniformes o están incompletos, los resultados del DEA pueden ser sesgados o poco fiables, limitando su capacidad para reflejar con precisión la eficiencia relativa de las unidades analizadas. Por ejemplo, comparar fincas con diferentes sistemas de riego o variedades de café sin ajustes previos puede distorsionar las conclusiones.</w:t>
      </w:r>
    </w:p>
    <w:p w:rsidR="003435B4" w:rsidRPr="009B32C9" w:rsidRDefault="003435B4" w:rsidP="003435B4">
      <w:pPr>
        <w:numPr>
          <w:ilvl w:val="0"/>
          <w:numId w:val="14"/>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No identifica causas de ineficiencia, solo señala su existencia.</w:t>
      </w:r>
    </w:p>
    <w:p w:rsidR="001B3B9E" w:rsidRDefault="001B3B9E" w:rsidP="001B3B9E">
      <w:pPr>
        <w:spacing w:before="100" w:beforeAutospacing="1" w:after="100" w:afterAutospacing="1" w:line="240" w:lineRule="auto"/>
        <w:rPr>
          <w:rFonts w:ascii="Times New Roman" w:hAnsi="Times New Roman" w:cs="Times New Roman"/>
          <w:color w:val="000000" w:themeColor="text1"/>
          <w:sz w:val="24"/>
          <w:szCs w:val="24"/>
        </w:rPr>
      </w:pPr>
      <w:r w:rsidRPr="001B3B9E">
        <w:rPr>
          <w:rFonts w:ascii="Times New Roman" w:hAnsi="Times New Roman" w:cs="Times New Roman"/>
          <w:color w:val="000000" w:themeColor="text1"/>
          <w:sz w:val="24"/>
          <w:szCs w:val="24"/>
        </w:rPr>
        <w:t>Aunque el DEA es efectivo para identificar cuáles fincas cafetaleras son ineficientes y cuánto deben mejorar para alcanzar la frontera de eficiencia, no proporciona información sobre las razones subyacentes de esa ineficiencia. Por ejemplo, una finca puede ser clasificada como ineficiente debido a un uso excesivo de fertilizantes o una baja productividad, pero el DEA no indica si esto se debe a prácticas de gestión deficientes, limitaciones tecnológicas, problemas climáticos o factores socioeconómicos. Esta limitación requiere que los usuarios complementen el análisis con otras herramientas o estudios cualitativos para diagnosticar las causas específicas de la ineficiencia y diseñar estrategias de mejora adaptadas a cada caso, lo que puede implicar un esfuerzo adicional en la interpretación de los resultados.</w:t>
      </w:r>
    </w:p>
    <w:p w:rsidR="001B3B9E" w:rsidRPr="000E7574" w:rsidRDefault="001B3B9E" w:rsidP="001B3B9E">
      <w:pPr>
        <w:spacing w:before="100" w:beforeAutospacing="1" w:after="100" w:afterAutospacing="1" w:line="240" w:lineRule="auto"/>
        <w:rPr>
          <w:rFonts w:ascii="Times New Roman" w:hAnsi="Times New Roman" w:cs="Times New Roman"/>
          <w:color w:val="000000" w:themeColor="text1"/>
          <w:sz w:val="24"/>
          <w:szCs w:val="24"/>
        </w:rPr>
      </w:pPr>
    </w:p>
    <w:p w:rsidR="003435B4" w:rsidRPr="009B32C9" w:rsidRDefault="003435B4" w:rsidP="003435B4">
      <w:pPr>
        <w:numPr>
          <w:ilvl w:val="0"/>
          <w:numId w:val="14"/>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lastRenderedPageBreak/>
        <w:t>Sensible a valores atípicos en los datos.</w:t>
      </w:r>
    </w:p>
    <w:p w:rsidR="001B3B9E" w:rsidRDefault="001B3B9E" w:rsidP="001B3B9E">
      <w:pPr>
        <w:spacing w:before="100" w:beforeAutospacing="1" w:after="100" w:afterAutospacing="1" w:line="240" w:lineRule="auto"/>
        <w:rPr>
          <w:rFonts w:ascii="Times New Roman" w:hAnsi="Times New Roman" w:cs="Times New Roman"/>
          <w:color w:val="000000" w:themeColor="text1"/>
          <w:sz w:val="24"/>
          <w:szCs w:val="24"/>
        </w:rPr>
      </w:pPr>
      <w:r w:rsidRPr="001B3B9E">
        <w:rPr>
          <w:rFonts w:ascii="Times New Roman" w:hAnsi="Times New Roman" w:cs="Times New Roman"/>
          <w:color w:val="000000" w:themeColor="text1"/>
          <w:sz w:val="24"/>
          <w:szCs w:val="24"/>
        </w:rPr>
        <w:t>El DEA es altamente sensible a valores atípicos (outliers) en los datos, ya que estos pueden distorsionar la construcción de la frontera de eficiencia. En el contexto de fincas cafetaleras, un valor atípico podría ser una finca con rendimientos excepcionalmente altos debido a condiciones excepcionales (como un microclima único) o un error en la recolección de datos (por ejemplo, un registro incorrecto del uso de insumos). Estos valores extremos pueden hacer que la frontera de eficiencia sea poco representativa, afectando la evaluación de otras fincas y clasificando erróneamente algunas como ineficientes. Para mitigar esta limitación, es crucial realizar una limpieza rigurosa de los datos y, en algunos casos, aplicar técnicas estadísticas o ajustes en el modelo DEA para reducir el impacto de los outliers, asegurando resultados más robustos y confiables.</w:t>
      </w:r>
    </w:p>
    <w:p w:rsidR="001B3B9E" w:rsidRPr="000E7574" w:rsidRDefault="001B3B9E" w:rsidP="001B3B9E">
      <w:pPr>
        <w:spacing w:before="100" w:beforeAutospacing="1" w:after="100" w:afterAutospacing="1" w:line="240" w:lineRule="auto"/>
        <w:rPr>
          <w:rFonts w:ascii="Times New Roman" w:hAnsi="Times New Roman" w:cs="Times New Roman"/>
          <w:color w:val="000000" w:themeColor="text1"/>
          <w:sz w:val="24"/>
          <w:szCs w:val="24"/>
        </w:rPr>
      </w:pP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353ED8" w:rsidRDefault="003435B4" w:rsidP="003435B4">
      <w:pPr>
        <w:pStyle w:val="Ttulo4"/>
        <w:rPr>
          <w:rFonts w:ascii="Times New Roman" w:hAnsi="Times New Roman" w:cs="Times New Roman"/>
          <w:color w:val="000000" w:themeColor="text1"/>
          <w:sz w:val="24"/>
          <w:szCs w:val="24"/>
        </w:rPr>
      </w:pPr>
      <w:r w:rsidRPr="00353ED8">
        <w:rPr>
          <w:rStyle w:val="Textoennegrita"/>
          <w:rFonts w:ascii="Times New Roman" w:hAnsi="Times New Roman" w:cs="Times New Roman"/>
          <w:bCs w:val="0"/>
          <w:color w:val="000000" w:themeColor="text1"/>
          <w:sz w:val="24"/>
          <w:szCs w:val="24"/>
        </w:rPr>
        <w:t>Mundo</w:t>
      </w:r>
    </w:p>
    <w:p w:rsidR="003435B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4D7E3C" w:rsidRDefault="004D7E3C" w:rsidP="004D7E3C">
      <w:pPr>
        <w:pStyle w:val="NormalWeb"/>
        <w:ind w:left="360"/>
      </w:pPr>
      <w:r>
        <w:t>E</w:t>
      </w:r>
      <w:r>
        <w:t>l DEA ha sido ampliamente utilizado en Europa y Asia para evaluar la eficiencia técnica y económica de sistemas agrícolas, proporcionando una herramienta clave para identificar prácticas óptimas y áreas de mejora en contextos diversos. En Europa, estudios como los de Bravo-</w:t>
      </w:r>
      <w:proofErr w:type="spellStart"/>
      <w:r>
        <w:t>Ureta</w:t>
      </w:r>
      <w:proofErr w:type="spellEnd"/>
      <w:r>
        <w:t xml:space="preserve"> et al. (2007) han empleado DEA para analizar la eficiencia técnica (TE) en cultivos como trigo, maíz y arroz, reportando eficiencias promedio de entre 70% y 75% en sistemas de riego, con variaciones según el nivel de tecnificación y las condiciones regionales. Por ejemplo, en países como España e Italia, el DEA se ha usado para evaluar huertos de cítricos deficitariamente irrigados, destacando cómo la adopción de riego por goteo</w:t>
      </w:r>
      <w:r w:rsidR="007C0D36">
        <w:t xml:space="preserve"> mejora la eficiencia hídrica (</w:t>
      </w:r>
      <w:r w:rsidR="007C0D36" w:rsidRPr="00BF5A75">
        <w:rPr>
          <w:bCs/>
        </w:rPr>
        <w:t>Angulo</w:t>
      </w:r>
      <w:r>
        <w:t xml:space="preserve"> et al., 20</w:t>
      </w:r>
      <w:r w:rsidR="007C0D36">
        <w:t>19</w:t>
      </w:r>
      <w:r>
        <w:t xml:space="preserve">). </w:t>
      </w:r>
    </w:p>
    <w:p w:rsidR="007C0D36" w:rsidRDefault="007C0D36" w:rsidP="007C0D36">
      <w:pPr>
        <w:spacing w:after="0" w:line="360" w:lineRule="auto"/>
        <w:ind w:left="709" w:hanging="709"/>
        <w:jc w:val="both"/>
        <w:rPr>
          <w:rFonts w:ascii="Times New Roman" w:eastAsia="Times New Roman" w:hAnsi="Times New Roman" w:cs="Times New Roman"/>
          <w:bCs/>
          <w:noProof w:val="0"/>
          <w:sz w:val="24"/>
          <w:szCs w:val="24"/>
          <w:lang w:val="es-MX" w:eastAsia="es-MX"/>
        </w:rPr>
      </w:pPr>
      <w:r w:rsidRPr="007C0D36">
        <w:rPr>
          <w:rFonts w:ascii="Times New Roman" w:eastAsia="Times New Roman" w:hAnsi="Times New Roman" w:cs="Times New Roman"/>
          <w:bCs/>
          <w:noProof w:val="0"/>
          <w:sz w:val="24"/>
          <w:szCs w:val="24"/>
          <w:lang w:val="es-MX" w:eastAsia="es-MX"/>
        </w:rPr>
        <w:t>Bravo-</w:t>
      </w:r>
      <w:proofErr w:type="spellStart"/>
      <w:r w:rsidRPr="007C0D36">
        <w:rPr>
          <w:rFonts w:ascii="Times New Roman" w:eastAsia="Times New Roman" w:hAnsi="Times New Roman" w:cs="Times New Roman"/>
          <w:bCs/>
          <w:noProof w:val="0"/>
          <w:sz w:val="24"/>
          <w:szCs w:val="24"/>
          <w:lang w:val="es-MX" w:eastAsia="es-MX"/>
        </w:rPr>
        <w:t>Ureta</w:t>
      </w:r>
      <w:proofErr w:type="spellEnd"/>
      <w:r w:rsidRPr="007C0D36">
        <w:rPr>
          <w:rFonts w:ascii="Times New Roman" w:eastAsia="Times New Roman" w:hAnsi="Times New Roman" w:cs="Times New Roman"/>
          <w:bCs/>
          <w:noProof w:val="0"/>
          <w:sz w:val="24"/>
          <w:szCs w:val="24"/>
          <w:lang w:val="es-MX" w:eastAsia="es-MX"/>
        </w:rPr>
        <w:t xml:space="preserve">, B. E., Solís, D., Moreira López, V. H., </w:t>
      </w:r>
      <w:proofErr w:type="spellStart"/>
      <w:r w:rsidRPr="007C0D36">
        <w:rPr>
          <w:rFonts w:ascii="Times New Roman" w:eastAsia="Times New Roman" w:hAnsi="Times New Roman" w:cs="Times New Roman"/>
          <w:bCs/>
          <w:noProof w:val="0"/>
          <w:sz w:val="24"/>
          <w:szCs w:val="24"/>
          <w:lang w:val="es-MX" w:eastAsia="es-MX"/>
        </w:rPr>
        <w:t>Maripani</w:t>
      </w:r>
      <w:proofErr w:type="spellEnd"/>
      <w:r w:rsidRPr="007C0D36">
        <w:rPr>
          <w:rFonts w:ascii="Times New Roman" w:eastAsia="Times New Roman" w:hAnsi="Times New Roman" w:cs="Times New Roman"/>
          <w:bCs/>
          <w:noProof w:val="0"/>
          <w:sz w:val="24"/>
          <w:szCs w:val="24"/>
          <w:lang w:val="es-MX" w:eastAsia="es-MX"/>
        </w:rPr>
        <w:t xml:space="preserve">, J. F., </w:t>
      </w:r>
      <w:proofErr w:type="spellStart"/>
      <w:r w:rsidRPr="007C0D36">
        <w:rPr>
          <w:rFonts w:ascii="Times New Roman" w:eastAsia="Times New Roman" w:hAnsi="Times New Roman" w:cs="Times New Roman"/>
          <w:bCs/>
          <w:noProof w:val="0"/>
          <w:sz w:val="24"/>
          <w:szCs w:val="24"/>
          <w:lang w:val="es-MX" w:eastAsia="es-MX"/>
        </w:rPr>
        <w:t>Thiam</w:t>
      </w:r>
      <w:proofErr w:type="spellEnd"/>
      <w:r w:rsidRPr="007C0D36">
        <w:rPr>
          <w:rFonts w:ascii="Times New Roman" w:eastAsia="Times New Roman" w:hAnsi="Times New Roman" w:cs="Times New Roman"/>
          <w:bCs/>
          <w:noProof w:val="0"/>
          <w:sz w:val="24"/>
          <w:szCs w:val="24"/>
          <w:lang w:val="es-MX" w:eastAsia="es-MX"/>
        </w:rPr>
        <w:t xml:space="preserve">, A. &amp; Rivas, T. (2007). </w:t>
      </w:r>
      <w:proofErr w:type="spellStart"/>
      <w:r w:rsidRPr="007C0D36">
        <w:rPr>
          <w:rFonts w:ascii="Times New Roman" w:eastAsia="Times New Roman" w:hAnsi="Times New Roman" w:cs="Times New Roman"/>
          <w:bCs/>
          <w:noProof w:val="0"/>
          <w:sz w:val="24"/>
          <w:szCs w:val="24"/>
          <w:lang w:val="es-MX" w:eastAsia="es-MX"/>
        </w:rPr>
        <w:t>Technical</w:t>
      </w:r>
      <w:proofErr w:type="spellEnd"/>
      <w:r w:rsidRPr="007C0D36">
        <w:rPr>
          <w:rFonts w:ascii="Times New Roman" w:eastAsia="Times New Roman" w:hAnsi="Times New Roman" w:cs="Times New Roman"/>
          <w:bCs/>
          <w:noProof w:val="0"/>
          <w:sz w:val="24"/>
          <w:szCs w:val="24"/>
          <w:lang w:val="es-MX" w:eastAsia="es-MX"/>
        </w:rPr>
        <w:t xml:space="preserve"> </w:t>
      </w:r>
      <w:proofErr w:type="spellStart"/>
      <w:r w:rsidRPr="007C0D36">
        <w:rPr>
          <w:rFonts w:ascii="Times New Roman" w:eastAsia="Times New Roman" w:hAnsi="Times New Roman" w:cs="Times New Roman"/>
          <w:bCs/>
          <w:noProof w:val="0"/>
          <w:sz w:val="24"/>
          <w:szCs w:val="24"/>
          <w:lang w:val="es-MX" w:eastAsia="es-MX"/>
        </w:rPr>
        <w:t>efficiency</w:t>
      </w:r>
      <w:proofErr w:type="spellEnd"/>
      <w:r w:rsidRPr="007C0D36">
        <w:rPr>
          <w:rFonts w:ascii="Times New Roman" w:eastAsia="Times New Roman" w:hAnsi="Times New Roman" w:cs="Times New Roman"/>
          <w:bCs/>
          <w:noProof w:val="0"/>
          <w:sz w:val="24"/>
          <w:szCs w:val="24"/>
          <w:lang w:val="es-MX" w:eastAsia="es-MX"/>
        </w:rPr>
        <w:t xml:space="preserve"> in </w:t>
      </w:r>
      <w:proofErr w:type="spellStart"/>
      <w:r w:rsidRPr="007C0D36">
        <w:rPr>
          <w:rFonts w:ascii="Times New Roman" w:eastAsia="Times New Roman" w:hAnsi="Times New Roman" w:cs="Times New Roman"/>
          <w:bCs/>
          <w:noProof w:val="0"/>
          <w:sz w:val="24"/>
          <w:szCs w:val="24"/>
          <w:lang w:val="es-MX" w:eastAsia="es-MX"/>
        </w:rPr>
        <w:t>farming</w:t>
      </w:r>
      <w:proofErr w:type="spellEnd"/>
      <w:r w:rsidRPr="007C0D36">
        <w:rPr>
          <w:rFonts w:ascii="Times New Roman" w:eastAsia="Times New Roman" w:hAnsi="Times New Roman" w:cs="Times New Roman"/>
          <w:bCs/>
          <w:noProof w:val="0"/>
          <w:sz w:val="24"/>
          <w:szCs w:val="24"/>
          <w:lang w:val="es-MX" w:eastAsia="es-MX"/>
        </w:rPr>
        <w:t>: a meta-</w:t>
      </w:r>
      <w:proofErr w:type="spellStart"/>
      <w:r w:rsidRPr="007C0D36">
        <w:rPr>
          <w:rFonts w:ascii="Times New Roman" w:eastAsia="Times New Roman" w:hAnsi="Times New Roman" w:cs="Times New Roman"/>
          <w:bCs/>
          <w:noProof w:val="0"/>
          <w:sz w:val="24"/>
          <w:szCs w:val="24"/>
          <w:lang w:val="es-MX" w:eastAsia="es-MX"/>
        </w:rPr>
        <w:t>regression</w:t>
      </w:r>
      <w:proofErr w:type="spellEnd"/>
      <w:r w:rsidRPr="007C0D36">
        <w:rPr>
          <w:rFonts w:ascii="Times New Roman" w:eastAsia="Times New Roman" w:hAnsi="Times New Roman" w:cs="Times New Roman"/>
          <w:bCs/>
          <w:noProof w:val="0"/>
          <w:sz w:val="24"/>
          <w:szCs w:val="24"/>
          <w:lang w:val="es-MX" w:eastAsia="es-MX"/>
        </w:rPr>
        <w:t xml:space="preserve"> </w:t>
      </w:r>
      <w:proofErr w:type="spellStart"/>
      <w:r w:rsidRPr="007C0D36">
        <w:rPr>
          <w:rFonts w:ascii="Times New Roman" w:eastAsia="Times New Roman" w:hAnsi="Times New Roman" w:cs="Times New Roman"/>
          <w:bCs/>
          <w:noProof w:val="0"/>
          <w:sz w:val="24"/>
          <w:szCs w:val="24"/>
          <w:lang w:val="es-MX" w:eastAsia="es-MX"/>
        </w:rPr>
        <w:t>analysis</w:t>
      </w:r>
      <w:proofErr w:type="spellEnd"/>
      <w:r w:rsidRPr="007C0D36">
        <w:rPr>
          <w:rFonts w:ascii="Times New Roman" w:eastAsia="Times New Roman" w:hAnsi="Times New Roman" w:cs="Times New Roman"/>
          <w:bCs/>
          <w:noProof w:val="0"/>
          <w:sz w:val="24"/>
          <w:szCs w:val="24"/>
          <w:lang w:val="es-MX" w:eastAsia="es-MX"/>
        </w:rPr>
        <w:t xml:space="preserve">. </w:t>
      </w:r>
      <w:proofErr w:type="spellStart"/>
      <w:r w:rsidRPr="007C0D36">
        <w:rPr>
          <w:rFonts w:ascii="Times New Roman" w:eastAsia="Times New Roman" w:hAnsi="Times New Roman" w:cs="Times New Roman"/>
          <w:bCs/>
          <w:noProof w:val="0"/>
          <w:sz w:val="24"/>
          <w:szCs w:val="24"/>
          <w:lang w:val="es-MX" w:eastAsia="es-MX"/>
        </w:rPr>
        <w:t>Journal</w:t>
      </w:r>
      <w:proofErr w:type="spellEnd"/>
      <w:r w:rsidRPr="007C0D36">
        <w:rPr>
          <w:rFonts w:ascii="Times New Roman" w:eastAsia="Times New Roman" w:hAnsi="Times New Roman" w:cs="Times New Roman"/>
          <w:bCs/>
          <w:noProof w:val="0"/>
          <w:sz w:val="24"/>
          <w:szCs w:val="24"/>
          <w:lang w:val="es-MX" w:eastAsia="es-MX"/>
        </w:rPr>
        <w:t xml:space="preserve"> of </w:t>
      </w:r>
      <w:proofErr w:type="spellStart"/>
      <w:r w:rsidRPr="007C0D36">
        <w:rPr>
          <w:rFonts w:ascii="Times New Roman" w:eastAsia="Times New Roman" w:hAnsi="Times New Roman" w:cs="Times New Roman"/>
          <w:bCs/>
          <w:noProof w:val="0"/>
          <w:sz w:val="24"/>
          <w:szCs w:val="24"/>
          <w:lang w:val="es-MX" w:eastAsia="es-MX"/>
        </w:rPr>
        <w:t>Productivity</w:t>
      </w:r>
      <w:proofErr w:type="spellEnd"/>
      <w:r w:rsidRPr="007C0D36">
        <w:rPr>
          <w:rFonts w:ascii="Times New Roman" w:eastAsia="Times New Roman" w:hAnsi="Times New Roman" w:cs="Times New Roman"/>
          <w:bCs/>
          <w:noProof w:val="0"/>
          <w:sz w:val="24"/>
          <w:szCs w:val="24"/>
          <w:lang w:val="es-MX" w:eastAsia="es-MX"/>
        </w:rPr>
        <w:t xml:space="preserve"> </w:t>
      </w:r>
      <w:proofErr w:type="spellStart"/>
      <w:r w:rsidRPr="007C0D36">
        <w:rPr>
          <w:rFonts w:ascii="Times New Roman" w:eastAsia="Times New Roman" w:hAnsi="Times New Roman" w:cs="Times New Roman"/>
          <w:bCs/>
          <w:noProof w:val="0"/>
          <w:sz w:val="24"/>
          <w:szCs w:val="24"/>
          <w:lang w:val="es-MX" w:eastAsia="es-MX"/>
        </w:rPr>
        <w:t>Analysis</w:t>
      </w:r>
      <w:proofErr w:type="spellEnd"/>
      <w:r w:rsidRPr="007C0D36">
        <w:rPr>
          <w:rFonts w:ascii="Times New Roman" w:eastAsia="Times New Roman" w:hAnsi="Times New Roman" w:cs="Times New Roman"/>
          <w:bCs/>
          <w:noProof w:val="0"/>
          <w:sz w:val="24"/>
          <w:szCs w:val="24"/>
          <w:lang w:val="es-MX" w:eastAsia="es-MX"/>
        </w:rPr>
        <w:t xml:space="preserve">, 27(1), 57-72. DOI: </w:t>
      </w:r>
      <w:hyperlink r:id="rId51" w:history="1">
        <w:r w:rsidRPr="00D07E15">
          <w:rPr>
            <w:rStyle w:val="Hipervnculo"/>
            <w:rFonts w:ascii="Times New Roman" w:eastAsia="Times New Roman" w:hAnsi="Times New Roman" w:cs="Times New Roman"/>
            <w:bCs/>
            <w:noProof w:val="0"/>
            <w:sz w:val="24"/>
            <w:szCs w:val="24"/>
            <w:lang w:val="es-MX" w:eastAsia="es-MX"/>
          </w:rPr>
          <w:t>https://doi.org/10.1007/s11123-006-0025-3</w:t>
        </w:r>
      </w:hyperlink>
      <w:r>
        <w:rPr>
          <w:rFonts w:ascii="Times New Roman" w:eastAsia="Times New Roman" w:hAnsi="Times New Roman" w:cs="Times New Roman"/>
          <w:bCs/>
          <w:noProof w:val="0"/>
          <w:sz w:val="24"/>
          <w:szCs w:val="24"/>
          <w:lang w:val="es-MX" w:eastAsia="es-MX"/>
        </w:rPr>
        <w:t xml:space="preserve"> </w:t>
      </w:r>
      <w:r w:rsidRPr="007C0D36">
        <w:rPr>
          <w:rFonts w:ascii="Times New Roman" w:eastAsia="Times New Roman" w:hAnsi="Times New Roman" w:cs="Times New Roman"/>
          <w:bCs/>
          <w:noProof w:val="0"/>
          <w:sz w:val="24"/>
          <w:szCs w:val="24"/>
          <w:lang w:val="es-MX" w:eastAsia="es-MX"/>
        </w:rPr>
        <w:t xml:space="preserve"> </w:t>
      </w:r>
    </w:p>
    <w:p w:rsidR="007C0D36" w:rsidRPr="00BF5A75" w:rsidRDefault="007C0D36" w:rsidP="007C0D36">
      <w:pPr>
        <w:spacing w:after="0" w:line="360" w:lineRule="auto"/>
        <w:ind w:left="709" w:hanging="709"/>
        <w:jc w:val="both"/>
        <w:rPr>
          <w:rFonts w:ascii="Times New Roman" w:eastAsia="Times New Roman" w:hAnsi="Times New Roman" w:cs="Times New Roman"/>
          <w:bCs/>
          <w:noProof w:val="0"/>
          <w:sz w:val="24"/>
          <w:szCs w:val="24"/>
          <w:lang w:val="es-MX" w:eastAsia="es-MX"/>
        </w:rPr>
      </w:pPr>
      <w:r w:rsidRPr="00BF5A75">
        <w:rPr>
          <w:rFonts w:ascii="Times New Roman" w:eastAsia="Times New Roman" w:hAnsi="Times New Roman" w:cs="Times New Roman"/>
          <w:bCs/>
          <w:noProof w:val="0"/>
          <w:sz w:val="24"/>
          <w:szCs w:val="24"/>
          <w:lang w:val="es-MX" w:eastAsia="es-MX"/>
        </w:rPr>
        <w:t xml:space="preserve">Angulo-Meza, L., González-Araya, M., Iriarte, A., Rebolledo-Leiva, R. &amp; </w:t>
      </w:r>
      <w:proofErr w:type="spellStart"/>
      <w:r w:rsidRPr="00BF5A75">
        <w:rPr>
          <w:rFonts w:ascii="Times New Roman" w:eastAsia="Times New Roman" w:hAnsi="Times New Roman" w:cs="Times New Roman"/>
          <w:bCs/>
          <w:noProof w:val="0"/>
          <w:sz w:val="24"/>
          <w:szCs w:val="24"/>
          <w:lang w:val="es-MX" w:eastAsia="es-MX"/>
        </w:rPr>
        <w:t>Soares</w:t>
      </w:r>
      <w:proofErr w:type="spellEnd"/>
      <w:r w:rsidRPr="00BF5A75">
        <w:rPr>
          <w:rFonts w:ascii="Times New Roman" w:eastAsia="Times New Roman" w:hAnsi="Times New Roman" w:cs="Times New Roman"/>
          <w:bCs/>
          <w:noProof w:val="0"/>
          <w:sz w:val="24"/>
          <w:szCs w:val="24"/>
          <w:lang w:val="es-MX" w:eastAsia="es-MX"/>
        </w:rPr>
        <w:t xml:space="preserve"> de Mello, J.C. (2019). A </w:t>
      </w:r>
      <w:proofErr w:type="spellStart"/>
      <w:r w:rsidRPr="00BF5A75">
        <w:rPr>
          <w:rFonts w:ascii="Times New Roman" w:eastAsia="Times New Roman" w:hAnsi="Times New Roman" w:cs="Times New Roman"/>
          <w:bCs/>
          <w:noProof w:val="0"/>
          <w:sz w:val="24"/>
          <w:szCs w:val="24"/>
          <w:lang w:val="es-MX" w:eastAsia="es-MX"/>
        </w:rPr>
        <w:t>multiobjective</w:t>
      </w:r>
      <w:proofErr w:type="spellEnd"/>
      <w:r w:rsidRPr="00BF5A75">
        <w:rPr>
          <w:rFonts w:ascii="Times New Roman" w:eastAsia="Times New Roman" w:hAnsi="Times New Roman" w:cs="Times New Roman"/>
          <w:bCs/>
          <w:noProof w:val="0"/>
          <w:sz w:val="24"/>
          <w:szCs w:val="24"/>
          <w:lang w:val="es-MX" w:eastAsia="es-MX"/>
        </w:rPr>
        <w:t xml:space="preserve"> DEA </w:t>
      </w:r>
      <w:proofErr w:type="spellStart"/>
      <w:r w:rsidRPr="00BF5A75">
        <w:rPr>
          <w:rFonts w:ascii="Times New Roman" w:eastAsia="Times New Roman" w:hAnsi="Times New Roman" w:cs="Times New Roman"/>
          <w:bCs/>
          <w:noProof w:val="0"/>
          <w:sz w:val="24"/>
          <w:szCs w:val="24"/>
          <w:lang w:val="es-MX" w:eastAsia="es-MX"/>
        </w:rPr>
        <w:t>model</w:t>
      </w:r>
      <w:proofErr w:type="spellEnd"/>
      <w:r w:rsidRPr="00BF5A75">
        <w:rPr>
          <w:rFonts w:ascii="Times New Roman" w:eastAsia="Times New Roman" w:hAnsi="Times New Roman" w:cs="Times New Roman"/>
          <w:bCs/>
          <w:noProof w:val="0"/>
          <w:sz w:val="24"/>
          <w:szCs w:val="24"/>
          <w:lang w:val="es-MX" w:eastAsia="es-MX"/>
        </w:rPr>
        <w:t xml:space="preserve"> to </w:t>
      </w:r>
      <w:proofErr w:type="spellStart"/>
      <w:r w:rsidRPr="00BF5A75">
        <w:rPr>
          <w:rFonts w:ascii="Times New Roman" w:eastAsia="Times New Roman" w:hAnsi="Times New Roman" w:cs="Times New Roman"/>
          <w:bCs/>
          <w:noProof w:val="0"/>
          <w:sz w:val="24"/>
          <w:szCs w:val="24"/>
          <w:lang w:val="es-MX" w:eastAsia="es-MX"/>
        </w:rPr>
        <w:t>assess</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noProof w:val="0"/>
          <w:sz w:val="24"/>
          <w:szCs w:val="24"/>
          <w:lang w:val="es-MX" w:eastAsia="es-MX"/>
        </w:rPr>
        <w:t>the</w:t>
      </w:r>
      <w:proofErr w:type="spellEnd"/>
      <w:r w:rsidRPr="00BF5A75">
        <w:rPr>
          <w:rFonts w:ascii="Times New Roman" w:eastAsia="Times New Roman" w:hAnsi="Times New Roman" w:cs="Times New Roman"/>
          <w:bCs/>
          <w:noProof w:val="0"/>
          <w:sz w:val="24"/>
          <w:szCs w:val="24"/>
          <w:lang w:val="es-MX" w:eastAsia="es-MX"/>
        </w:rPr>
        <w:t xml:space="preserve"> eco-</w:t>
      </w:r>
      <w:proofErr w:type="spellStart"/>
      <w:r w:rsidRPr="00BF5A75">
        <w:rPr>
          <w:rFonts w:ascii="Times New Roman" w:eastAsia="Times New Roman" w:hAnsi="Times New Roman" w:cs="Times New Roman"/>
          <w:bCs/>
          <w:noProof w:val="0"/>
          <w:sz w:val="24"/>
          <w:szCs w:val="24"/>
          <w:lang w:val="es-MX" w:eastAsia="es-MX"/>
        </w:rPr>
        <w:t>efficiency</w:t>
      </w:r>
      <w:proofErr w:type="spellEnd"/>
      <w:r w:rsidRPr="00BF5A75">
        <w:rPr>
          <w:rFonts w:ascii="Times New Roman" w:eastAsia="Times New Roman" w:hAnsi="Times New Roman" w:cs="Times New Roman"/>
          <w:bCs/>
          <w:noProof w:val="0"/>
          <w:sz w:val="24"/>
          <w:szCs w:val="24"/>
          <w:lang w:val="es-MX" w:eastAsia="es-MX"/>
        </w:rPr>
        <w:t xml:space="preserve"> of </w:t>
      </w:r>
      <w:proofErr w:type="spellStart"/>
      <w:r w:rsidRPr="00BF5A75">
        <w:rPr>
          <w:rFonts w:ascii="Times New Roman" w:eastAsia="Times New Roman" w:hAnsi="Times New Roman" w:cs="Times New Roman"/>
          <w:bCs/>
          <w:noProof w:val="0"/>
          <w:sz w:val="24"/>
          <w:szCs w:val="24"/>
          <w:lang w:val="es-MX" w:eastAsia="es-MX"/>
        </w:rPr>
        <w:t>agricultural</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noProof w:val="0"/>
          <w:sz w:val="24"/>
          <w:szCs w:val="24"/>
          <w:lang w:val="es-MX" w:eastAsia="es-MX"/>
        </w:rPr>
        <w:t>practices</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noProof w:val="0"/>
          <w:sz w:val="24"/>
          <w:szCs w:val="24"/>
          <w:lang w:val="es-MX" w:eastAsia="es-MX"/>
        </w:rPr>
        <w:t>within</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noProof w:val="0"/>
          <w:sz w:val="24"/>
          <w:szCs w:val="24"/>
          <w:lang w:val="es-MX" w:eastAsia="es-MX"/>
        </w:rPr>
        <w:t>the</w:t>
      </w:r>
      <w:proofErr w:type="spellEnd"/>
      <w:r w:rsidRPr="00BF5A75">
        <w:rPr>
          <w:rFonts w:ascii="Times New Roman" w:eastAsia="Times New Roman" w:hAnsi="Times New Roman" w:cs="Times New Roman"/>
          <w:bCs/>
          <w:noProof w:val="0"/>
          <w:sz w:val="24"/>
          <w:szCs w:val="24"/>
          <w:lang w:val="es-MX" w:eastAsia="es-MX"/>
        </w:rPr>
        <w:t xml:space="preserve"> CF + DEA </w:t>
      </w:r>
      <w:proofErr w:type="spellStart"/>
      <w:r w:rsidRPr="00BF5A75">
        <w:rPr>
          <w:rFonts w:ascii="Times New Roman" w:eastAsia="Times New Roman" w:hAnsi="Times New Roman" w:cs="Times New Roman"/>
          <w:bCs/>
          <w:noProof w:val="0"/>
          <w:sz w:val="24"/>
          <w:szCs w:val="24"/>
          <w:lang w:val="es-MX" w:eastAsia="es-MX"/>
        </w:rPr>
        <w:t>method</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i/>
          <w:noProof w:val="0"/>
          <w:sz w:val="24"/>
          <w:szCs w:val="24"/>
          <w:lang w:val="es-MX" w:eastAsia="es-MX"/>
        </w:rPr>
        <w:t>Comput</w:t>
      </w:r>
      <w:proofErr w:type="spellEnd"/>
      <w:r w:rsidRPr="00BF5A75">
        <w:rPr>
          <w:rFonts w:ascii="Times New Roman" w:eastAsia="Times New Roman" w:hAnsi="Times New Roman" w:cs="Times New Roman"/>
          <w:bCs/>
          <w:i/>
          <w:noProof w:val="0"/>
          <w:sz w:val="24"/>
          <w:szCs w:val="24"/>
          <w:lang w:val="es-MX" w:eastAsia="es-MX"/>
        </w:rPr>
        <w:t xml:space="preserve">. </w:t>
      </w:r>
      <w:proofErr w:type="spellStart"/>
      <w:r w:rsidRPr="00BF5A75">
        <w:rPr>
          <w:rFonts w:ascii="Times New Roman" w:eastAsia="Times New Roman" w:hAnsi="Times New Roman" w:cs="Times New Roman"/>
          <w:bCs/>
          <w:i/>
          <w:noProof w:val="0"/>
          <w:sz w:val="24"/>
          <w:szCs w:val="24"/>
          <w:lang w:val="es-MX" w:eastAsia="es-MX"/>
        </w:rPr>
        <w:t>Electron</w:t>
      </w:r>
      <w:proofErr w:type="spellEnd"/>
      <w:r w:rsidRPr="00BF5A75">
        <w:rPr>
          <w:rFonts w:ascii="Times New Roman" w:eastAsia="Times New Roman" w:hAnsi="Times New Roman" w:cs="Times New Roman"/>
          <w:bCs/>
          <w:i/>
          <w:noProof w:val="0"/>
          <w:sz w:val="24"/>
          <w:szCs w:val="24"/>
          <w:lang w:val="es-MX" w:eastAsia="es-MX"/>
        </w:rPr>
        <w:t xml:space="preserve">. </w:t>
      </w:r>
      <w:proofErr w:type="spellStart"/>
      <w:r w:rsidRPr="00BF5A75">
        <w:rPr>
          <w:rFonts w:ascii="Times New Roman" w:eastAsia="Times New Roman" w:hAnsi="Times New Roman" w:cs="Times New Roman"/>
          <w:bCs/>
          <w:i/>
          <w:noProof w:val="0"/>
          <w:sz w:val="24"/>
          <w:szCs w:val="24"/>
          <w:lang w:val="es-MX" w:eastAsia="es-MX"/>
        </w:rPr>
        <w:t>Agric</w:t>
      </w:r>
      <w:proofErr w:type="spellEnd"/>
      <w:r w:rsidRPr="00BF5A75">
        <w:rPr>
          <w:rFonts w:ascii="Times New Roman" w:eastAsia="Times New Roman" w:hAnsi="Times New Roman" w:cs="Times New Roman"/>
          <w:bCs/>
          <w:noProof w:val="0"/>
          <w:sz w:val="24"/>
          <w:szCs w:val="24"/>
          <w:lang w:val="es-MX" w:eastAsia="es-MX"/>
        </w:rPr>
        <w:t xml:space="preserve">. 161, 151–161. </w:t>
      </w:r>
      <w:hyperlink r:id="rId52" w:history="1">
        <w:r w:rsidRPr="00F9472B">
          <w:rPr>
            <w:rStyle w:val="Hipervnculo"/>
            <w:rFonts w:ascii="Times New Roman" w:hAnsi="Times New Roman" w:cs="Times New Roman"/>
            <w:bCs/>
            <w:noProof w:val="0"/>
            <w:sz w:val="24"/>
            <w:szCs w:val="24"/>
            <w:lang w:val="es-MX" w:eastAsia="es-MX"/>
          </w:rPr>
          <w:t>https://doi.org/10.1016/j.compag.2018.05.037</w:t>
        </w:r>
      </w:hyperlink>
      <w:r>
        <w:rPr>
          <w:rFonts w:ascii="Times New Roman" w:eastAsia="Times New Roman" w:hAnsi="Times New Roman" w:cs="Times New Roman"/>
          <w:bCs/>
          <w:noProof w:val="0"/>
          <w:sz w:val="24"/>
          <w:szCs w:val="24"/>
          <w:lang w:val="es-MX" w:eastAsia="es-MX"/>
        </w:rPr>
        <w:t xml:space="preserve"> </w:t>
      </w:r>
    </w:p>
    <w:p w:rsidR="004D7E3C" w:rsidRDefault="004D7E3C" w:rsidP="004D7E3C">
      <w:pPr>
        <w:pStyle w:val="NormalWeb"/>
        <w:ind w:left="360"/>
      </w:pPr>
      <w:r>
        <w:t xml:space="preserve">En Asia, investigaciones en países como India y China han aplicado DEA para optimizar el uso de insumos en arrozales, revelando que factores como la experiencia del agricultor y el acceso a tecnologías de precisión pueden aumentar la TE hasta en un 20% (Yang et al., 2020). Además, el trabajo de Vásquez Ibarra et al. (2020) en su artículo sobre la combinación de </w:t>
      </w:r>
      <w:r>
        <w:lastRenderedPageBreak/>
        <w:t>metodologías LCA</w:t>
      </w:r>
      <w:r>
        <w:t xml:space="preserve"> y DEA destaca la utilidad de estas metodologías para evaluar la eficiencia en regiones agrícolas heterogéneas, integrando variables espaciales y socioeconómicas para identificar fincas de alto rendimiento en Europa y Asia</w:t>
      </w:r>
      <w:r>
        <w:t xml:space="preserve">, del total de artículos analizados el mayor porcentaje fue para España reconociendo que es el país que más utiliza estos enfoques con un total de 32 artículos, seguidos por Irán con 8 artículos y otros 16 países que han utilizado las diferentes metodologías en un rango de hasta 6 artículos por país. </w:t>
      </w:r>
      <w:r>
        <w:t>Estos estudios subrayan la capacidad del DEA para guiar políticas agrícolas que promuevan la productividad y la sostenibilidad en contextos regionales diversos</w:t>
      </w:r>
    </w:p>
    <w:p w:rsidR="004D7E3C" w:rsidRPr="000E7574" w:rsidRDefault="004D7E3C" w:rsidP="004D7E3C">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4D7E3C" w:rsidRDefault="004604AB" w:rsidP="004D7E3C">
      <w:pPr>
        <w:spacing w:before="100" w:beforeAutospacing="1" w:after="100" w:afterAutospacing="1" w:line="240" w:lineRule="auto"/>
        <w:rPr>
          <w:rFonts w:ascii="Times New Roman" w:hAnsi="Times New Roman" w:cs="Times New Roman"/>
          <w:color w:val="000000" w:themeColor="text1"/>
          <w:sz w:val="24"/>
          <w:szCs w:val="24"/>
        </w:rPr>
      </w:pPr>
      <w:r w:rsidRPr="004604AB">
        <w:rPr>
          <w:rFonts w:ascii="Times New Roman" w:hAnsi="Times New Roman" w:cs="Times New Roman"/>
          <w:color w:val="000000" w:themeColor="text1"/>
          <w:sz w:val="24"/>
          <w:szCs w:val="24"/>
        </w:rPr>
        <w:t>El DEA se ha consolidado como una herramienta clave para optimizar el riego en cultivos tropicales, donde la disponibilidad de agua y las condiciones climáticas son críticas. Estudios en regiones tropicales, como los realizados en México por Vásquez Ibarra et al. (2020), han combinado DEA con L</w:t>
      </w:r>
      <w:r w:rsidR="00A34C23">
        <w:rPr>
          <w:rFonts w:ascii="Times New Roman" w:hAnsi="Times New Roman" w:cs="Times New Roman"/>
          <w:color w:val="000000" w:themeColor="text1"/>
          <w:sz w:val="24"/>
          <w:szCs w:val="24"/>
        </w:rPr>
        <w:t>C</w:t>
      </w:r>
      <w:r w:rsidRPr="004604AB">
        <w:rPr>
          <w:rFonts w:ascii="Times New Roman" w:hAnsi="Times New Roman" w:cs="Times New Roman"/>
          <w:color w:val="000000" w:themeColor="text1"/>
          <w:sz w:val="24"/>
          <w:szCs w:val="24"/>
        </w:rPr>
        <w:t>A para evaluar la eficiencia hídrica en cultivos como maíz, plátano y sorgo en regiones como el Valle Bajo de Grijalva. Este trabajo reportó eficiencias técnicas promedio de 66% a 77%, destacando que las fincas con sistemas de riego tecnificados (como goteo) logran una mayor productividad hídrica frente a métodos gravitacionales. En Venezuela, investigaciones han utilizado DEA para analizar el café, un cultivo tropical clave, identificando que la renovación de cafetales y la mejora en la infraestructura de riego pueden incrementar la eficiencia hasta en un 24% (</w:t>
      </w:r>
      <w:r w:rsidR="00A34C23" w:rsidRPr="004604AB">
        <w:rPr>
          <w:rFonts w:ascii="Times New Roman" w:hAnsi="Times New Roman" w:cs="Times New Roman"/>
          <w:color w:val="000000" w:themeColor="text1"/>
          <w:sz w:val="24"/>
          <w:szCs w:val="24"/>
        </w:rPr>
        <w:t>Colin </w:t>
      </w:r>
      <w:r w:rsidR="00A34C23" w:rsidRPr="004604AB">
        <w:rPr>
          <w:rFonts w:ascii="Times New Roman" w:hAnsi="Times New Roman" w:cs="Times New Roman"/>
          <w:i/>
          <w:color w:val="000000" w:themeColor="text1"/>
          <w:sz w:val="24"/>
          <w:szCs w:val="24"/>
        </w:rPr>
        <w:t>et al</w:t>
      </w:r>
      <w:r w:rsidR="00A34C23" w:rsidRPr="004604AB">
        <w:rPr>
          <w:rFonts w:ascii="Times New Roman" w:hAnsi="Times New Roman" w:cs="Times New Roman"/>
          <w:color w:val="000000" w:themeColor="text1"/>
          <w:sz w:val="24"/>
          <w:szCs w:val="24"/>
        </w:rPr>
        <w:t>. 2024</w:t>
      </w:r>
      <w:r w:rsidRPr="004604AB">
        <w:rPr>
          <w:rFonts w:ascii="Times New Roman" w:hAnsi="Times New Roman" w:cs="Times New Roman"/>
          <w:color w:val="000000" w:themeColor="text1"/>
          <w:sz w:val="24"/>
          <w:szCs w:val="24"/>
        </w:rPr>
        <w:t>). En Asia, estudios en arrozales de India han empleado DEA para optimizar el uso del agua, mostrando que la integración de sensores y datos satelitales con DEA puede reducir el consumo de agua en un 15-20% sin comprometer los rendimientos (</w:t>
      </w:r>
      <w:r w:rsidR="007C0D36" w:rsidRPr="007C0D36">
        <w:rPr>
          <w:rFonts w:ascii="Times New Roman" w:hAnsi="Times New Roman" w:cs="Times New Roman"/>
          <w:color w:val="000000" w:themeColor="text1"/>
          <w:sz w:val="24"/>
          <w:szCs w:val="24"/>
        </w:rPr>
        <w:t>Nan</w:t>
      </w:r>
      <w:r w:rsidR="007C0D36" w:rsidRPr="007C0D36">
        <w:rPr>
          <w:rFonts w:ascii="Times New Roman" w:hAnsi="Times New Roman" w:cs="Times New Roman"/>
          <w:color w:val="000000" w:themeColor="text1"/>
          <w:sz w:val="24"/>
          <w:szCs w:val="24"/>
        </w:rPr>
        <w:t> </w:t>
      </w:r>
      <w:r w:rsidR="007C0D36" w:rsidRPr="007C0D36">
        <w:rPr>
          <w:rFonts w:ascii="Times New Roman" w:hAnsi="Times New Roman" w:cs="Times New Roman"/>
          <w:color w:val="000000" w:themeColor="text1"/>
          <w:sz w:val="24"/>
          <w:szCs w:val="24"/>
        </w:rPr>
        <w:t>Zhu</w:t>
      </w:r>
      <w:r w:rsidRPr="004604AB">
        <w:rPr>
          <w:rFonts w:ascii="Times New Roman" w:hAnsi="Times New Roman" w:cs="Times New Roman"/>
          <w:color w:val="000000" w:themeColor="text1"/>
          <w:sz w:val="24"/>
          <w:szCs w:val="24"/>
        </w:rPr>
        <w:t xml:space="preserve"> </w:t>
      </w:r>
      <w:r w:rsidRPr="004604AB">
        <w:rPr>
          <w:rFonts w:ascii="Times New Roman" w:hAnsi="Times New Roman" w:cs="Times New Roman"/>
          <w:color w:val="000000" w:themeColor="text1"/>
          <w:sz w:val="24"/>
          <w:szCs w:val="24"/>
        </w:rPr>
        <w:t>et al., 2016). Estos resultados, respaldados por autores reconocidos como Vásquez Ibarra, demuestran que el DEA no solo identifica ineficiencias en el uso del agua, sino que también guía la adopción de tecnologías de riego de precisión, promoviendo una agricultura más sostenible en climas tropicales</w:t>
      </w:r>
    </w:p>
    <w:p w:rsidR="004604AB" w:rsidRDefault="004604AB" w:rsidP="004D7E3C">
      <w:pPr>
        <w:spacing w:before="100" w:beforeAutospacing="1" w:after="100" w:afterAutospacing="1" w:line="240" w:lineRule="auto"/>
        <w:rPr>
          <w:rFonts w:ascii="Times New Roman" w:hAnsi="Times New Roman" w:cs="Times New Roman"/>
          <w:color w:val="000000" w:themeColor="text1"/>
          <w:sz w:val="24"/>
          <w:szCs w:val="24"/>
        </w:rPr>
      </w:pPr>
      <w:r w:rsidRPr="004604AB">
        <w:rPr>
          <w:rFonts w:ascii="Times New Roman" w:hAnsi="Times New Roman" w:cs="Times New Roman"/>
          <w:color w:val="000000" w:themeColor="text1"/>
          <w:sz w:val="24"/>
          <w:szCs w:val="24"/>
        </w:rPr>
        <w:t>Colin </w:t>
      </w:r>
      <w:r w:rsidRPr="004604AB">
        <w:rPr>
          <w:rFonts w:ascii="Times New Roman" w:hAnsi="Times New Roman" w:cs="Times New Roman"/>
          <w:i/>
          <w:color w:val="000000" w:themeColor="text1"/>
          <w:sz w:val="24"/>
          <w:szCs w:val="24"/>
        </w:rPr>
        <w:t>et al</w:t>
      </w:r>
      <w:r w:rsidRPr="004604AB">
        <w:rPr>
          <w:rFonts w:ascii="Times New Roman" w:hAnsi="Times New Roman" w:cs="Times New Roman"/>
          <w:color w:val="000000" w:themeColor="text1"/>
          <w:sz w:val="24"/>
          <w:szCs w:val="24"/>
        </w:rPr>
        <w:t>. 2024</w:t>
      </w:r>
      <w:r>
        <w:rPr>
          <w:rFonts w:ascii="OpenSans-Regular" w:hAnsi="OpenSans-Regular"/>
          <w:b/>
          <w:bCs/>
          <w:color w:val="777777"/>
          <w:shd w:val="clear" w:color="auto" w:fill="FFFFFF"/>
        </w:rPr>
        <w:t xml:space="preserve"> </w:t>
      </w:r>
      <w:hyperlink r:id="rId53" w:history="1">
        <w:r w:rsidRPr="00D07E15">
          <w:rPr>
            <w:rStyle w:val="Hipervnculo"/>
            <w:rFonts w:ascii="Times New Roman" w:hAnsi="Times New Roman" w:cs="Times New Roman"/>
            <w:sz w:val="24"/>
            <w:szCs w:val="24"/>
          </w:rPr>
          <w:t>https://doi.org/10.20983/noesis.2024.2.2</w:t>
        </w:r>
      </w:hyperlink>
      <w:r>
        <w:rPr>
          <w:rFonts w:ascii="Times New Roman" w:hAnsi="Times New Roman" w:cs="Times New Roman"/>
          <w:color w:val="000000" w:themeColor="text1"/>
          <w:sz w:val="24"/>
          <w:szCs w:val="24"/>
        </w:rPr>
        <w:t xml:space="preserve"> </w:t>
      </w:r>
    </w:p>
    <w:p w:rsidR="007C0D36" w:rsidRPr="000E7574" w:rsidRDefault="007C0D36" w:rsidP="004D7E3C">
      <w:pPr>
        <w:spacing w:before="100" w:beforeAutospacing="1" w:after="100" w:afterAutospacing="1" w:line="240" w:lineRule="auto"/>
        <w:rPr>
          <w:rFonts w:ascii="Times New Roman" w:hAnsi="Times New Roman" w:cs="Times New Roman"/>
          <w:color w:val="000000" w:themeColor="text1"/>
          <w:sz w:val="24"/>
          <w:szCs w:val="24"/>
        </w:rPr>
      </w:pPr>
      <w:r w:rsidRPr="007C0D36">
        <w:rPr>
          <w:rFonts w:ascii="Times New Roman" w:hAnsi="Times New Roman" w:cs="Times New Roman"/>
          <w:color w:val="000000" w:themeColor="text1"/>
          <w:sz w:val="24"/>
          <w:szCs w:val="24"/>
        </w:rPr>
        <w:t>Nan</w:t>
      </w:r>
      <w:r w:rsidRPr="007C0D36">
        <w:rPr>
          <w:rFonts w:ascii="Times New Roman" w:hAnsi="Times New Roman" w:cs="Times New Roman"/>
          <w:color w:val="000000" w:themeColor="text1"/>
          <w:sz w:val="24"/>
          <w:szCs w:val="24"/>
        </w:rPr>
        <w:t> </w:t>
      </w:r>
      <w:r w:rsidRPr="007C0D36">
        <w:rPr>
          <w:rFonts w:ascii="Times New Roman" w:hAnsi="Times New Roman" w:cs="Times New Roman"/>
          <w:color w:val="000000" w:themeColor="text1"/>
          <w:sz w:val="24"/>
          <w:szCs w:val="24"/>
        </w:rPr>
        <w:t xml:space="preserve">Zhu </w:t>
      </w:r>
      <w:r w:rsidRPr="007C0D36">
        <w:rPr>
          <w:rFonts w:ascii="Times New Roman" w:hAnsi="Times New Roman" w:cs="Times New Roman"/>
          <w:i/>
          <w:color w:val="000000" w:themeColor="text1"/>
          <w:sz w:val="24"/>
          <w:szCs w:val="24"/>
        </w:rPr>
        <w:t>et al.</w:t>
      </w:r>
      <w:r>
        <w:rPr>
          <w:rStyle w:val="text"/>
          <w:rFonts w:ascii="Arial" w:hAnsi="Arial" w:cs="Arial"/>
          <w:color w:val="1F1F1F"/>
        </w:rPr>
        <w:t xml:space="preserve"> 2021 </w:t>
      </w:r>
      <w:hyperlink r:id="rId54" w:tgtFrame="_blank" w:tooltip="Persistent link using digital object identifier" w:history="1">
        <w:r>
          <w:rPr>
            <w:rStyle w:val="anchor-text"/>
            <w:rFonts w:ascii="Arial" w:hAnsi="Arial" w:cs="Arial"/>
            <w:color w:val="0272B1"/>
            <w:sz w:val="21"/>
            <w:szCs w:val="21"/>
          </w:rPr>
          <w:t>https://doi.org/10.1016/j.jmse.2020.10.001</w:t>
        </w:r>
      </w:hyperlink>
      <w:r>
        <w:t xml:space="preserve">  </w:t>
      </w:r>
    </w:p>
    <w:p w:rsidR="003435B4" w:rsidRPr="00353ED8" w:rsidRDefault="003435B4" w:rsidP="003435B4">
      <w:pPr>
        <w:pStyle w:val="Ttulo4"/>
        <w:rPr>
          <w:rFonts w:ascii="Times New Roman" w:hAnsi="Times New Roman" w:cs="Times New Roman"/>
          <w:color w:val="000000" w:themeColor="text1"/>
          <w:sz w:val="24"/>
          <w:szCs w:val="24"/>
        </w:rPr>
      </w:pPr>
      <w:r w:rsidRPr="00353ED8">
        <w:rPr>
          <w:rStyle w:val="Textoennegrita"/>
          <w:rFonts w:ascii="Times New Roman" w:hAnsi="Times New Roman" w:cs="Times New Roman"/>
          <w:bCs w:val="0"/>
          <w:color w:val="000000" w:themeColor="text1"/>
          <w:sz w:val="24"/>
          <w:szCs w:val="24"/>
        </w:rPr>
        <w:t>América Latina</w:t>
      </w:r>
    </w:p>
    <w:p w:rsidR="003435B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El Análisis Envolvente de Datos (DEA) ha sido ampliamente utilizado en Colombia para evaluar la eficiencia técnica y asignativa de pequeños productores agrícolas, especialmente en cultivos como café, caña de azúcar y hortalizas, donde los pequeños productores enfrentan limitaciones de recursos y acceso a tecnología. Un estudio clave de Perdomo y Mendieta (2007) analizó la eficiencia técnica en el sector cafetero colombiano utilizando DEA, encontrando que los pequeños productores alcanzaron eficiencias técnicas promedio de entre 60% y 70%, con variaciones según el acceso a capacitación y la adopción de prácticas agronómicas modernas. Los resultados indicaron que factores como la educación del agricultor, el acceso a crédito y la </w:t>
      </w:r>
      <w:r w:rsidRPr="00353ED8">
        <w:rPr>
          <w:rFonts w:ascii="Times New Roman" w:hAnsi="Times New Roman" w:cs="Times New Roman"/>
          <w:color w:val="000000" w:themeColor="text1"/>
          <w:sz w:val="24"/>
          <w:szCs w:val="24"/>
        </w:rPr>
        <w:lastRenderedPageBreak/>
        <w:t xml:space="preserve">calidad del suelo son determinantes para mejorar la eficiencia. </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Perdomo, J. A., &amp; Mendieta, J. C. (2007). Factores que afectan la eficiencia técnica y asignativa en el sector cafetero colombiano: una aplicación con análisis envolvente de datos. Desarrollo y sociedad, (60), 03-45.</w:t>
      </w:r>
      <w:r w:rsidRPr="00353ED8">
        <w:rPr>
          <w:rFonts w:ascii="Times New Roman" w:hAnsi="Times New Roman" w:cs="Times New Roman"/>
          <w:color w:val="000000" w:themeColor="text1"/>
          <w:sz w:val="24"/>
          <w:szCs w:val="24"/>
        </w:rPr>
        <w:t xml:space="preserve"> </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Además, el trabajo de Vásquez Ibarra et al. (2020) sobre la combinación de Análisis de Localización (LA) y DEA en sistemas agrícolas destacó cómo la heterogeneidad regional afecta la eficiencia, mostrando que los pequeños productores en regiones como Antioquia y el Valle del Cauca pueden mejorar hasta un 25% su eficiencia al adoptar tecnologías de riego y fertilización optimizadas. </w:t>
      </w:r>
    </w:p>
    <w:p w:rsidR="004D7E3C"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Otro estudio relevante de Pardo Martínez y Cotte Poveda (2011) aplicó DEA para evaluar la eficiencia energética en la industria manufacturera colombiana, pero incluyó pequeños productores agroindustriales, reportando que la incorporación de tecnologías modernas incrementa la eficiencia en un 15-20% al reducir el consumo de energía y los costos asociados. Estos resultados subrayan la importancia de políticas públicas que promuevan la capacitación, el acceso a tecnología y la infraestructura para pequeños productores, permitiendo cerrar brechas de ineficiencia y mejorar la competitividad agrícola en Colombia.</w:t>
      </w:r>
    </w:p>
    <w:p w:rsidR="00353ED8" w:rsidRPr="000E7574"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Martínez, C. I. P. (2011). La eficiencia energética en la industria manufacturera colombiana: una estimación con análisis envolvente de datos-dea y datos de Panela. econ. gest. desarro. cali (colombia), (11), 39-58.</w:t>
      </w:r>
    </w:p>
    <w:p w:rsidR="003435B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En Brasil y Perú, el DEA se ha utilizado para identificar buenas prácticas agrícolas que sirvan como referentes para mejorar la eficiencia de pequeños y medianos productores. En Brasil, un estudio de </w:t>
      </w:r>
      <w:r w:rsidR="00557623" w:rsidRPr="00557623">
        <w:rPr>
          <w:rFonts w:ascii="Times New Roman" w:hAnsi="Times New Roman" w:cs="Times New Roman"/>
          <w:color w:val="000000" w:themeColor="text1"/>
          <w:sz w:val="24"/>
          <w:szCs w:val="24"/>
        </w:rPr>
        <w:t>Herrera</w:t>
      </w:r>
      <w:r w:rsidR="00557623">
        <w:rPr>
          <w:rFonts w:ascii="Times New Roman" w:hAnsi="Times New Roman" w:cs="Times New Roman"/>
          <w:color w:val="000000" w:themeColor="text1"/>
          <w:sz w:val="24"/>
          <w:szCs w:val="24"/>
        </w:rPr>
        <w:t xml:space="preserve"> </w:t>
      </w:r>
      <w:r w:rsidR="00557623" w:rsidRPr="00557623">
        <w:rPr>
          <w:rFonts w:ascii="Times New Roman" w:hAnsi="Times New Roman" w:cs="Times New Roman"/>
          <w:color w:val="000000" w:themeColor="text1"/>
          <w:sz w:val="24"/>
          <w:szCs w:val="24"/>
        </w:rPr>
        <w:t xml:space="preserve">&amp; de la Hoz </w:t>
      </w:r>
      <w:r w:rsidRPr="00353ED8">
        <w:rPr>
          <w:rFonts w:ascii="Times New Roman" w:hAnsi="Times New Roman" w:cs="Times New Roman"/>
          <w:color w:val="000000" w:themeColor="text1"/>
          <w:sz w:val="24"/>
          <w:szCs w:val="24"/>
        </w:rPr>
        <w:t xml:space="preserve">(2012) aplicó un modelo híbrido de DEA y programación lineal multiobjetivo para evaluar la eficiencia de productores de caña de azúcar, identificando que las fincas que implementan rotación de cultivos y manejo integrado de plagas alcanzan eficiencias técnicas superiores al 80%. Estas prácticas, combinadas con el uso de fertilizantes orgánicos y sistemas de riego por goteo, se destacaron como modelos replicables para optimizar recursos y reducir impactos ambientales. </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Herrera, T. J. F., &amp; de la Hoz Granadillo, E. J. (2020). Método conglomerado-análisis discriminante-análisis envolvente de datos para clasificar y evaluar eficiencia empresarial. Entramado, 16(2), 46-55.</w:t>
      </w:r>
    </w:p>
    <w:p w:rsidR="004D7E3C"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En Perú, Benavides y García (2014) emplearon DEA para analizar la eficiencia de pequeños productores de quinua en la región andina, encontrando que las fincas con acceso a asociaciones cooperativas y certificaciones de comercio justo logran eficiencias promedio de 75%, frente al 55% de las fincas sin estas prácticas. El estudio de Vásquez Ibarra et al. (2020) también resalta la relevancia de integrar DEA con análisis espacial para identificar buenas prácticas en cultivos tropicales en Perú, como el cacao, donde el uso de sombra natural y la diversificación de cultivos mejoran la eficiencia hídrica y económica en un 20-30%. Estas investigaciones destacan que las buenas prácticas identificadas, como la tecnificación del riego, la cooperación entre productores y </w:t>
      </w:r>
      <w:r w:rsidRPr="00353ED8">
        <w:rPr>
          <w:rFonts w:ascii="Times New Roman" w:hAnsi="Times New Roman" w:cs="Times New Roman"/>
          <w:color w:val="000000" w:themeColor="text1"/>
          <w:sz w:val="24"/>
          <w:szCs w:val="24"/>
        </w:rPr>
        <w:lastRenderedPageBreak/>
        <w:t>la adopción de métodos sostenibles, no solo aumentan la eficiencia, sino que también fortalecen la resiliencia frente al cambio climático y mejoran los ingresos de los productores en ambos países.</w:t>
      </w:r>
      <w:bookmarkStart w:id="0" w:name="_GoBack"/>
      <w:bookmarkEnd w:id="0"/>
    </w:p>
    <w:p w:rsidR="007F59A0" w:rsidRPr="000E7574" w:rsidRDefault="007F59A0" w:rsidP="004D7E3C">
      <w:pPr>
        <w:spacing w:before="100" w:beforeAutospacing="1" w:after="100" w:afterAutospacing="1" w:line="240" w:lineRule="auto"/>
        <w:rPr>
          <w:rFonts w:ascii="Times New Roman" w:hAnsi="Times New Roman" w:cs="Times New Roman"/>
          <w:color w:val="000000" w:themeColor="text1"/>
          <w:sz w:val="24"/>
          <w:szCs w:val="24"/>
        </w:rPr>
      </w:pPr>
      <w:r w:rsidRPr="007F59A0">
        <w:rPr>
          <w:rFonts w:ascii="Times New Roman" w:hAnsi="Times New Roman" w:cs="Times New Roman"/>
          <w:color w:val="000000" w:themeColor="text1"/>
          <w:sz w:val="24"/>
          <w:szCs w:val="24"/>
        </w:rPr>
        <w:t xml:space="preserve">Valdivia et al. 2022 </w:t>
      </w:r>
      <w:r w:rsidRPr="007F59A0">
        <w:rPr>
          <w:rFonts w:ascii="Times New Roman" w:hAnsi="Times New Roman" w:cs="Times New Roman"/>
          <w:color w:val="000000" w:themeColor="text1"/>
          <w:sz w:val="24"/>
          <w:szCs w:val="24"/>
        </w:rPr>
        <w:br/>
      </w:r>
      <w:hyperlink r:id="rId55" w:history="1">
        <w:r w:rsidRPr="00D07E15">
          <w:rPr>
            <w:rStyle w:val="Hipervnculo"/>
            <w:rFonts w:ascii="Times New Roman" w:hAnsi="Times New Roman" w:cs="Times New Roman"/>
            <w:sz w:val="24"/>
            <w:szCs w:val="24"/>
          </w:rPr>
          <w:t>http://dx.doi.org/10.18235/0004292</w:t>
        </w:r>
      </w:hyperlink>
      <w:r>
        <w:rPr>
          <w:rFonts w:ascii="Times New Roman" w:hAnsi="Times New Roman" w:cs="Times New Roman"/>
          <w:color w:val="000000" w:themeColor="text1"/>
          <w:sz w:val="24"/>
          <w:szCs w:val="24"/>
        </w:rPr>
        <w:t xml:space="preserve"> </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análisis de eficiencia de productores en Chiapas y Veracruz.</w:t>
      </w:r>
    </w:p>
    <w:p w:rsidR="004D7E3C" w:rsidRPr="000E7574" w:rsidRDefault="004D7E3C" w:rsidP="004D7E3C">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LCA para estudios de sostenibilidad.</w:t>
      </w:r>
    </w:p>
    <w:p w:rsidR="004D7E3C" w:rsidRDefault="004D7E3C" w:rsidP="004D7E3C">
      <w:pPr>
        <w:pStyle w:val="Prrafodelista"/>
        <w:rPr>
          <w:rFonts w:ascii="Times New Roman" w:hAnsi="Times New Roman" w:cs="Times New Roman"/>
          <w:color w:val="000000" w:themeColor="text1"/>
          <w:sz w:val="24"/>
          <w:szCs w:val="24"/>
        </w:rPr>
      </w:pPr>
    </w:p>
    <w:p w:rsidR="004D7E3C" w:rsidRPr="000E7574" w:rsidRDefault="004D7E3C" w:rsidP="004D7E3C">
      <w:pPr>
        <w:spacing w:before="100" w:beforeAutospacing="1" w:after="100" w:afterAutospacing="1" w:line="240" w:lineRule="auto"/>
        <w:rPr>
          <w:rFonts w:ascii="Times New Roman" w:hAnsi="Times New Roman" w:cs="Times New Roman"/>
          <w:color w:val="000000" w:themeColor="text1"/>
          <w:sz w:val="24"/>
          <w:szCs w:val="24"/>
        </w:rPr>
      </w:pPr>
    </w:p>
    <w:p w:rsidR="00BB0517" w:rsidRPr="00BB0517" w:rsidRDefault="00BB0517" w:rsidP="00BB0517">
      <w:pPr>
        <w:spacing w:after="0" w:line="360" w:lineRule="auto"/>
        <w:jc w:val="both"/>
        <w:rPr>
          <w:rFonts w:ascii="Times New Roman" w:eastAsia="Times New Roman" w:hAnsi="Times New Roman" w:cs="Times New Roman"/>
          <w:noProof w:val="0"/>
          <w:sz w:val="24"/>
          <w:szCs w:val="24"/>
          <w:lang w:val="es-MX" w:eastAsia="es-MX"/>
        </w:rPr>
      </w:pPr>
      <w:r w:rsidRPr="00BB0517">
        <w:rPr>
          <w:rFonts w:ascii="Times New Roman" w:eastAsia="Times New Roman" w:hAnsi="Times New Roman" w:cs="Times New Roman"/>
          <w:noProof w:val="0"/>
          <w:sz w:val="24"/>
          <w:szCs w:val="24"/>
          <w:lang w:val="es-MX" w:eastAsia="es-MX"/>
        </w:rPr>
        <w:t xml:space="preserve">En regiones como Veracruz, México, esta perspectiva es especialmente pertinente, dado que la producción de café se caracteriza por una alta heterogeneidad en cuanto a tamaño de finca, sistemas de manejo y condiciones ecológicas (Gómez </w:t>
      </w:r>
      <w:r w:rsidRPr="00BB0517">
        <w:rPr>
          <w:rFonts w:ascii="Times New Roman" w:eastAsia="Times New Roman" w:hAnsi="Times New Roman" w:cs="Times New Roman"/>
          <w:i/>
          <w:noProof w:val="0"/>
          <w:sz w:val="24"/>
          <w:szCs w:val="24"/>
          <w:lang w:val="es-MX" w:eastAsia="es-MX"/>
        </w:rPr>
        <w:t>et al</w:t>
      </w:r>
      <w:r w:rsidRPr="00BB0517">
        <w:rPr>
          <w:rFonts w:ascii="Times New Roman" w:eastAsia="Times New Roman" w:hAnsi="Times New Roman" w:cs="Times New Roman"/>
          <w:noProof w:val="0"/>
          <w:sz w:val="24"/>
          <w:szCs w:val="24"/>
          <w:lang w:val="es-MX" w:eastAsia="es-MX"/>
        </w:rPr>
        <w:t>., 2018). Sin embargo, existe una escasez de estudios que apliquen este enfoque de manera localizada. Tal como señalan los autores anteriores, adaptar las metodologías de ecoeficiencia al contexto regional permite formular recomendaciones específicas para los productores y diseñar políticas públicas más efectivas en este sector.</w:t>
      </w:r>
    </w:p>
    <w:p w:rsidR="001C7B8F" w:rsidRPr="001C7B8F" w:rsidRDefault="001C7B8F" w:rsidP="001C7B8F">
      <w:pPr>
        <w:pStyle w:val="Ttulo2"/>
        <w:shd w:val="clear" w:color="auto" w:fill="FFFFFF"/>
        <w:spacing w:before="0" w:line="336" w:lineRule="atLeast"/>
        <w:rPr>
          <w:rFonts w:ascii="Source Sans Pro" w:hAnsi="Source Sans Pro"/>
          <w:b/>
          <w:noProof w:val="0"/>
          <w:color w:val="343A40"/>
          <w:lang w:val="es-MX"/>
        </w:rPr>
      </w:pPr>
      <w:r w:rsidRPr="001C7B8F">
        <w:rPr>
          <w:rFonts w:ascii="Source Sans Pro" w:hAnsi="Source Sans Pro"/>
          <w:b/>
          <w:color w:val="343A40"/>
        </w:rPr>
        <w:t>References</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Bhat, Nadeem Ahmad, and Sandeep Kaur. 2022. “Technical Efficiency Analysis of Indian IT Industry: A Panel Data Stochastic Frontier Approach.” </w:t>
      </w:r>
      <w:r>
        <w:rPr>
          <w:rStyle w:val="nfasis"/>
          <w:rFonts w:ascii="Source Sans Pro" w:hAnsi="Source Sans Pro"/>
          <w:color w:val="343A40"/>
        </w:rPr>
        <w:t>Millennial Asia</w:t>
      </w:r>
      <w:r>
        <w:rPr>
          <w:rFonts w:ascii="Source Sans Pro" w:hAnsi="Source Sans Pro"/>
          <w:color w:val="343A40"/>
        </w:rPr>
        <w:t> 15 (2): 327–48. </w:t>
      </w:r>
      <w:hyperlink r:id="rId56" w:history="1">
        <w:r>
          <w:rPr>
            <w:rStyle w:val="Hipervnculo"/>
            <w:rFonts w:ascii="Source Sans Pro" w:hAnsi="Source Sans Pro"/>
            <w:color w:val="2761E3"/>
          </w:rPr>
          <w:t>https://doi.org/10.1177/09763996221082199</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Börner, Jan, Kathy Baylis, Esteve Corbera, Driss Ezzine-de-Blas, Jordi Honey-Rosés, U. Martin Persson, and Sven Wunder. 2017. “The Effectiveness of Payments for Environmental Services.” </w:t>
      </w:r>
      <w:r>
        <w:rPr>
          <w:rStyle w:val="nfasis"/>
          <w:rFonts w:ascii="Source Sans Pro" w:hAnsi="Source Sans Pro"/>
          <w:color w:val="343A40"/>
        </w:rPr>
        <w:t>World Development</w:t>
      </w:r>
      <w:r>
        <w:rPr>
          <w:rFonts w:ascii="Source Sans Pro" w:hAnsi="Source Sans Pro"/>
          <w:color w:val="343A40"/>
        </w:rPr>
        <w:t> 96 (August): 359–74. </w:t>
      </w:r>
      <w:hyperlink r:id="rId57" w:history="1">
        <w:r>
          <w:rPr>
            <w:rStyle w:val="Hipervnculo"/>
            <w:rFonts w:ascii="Source Sans Pro" w:hAnsi="Source Sans Pro"/>
            <w:color w:val="2761E3"/>
          </w:rPr>
          <w:t>https://doi.org/10.1016/j.worlddev.2017.03.020</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Cardoso, Brenda Rodrigues, Daniel d, e Abreu Pereira Uhr, and Júlia Gallego Ziero Uhr. 2024. “Global Perspectives on Environmental Policies: A Bibliometric Journey into Eco-Efficiency Research.” </w:t>
      </w:r>
      <w:r>
        <w:rPr>
          <w:rStyle w:val="nfasis"/>
          <w:rFonts w:ascii="Source Sans Pro" w:hAnsi="Source Sans Pro"/>
          <w:color w:val="343A40"/>
        </w:rPr>
        <w:t>International Journal of Bibliometrics in Business and Management</w:t>
      </w:r>
      <w:r>
        <w:rPr>
          <w:rFonts w:ascii="Source Sans Pro" w:hAnsi="Source Sans Pro"/>
          <w:color w:val="343A40"/>
        </w:rPr>
        <w:t> 3 (4): 313–45. </w:t>
      </w:r>
      <w:hyperlink r:id="rId58" w:history="1">
        <w:r>
          <w:rPr>
            <w:rStyle w:val="Hipervnculo"/>
            <w:rFonts w:ascii="Source Sans Pro" w:hAnsi="Source Sans Pro"/>
            <w:color w:val="2761E3"/>
          </w:rPr>
          <w:t>https://doi.org/10.1504/ijbbm.2024.145184</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Charnes, A., W. W. Cooper, and E. Rhodes. 1978. “Measuring the Efficiency of Decision Making Units.” </w:t>
      </w:r>
      <w:r>
        <w:rPr>
          <w:rStyle w:val="nfasis"/>
          <w:rFonts w:ascii="Source Sans Pro" w:hAnsi="Source Sans Pro"/>
          <w:color w:val="343A40"/>
        </w:rPr>
        <w:t>European Journal of Operational Research</w:t>
      </w:r>
      <w:r>
        <w:rPr>
          <w:rFonts w:ascii="Source Sans Pro" w:hAnsi="Source Sans Pro"/>
          <w:color w:val="343A40"/>
        </w:rPr>
        <w:t> 2 (6): 429–44. </w:t>
      </w:r>
      <w:hyperlink r:id="rId59" w:history="1">
        <w:r>
          <w:rPr>
            <w:rStyle w:val="Hipervnculo"/>
            <w:rFonts w:ascii="Source Sans Pro" w:hAnsi="Source Sans Pro"/>
            <w:color w:val="2761E3"/>
          </w:rPr>
          <w:t>https://doi.org/10.1016/0377-2217(78)90138-8</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Gaitán, Alvaro. 2022. “Cenicafé, Ciencia y Tecnología Para La Caficultura Colombiana.” </w:t>
      </w:r>
      <w:r>
        <w:rPr>
          <w:rStyle w:val="nfasis"/>
          <w:rFonts w:ascii="Source Sans Pro" w:hAnsi="Source Sans Pro"/>
          <w:color w:val="343A40"/>
        </w:rPr>
        <w:t>Memorias Seminario Científico Cenicafé</w:t>
      </w:r>
      <w:r>
        <w:rPr>
          <w:rFonts w:ascii="Source Sans Pro" w:hAnsi="Source Sans Pro"/>
          <w:color w:val="343A40"/>
        </w:rPr>
        <w:t> 71 (1): e71109. </w:t>
      </w:r>
      <w:hyperlink r:id="rId60" w:history="1">
        <w:r>
          <w:rPr>
            <w:rStyle w:val="Hipervnculo"/>
            <w:rFonts w:ascii="Source Sans Pro" w:hAnsi="Source Sans Pro"/>
            <w:color w:val="2761E3"/>
          </w:rPr>
          <w:t>https://doi.org/10.38141/10795/71109</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lastRenderedPageBreak/>
        <w:t>Harya, Gyska Indah, Nuhfil Hanani, Rosihan Asmara, and Abdul Wahib Muhaimin. 2024. “Study of Technical Efficiency of The Cocoa Industry Using Data Envelopment Analysis.” </w:t>
      </w:r>
      <w:r>
        <w:rPr>
          <w:rStyle w:val="nfasis"/>
          <w:rFonts w:ascii="Source Sans Pro" w:hAnsi="Source Sans Pro"/>
          <w:color w:val="343A40"/>
        </w:rPr>
        <w:t>RIVAR</w:t>
      </w:r>
      <w:r>
        <w:rPr>
          <w:rFonts w:ascii="Source Sans Pro" w:hAnsi="Source Sans Pro"/>
          <w:color w:val="343A40"/>
        </w:rPr>
        <w:t>, February. </w:t>
      </w:r>
      <w:hyperlink r:id="rId61" w:history="1">
        <w:r>
          <w:rPr>
            <w:rStyle w:val="Hipervnculo"/>
            <w:rFonts w:ascii="Source Sans Pro" w:hAnsi="Source Sans Pro"/>
            <w:color w:val="2761E3"/>
          </w:rPr>
          <w:t>https://doi.org/10.35588/RIVAR.V11I33.6257</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Peças, Paulo, Uwe Götze, Rita Bravo, Fanny Richter, and Inês Ribeiro. 2019. “Methodology for Selection and Application of Eco-Efficiency Indicators Fostering Decision-Making and Communication at Product LevelThe Case of Molds for Injection Molding.” In, 1–52. Elsevier. </w:t>
      </w:r>
      <w:hyperlink r:id="rId62" w:history="1">
        <w:r>
          <w:rPr>
            <w:rStyle w:val="Hipervnculo"/>
            <w:rFonts w:ascii="Source Sans Pro" w:hAnsi="Source Sans Pro"/>
            <w:color w:val="2761E3"/>
          </w:rPr>
          <w:t>https://doi.org/10.1016/b978-0-08-102414-0.00001-x</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Riaño Henao, Camilo Andrés, and Olga Lucía Larrea Serna. 2022a. “Análisis Envolvente de Datos y Sus Aplicaciones En Sostenibilidad.” </w:t>
      </w:r>
      <w:r>
        <w:rPr>
          <w:rStyle w:val="nfasis"/>
          <w:rFonts w:ascii="Source Sans Pro" w:hAnsi="Source Sans Pro"/>
          <w:color w:val="343A40"/>
        </w:rPr>
        <w:t>Ingeniare</w:t>
      </w:r>
      <w:r>
        <w:rPr>
          <w:rFonts w:ascii="Source Sans Pro" w:hAnsi="Source Sans Pro"/>
          <w:color w:val="343A40"/>
        </w:rPr>
        <w:t>, no. 31 (July). </w:t>
      </w:r>
      <w:hyperlink r:id="rId63" w:history="1">
        <w:r>
          <w:rPr>
            <w:rStyle w:val="Hipervnculo"/>
            <w:rFonts w:ascii="Source Sans Pro" w:hAnsi="Source Sans Pro"/>
            <w:color w:val="2761E3"/>
          </w:rPr>
          <w:t>https://doi.org/10.18041/1909-2458/ingeniare.31.8934</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 2022b. “Análisis Envolvente de Datos y Sus Aplicaciones En Sostenibilidad.” </w:t>
      </w:r>
      <w:r>
        <w:rPr>
          <w:rStyle w:val="nfasis"/>
          <w:rFonts w:ascii="Source Sans Pro" w:hAnsi="Source Sans Pro"/>
          <w:color w:val="343A40"/>
        </w:rPr>
        <w:t>Ingeniare</w:t>
      </w:r>
      <w:r>
        <w:rPr>
          <w:rFonts w:ascii="Source Sans Pro" w:hAnsi="Source Sans Pro"/>
          <w:color w:val="343A40"/>
        </w:rPr>
        <w:t>, no. 31 (July). </w:t>
      </w:r>
      <w:hyperlink r:id="rId64" w:history="1">
        <w:r>
          <w:rPr>
            <w:rStyle w:val="Hipervnculo"/>
            <w:rFonts w:ascii="Source Sans Pro" w:hAnsi="Source Sans Pro"/>
            <w:color w:val="2761E3"/>
          </w:rPr>
          <w:t>https://doi.org/10.18041/1909-2458/ingeniare.31.8934</w:t>
        </w:r>
      </w:hyperlink>
      <w:r>
        <w:rPr>
          <w:rFonts w:ascii="Source Sans Pro" w:hAnsi="Source Sans Pro"/>
          <w:color w:val="343A40"/>
        </w:rPr>
        <w:t>.</w:t>
      </w:r>
    </w:p>
    <w:p w:rsidR="001C7B8F" w:rsidRDefault="001C7B8F" w:rsidP="001C7B8F">
      <w:pPr>
        <w:shd w:val="clear" w:color="auto" w:fill="FFFFFF"/>
        <w:ind w:hanging="240"/>
        <w:rPr>
          <w:rFonts w:ascii="Source Sans Pro" w:hAnsi="Source Sans Pro"/>
          <w:color w:val="343A40"/>
        </w:rPr>
      </w:pPr>
      <w:r>
        <w:rPr>
          <w:rFonts w:ascii="Source Sans Pro" w:hAnsi="Source Sans Pro"/>
          <w:color w:val="343A40"/>
        </w:rPr>
        <w:t>Taoumi, Hamza, and Khadija Lahrech. 2023. “Economic, Environmental and Social Efficiency and Effectiveness Development in the Sustainable Crop Agricultural Sector: A Systematic in-Depth Analysis Review.” </w:t>
      </w:r>
      <w:r>
        <w:rPr>
          <w:rStyle w:val="nfasis"/>
          <w:rFonts w:ascii="Source Sans Pro" w:hAnsi="Source Sans Pro"/>
          <w:color w:val="343A40"/>
        </w:rPr>
        <w:t>Science of The Total Environment</w:t>
      </w:r>
      <w:r>
        <w:rPr>
          <w:rFonts w:ascii="Source Sans Pro" w:hAnsi="Source Sans Pro"/>
          <w:color w:val="343A40"/>
        </w:rPr>
        <w:t> 901 (November): 165761. </w:t>
      </w:r>
      <w:hyperlink r:id="rId65" w:history="1">
        <w:r>
          <w:rPr>
            <w:rStyle w:val="Hipervnculo"/>
            <w:rFonts w:ascii="Source Sans Pro" w:hAnsi="Source Sans Pro"/>
            <w:color w:val="2761E3"/>
          </w:rPr>
          <w:t>https://doi.org/10.1016/j.scitotenv.2023.165761</w:t>
        </w:r>
      </w:hyperlink>
      <w:r>
        <w:rPr>
          <w:rFonts w:ascii="Source Sans Pro" w:hAnsi="Source Sans Pro"/>
          <w:color w:val="343A40"/>
        </w:rPr>
        <w:t>.</w:t>
      </w:r>
    </w:p>
    <w:p w:rsidR="00AE7093" w:rsidRPr="000E7574" w:rsidRDefault="00AE7093">
      <w:pPr>
        <w:rPr>
          <w:rFonts w:ascii="Times New Roman" w:hAnsi="Times New Roman" w:cs="Times New Roman"/>
          <w:color w:val="000000" w:themeColor="text1"/>
          <w:sz w:val="24"/>
          <w:szCs w:val="24"/>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66"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Default="00152DB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del blog: </w:t>
      </w:r>
      <w:hyperlink r:id="rId67"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p w:rsidR="00C10F74" w:rsidRPr="000E7574" w:rsidRDefault="00C10F74">
      <w:pPr>
        <w:rPr>
          <w:rFonts w:ascii="Times New Roman" w:hAnsi="Times New Roman" w:cs="Times New Roman"/>
          <w:color w:val="000000" w:themeColor="text1"/>
          <w:sz w:val="24"/>
          <w:szCs w:val="24"/>
        </w:rPr>
      </w:pPr>
      <w:r w:rsidRPr="00C10F74">
        <w:rPr>
          <w:rFonts w:ascii="Times New Roman" w:hAnsi="Times New Roman" w:cs="Times New Roman"/>
          <w:color w:val="000000" w:themeColor="text1"/>
          <w:sz w:val="24"/>
          <w:szCs w:val="24"/>
        </w:rPr>
        <w:t>https://ecoeficiencia-en-cafe.netlify.app/</w:t>
      </w:r>
    </w:p>
    <w:sectPr w:rsidR="00C10F74"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Sans Pro">
    <w:altName w:val="Times New Roman"/>
    <w:panose1 w:val="00000000000000000000"/>
    <w:charset w:val="00"/>
    <w:family w:val="roman"/>
    <w:notTrueType/>
    <w:pitch w:val="default"/>
  </w:font>
  <w:font w:name="OpenSans-Regular">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97DF0"/>
    <w:multiLevelType w:val="hybridMultilevel"/>
    <w:tmpl w:val="505C43A2"/>
    <w:lvl w:ilvl="0" w:tplc="0CAEEE08">
      <w:start w:val="1"/>
      <w:numFmt w:val="bullet"/>
      <w:lvlText w:val="•"/>
      <w:lvlJc w:val="left"/>
      <w:pPr>
        <w:tabs>
          <w:tab w:val="num" w:pos="720"/>
        </w:tabs>
        <w:ind w:left="720" w:hanging="360"/>
      </w:pPr>
      <w:rPr>
        <w:rFonts w:ascii="Arial" w:hAnsi="Arial" w:hint="default"/>
      </w:rPr>
    </w:lvl>
    <w:lvl w:ilvl="1" w:tplc="373A209C" w:tentative="1">
      <w:start w:val="1"/>
      <w:numFmt w:val="bullet"/>
      <w:lvlText w:val="•"/>
      <w:lvlJc w:val="left"/>
      <w:pPr>
        <w:tabs>
          <w:tab w:val="num" w:pos="1440"/>
        </w:tabs>
        <w:ind w:left="1440" w:hanging="360"/>
      </w:pPr>
      <w:rPr>
        <w:rFonts w:ascii="Arial" w:hAnsi="Arial" w:hint="default"/>
      </w:rPr>
    </w:lvl>
    <w:lvl w:ilvl="2" w:tplc="6830707C" w:tentative="1">
      <w:start w:val="1"/>
      <w:numFmt w:val="bullet"/>
      <w:lvlText w:val="•"/>
      <w:lvlJc w:val="left"/>
      <w:pPr>
        <w:tabs>
          <w:tab w:val="num" w:pos="2160"/>
        </w:tabs>
        <w:ind w:left="2160" w:hanging="360"/>
      </w:pPr>
      <w:rPr>
        <w:rFonts w:ascii="Arial" w:hAnsi="Arial" w:hint="default"/>
      </w:rPr>
    </w:lvl>
    <w:lvl w:ilvl="3" w:tplc="E334DD7A" w:tentative="1">
      <w:start w:val="1"/>
      <w:numFmt w:val="bullet"/>
      <w:lvlText w:val="•"/>
      <w:lvlJc w:val="left"/>
      <w:pPr>
        <w:tabs>
          <w:tab w:val="num" w:pos="2880"/>
        </w:tabs>
        <w:ind w:left="2880" w:hanging="360"/>
      </w:pPr>
      <w:rPr>
        <w:rFonts w:ascii="Arial" w:hAnsi="Arial" w:hint="default"/>
      </w:rPr>
    </w:lvl>
    <w:lvl w:ilvl="4" w:tplc="47C84A08" w:tentative="1">
      <w:start w:val="1"/>
      <w:numFmt w:val="bullet"/>
      <w:lvlText w:val="•"/>
      <w:lvlJc w:val="left"/>
      <w:pPr>
        <w:tabs>
          <w:tab w:val="num" w:pos="3600"/>
        </w:tabs>
        <w:ind w:left="3600" w:hanging="360"/>
      </w:pPr>
      <w:rPr>
        <w:rFonts w:ascii="Arial" w:hAnsi="Arial" w:hint="default"/>
      </w:rPr>
    </w:lvl>
    <w:lvl w:ilvl="5" w:tplc="A76424FC" w:tentative="1">
      <w:start w:val="1"/>
      <w:numFmt w:val="bullet"/>
      <w:lvlText w:val="•"/>
      <w:lvlJc w:val="left"/>
      <w:pPr>
        <w:tabs>
          <w:tab w:val="num" w:pos="4320"/>
        </w:tabs>
        <w:ind w:left="4320" w:hanging="360"/>
      </w:pPr>
      <w:rPr>
        <w:rFonts w:ascii="Arial" w:hAnsi="Arial" w:hint="default"/>
      </w:rPr>
    </w:lvl>
    <w:lvl w:ilvl="6" w:tplc="45ECDAFA" w:tentative="1">
      <w:start w:val="1"/>
      <w:numFmt w:val="bullet"/>
      <w:lvlText w:val="•"/>
      <w:lvlJc w:val="left"/>
      <w:pPr>
        <w:tabs>
          <w:tab w:val="num" w:pos="5040"/>
        </w:tabs>
        <w:ind w:left="5040" w:hanging="360"/>
      </w:pPr>
      <w:rPr>
        <w:rFonts w:ascii="Arial" w:hAnsi="Arial" w:hint="default"/>
      </w:rPr>
    </w:lvl>
    <w:lvl w:ilvl="7" w:tplc="4C4A0FBA" w:tentative="1">
      <w:start w:val="1"/>
      <w:numFmt w:val="bullet"/>
      <w:lvlText w:val="•"/>
      <w:lvlJc w:val="left"/>
      <w:pPr>
        <w:tabs>
          <w:tab w:val="num" w:pos="5760"/>
        </w:tabs>
        <w:ind w:left="5760" w:hanging="360"/>
      </w:pPr>
      <w:rPr>
        <w:rFonts w:ascii="Arial" w:hAnsi="Arial" w:hint="default"/>
      </w:rPr>
    </w:lvl>
    <w:lvl w:ilvl="8" w:tplc="BB2E6AE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F02AD"/>
    <w:multiLevelType w:val="multilevel"/>
    <w:tmpl w:val="93BE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1"/>
  </w:num>
  <w:num w:numId="3">
    <w:abstractNumId w:val="22"/>
  </w:num>
  <w:num w:numId="4">
    <w:abstractNumId w:val="8"/>
  </w:num>
  <w:num w:numId="5">
    <w:abstractNumId w:val="15"/>
  </w:num>
  <w:num w:numId="6">
    <w:abstractNumId w:val="9"/>
  </w:num>
  <w:num w:numId="7">
    <w:abstractNumId w:val="7"/>
  </w:num>
  <w:num w:numId="8">
    <w:abstractNumId w:val="5"/>
  </w:num>
  <w:num w:numId="9">
    <w:abstractNumId w:val="18"/>
  </w:num>
  <w:num w:numId="10">
    <w:abstractNumId w:val="2"/>
  </w:num>
  <w:num w:numId="11">
    <w:abstractNumId w:val="10"/>
  </w:num>
  <w:num w:numId="12">
    <w:abstractNumId w:val="13"/>
  </w:num>
  <w:num w:numId="13">
    <w:abstractNumId w:val="14"/>
  </w:num>
  <w:num w:numId="14">
    <w:abstractNumId w:val="17"/>
  </w:num>
  <w:num w:numId="15">
    <w:abstractNumId w:val="0"/>
  </w:num>
  <w:num w:numId="16">
    <w:abstractNumId w:val="1"/>
  </w:num>
  <w:num w:numId="17">
    <w:abstractNumId w:val="19"/>
  </w:num>
  <w:num w:numId="18">
    <w:abstractNumId w:val="4"/>
  </w:num>
  <w:num w:numId="19">
    <w:abstractNumId w:val="11"/>
  </w:num>
  <w:num w:numId="20">
    <w:abstractNumId w:val="12"/>
  </w:num>
  <w:num w:numId="21">
    <w:abstractNumId w:val="20"/>
  </w:num>
  <w:num w:numId="22">
    <w:abstractNumId w:val="6"/>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7F4B"/>
    <w:rsid w:val="000417C8"/>
    <w:rsid w:val="0004709E"/>
    <w:rsid w:val="00052EF8"/>
    <w:rsid w:val="000648E1"/>
    <w:rsid w:val="00083908"/>
    <w:rsid w:val="000C6A8C"/>
    <w:rsid w:val="000E7574"/>
    <w:rsid w:val="000F3D75"/>
    <w:rsid w:val="001164C5"/>
    <w:rsid w:val="00140D0C"/>
    <w:rsid w:val="00142DAA"/>
    <w:rsid w:val="00152DBF"/>
    <w:rsid w:val="00173D13"/>
    <w:rsid w:val="00183956"/>
    <w:rsid w:val="001B3B9E"/>
    <w:rsid w:val="001C2A66"/>
    <w:rsid w:val="001C7B8F"/>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45C92"/>
    <w:rsid w:val="00353ED8"/>
    <w:rsid w:val="0038768A"/>
    <w:rsid w:val="003969DF"/>
    <w:rsid w:val="003A2EB9"/>
    <w:rsid w:val="003A5E55"/>
    <w:rsid w:val="003E52C0"/>
    <w:rsid w:val="00413B5E"/>
    <w:rsid w:val="00414516"/>
    <w:rsid w:val="00445572"/>
    <w:rsid w:val="0045010E"/>
    <w:rsid w:val="004604AB"/>
    <w:rsid w:val="00491A6A"/>
    <w:rsid w:val="00493985"/>
    <w:rsid w:val="00496A75"/>
    <w:rsid w:val="004A2770"/>
    <w:rsid w:val="004B0235"/>
    <w:rsid w:val="004B486C"/>
    <w:rsid w:val="004B5BF6"/>
    <w:rsid w:val="004B71F6"/>
    <w:rsid w:val="004C10E4"/>
    <w:rsid w:val="004C4A46"/>
    <w:rsid w:val="004C73D5"/>
    <w:rsid w:val="004D7E3C"/>
    <w:rsid w:val="004E6F79"/>
    <w:rsid w:val="004F74D8"/>
    <w:rsid w:val="004F7CD1"/>
    <w:rsid w:val="005009F9"/>
    <w:rsid w:val="005051E8"/>
    <w:rsid w:val="0050657C"/>
    <w:rsid w:val="00514F37"/>
    <w:rsid w:val="005155F9"/>
    <w:rsid w:val="00526C0E"/>
    <w:rsid w:val="00557623"/>
    <w:rsid w:val="00592B67"/>
    <w:rsid w:val="005A68B6"/>
    <w:rsid w:val="005D22B0"/>
    <w:rsid w:val="005D4451"/>
    <w:rsid w:val="005F5D0D"/>
    <w:rsid w:val="0061333A"/>
    <w:rsid w:val="00640276"/>
    <w:rsid w:val="006420A1"/>
    <w:rsid w:val="00681277"/>
    <w:rsid w:val="00694DC7"/>
    <w:rsid w:val="006A2A24"/>
    <w:rsid w:val="006B29A1"/>
    <w:rsid w:val="006C2592"/>
    <w:rsid w:val="006E101C"/>
    <w:rsid w:val="00700651"/>
    <w:rsid w:val="00704046"/>
    <w:rsid w:val="00705D5A"/>
    <w:rsid w:val="00713F71"/>
    <w:rsid w:val="00714A9E"/>
    <w:rsid w:val="00732C89"/>
    <w:rsid w:val="00736A2C"/>
    <w:rsid w:val="007550E2"/>
    <w:rsid w:val="0076203D"/>
    <w:rsid w:val="00784FFE"/>
    <w:rsid w:val="007B1673"/>
    <w:rsid w:val="007C0D36"/>
    <w:rsid w:val="007E1AD0"/>
    <w:rsid w:val="007E4136"/>
    <w:rsid w:val="007F199B"/>
    <w:rsid w:val="007F59A0"/>
    <w:rsid w:val="00803ACF"/>
    <w:rsid w:val="00830583"/>
    <w:rsid w:val="00840F76"/>
    <w:rsid w:val="008507DF"/>
    <w:rsid w:val="00860868"/>
    <w:rsid w:val="00867164"/>
    <w:rsid w:val="00885C4E"/>
    <w:rsid w:val="008864A9"/>
    <w:rsid w:val="008A4C78"/>
    <w:rsid w:val="008B0B05"/>
    <w:rsid w:val="008B0D7F"/>
    <w:rsid w:val="008B4595"/>
    <w:rsid w:val="008B7B58"/>
    <w:rsid w:val="008B7DD6"/>
    <w:rsid w:val="00906110"/>
    <w:rsid w:val="0092735A"/>
    <w:rsid w:val="009313D0"/>
    <w:rsid w:val="0093273D"/>
    <w:rsid w:val="00933B0A"/>
    <w:rsid w:val="00935855"/>
    <w:rsid w:val="00993AEF"/>
    <w:rsid w:val="009A0E3B"/>
    <w:rsid w:val="009B1B3E"/>
    <w:rsid w:val="009B32C9"/>
    <w:rsid w:val="009D3E46"/>
    <w:rsid w:val="009E4BDB"/>
    <w:rsid w:val="009E5390"/>
    <w:rsid w:val="00A31E95"/>
    <w:rsid w:val="00A34C23"/>
    <w:rsid w:val="00A4286E"/>
    <w:rsid w:val="00A66A37"/>
    <w:rsid w:val="00A71A8D"/>
    <w:rsid w:val="00A75144"/>
    <w:rsid w:val="00A910E0"/>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BB0517"/>
    <w:rsid w:val="00BE0251"/>
    <w:rsid w:val="00BF2F1D"/>
    <w:rsid w:val="00C10F74"/>
    <w:rsid w:val="00C241F7"/>
    <w:rsid w:val="00C250FE"/>
    <w:rsid w:val="00C35D3E"/>
    <w:rsid w:val="00C41EE9"/>
    <w:rsid w:val="00C65E63"/>
    <w:rsid w:val="00C8030F"/>
    <w:rsid w:val="00C86646"/>
    <w:rsid w:val="00C96315"/>
    <w:rsid w:val="00CB78A9"/>
    <w:rsid w:val="00CC7DFB"/>
    <w:rsid w:val="00CD4877"/>
    <w:rsid w:val="00CD7414"/>
    <w:rsid w:val="00CE15CD"/>
    <w:rsid w:val="00D22BD0"/>
    <w:rsid w:val="00D26AE8"/>
    <w:rsid w:val="00D403F0"/>
    <w:rsid w:val="00D473EB"/>
    <w:rsid w:val="00D5185A"/>
    <w:rsid w:val="00D52A2C"/>
    <w:rsid w:val="00D5668F"/>
    <w:rsid w:val="00D6343E"/>
    <w:rsid w:val="00D637CB"/>
    <w:rsid w:val="00D659A0"/>
    <w:rsid w:val="00D73F9D"/>
    <w:rsid w:val="00D76D12"/>
    <w:rsid w:val="00DA538A"/>
    <w:rsid w:val="00DA6988"/>
    <w:rsid w:val="00DE5470"/>
    <w:rsid w:val="00E160BA"/>
    <w:rsid w:val="00E20794"/>
    <w:rsid w:val="00E21F1F"/>
    <w:rsid w:val="00E32B40"/>
    <w:rsid w:val="00E80700"/>
    <w:rsid w:val="00EB5048"/>
    <w:rsid w:val="00EB79C6"/>
    <w:rsid w:val="00F12FC7"/>
    <w:rsid w:val="00F224F0"/>
    <w:rsid w:val="00F24390"/>
    <w:rsid w:val="00F334A6"/>
    <w:rsid w:val="00F54DBB"/>
    <w:rsid w:val="00F627F5"/>
    <w:rsid w:val="00F65986"/>
    <w:rsid w:val="00F71B6D"/>
    <w:rsid w:val="00F7608C"/>
    <w:rsid w:val="00F95D93"/>
    <w:rsid w:val="00FA25F6"/>
    <w:rsid w:val="00FB65F8"/>
    <w:rsid w:val="00FC1266"/>
    <w:rsid w:val="00FC48D2"/>
    <w:rsid w:val="00FD600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18581"/>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 w:type="character" w:customStyle="1" w:styleId="cite">
    <w:name w:val="cite"/>
    <w:basedOn w:val="Fuentedeprrafopredeter"/>
    <w:rsid w:val="00C35D3E"/>
  </w:style>
  <w:style w:type="character" w:customStyle="1" w:styleId="cite-id">
    <w:name w:val="cite-id"/>
    <w:basedOn w:val="Fuentedeprrafopredeter"/>
    <w:rsid w:val="00C35D3E"/>
  </w:style>
  <w:style w:type="character" w:customStyle="1" w:styleId="anchor-text">
    <w:name w:val="anchor-text"/>
    <w:basedOn w:val="Fuentedeprrafopredeter"/>
    <w:rsid w:val="007C0D36"/>
  </w:style>
  <w:style w:type="character" w:customStyle="1" w:styleId="given-name">
    <w:name w:val="given-name"/>
    <w:basedOn w:val="Fuentedeprrafopredeter"/>
    <w:rsid w:val="007C0D36"/>
  </w:style>
  <w:style w:type="character" w:customStyle="1" w:styleId="text">
    <w:name w:val="text"/>
    <w:basedOn w:val="Fuentedeprrafopredeter"/>
    <w:rsid w:val="007C0D36"/>
  </w:style>
  <w:style w:type="character" w:styleId="Refdecomentario">
    <w:name w:val="annotation reference"/>
    <w:basedOn w:val="Fuentedeprrafopredeter"/>
    <w:uiPriority w:val="99"/>
    <w:semiHidden/>
    <w:unhideWhenUsed/>
    <w:rsid w:val="007C0D36"/>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8755374">
      <w:bodyDiv w:val="1"/>
      <w:marLeft w:val="0"/>
      <w:marRight w:val="0"/>
      <w:marTop w:val="0"/>
      <w:marBottom w:val="0"/>
      <w:divBdr>
        <w:top w:val="none" w:sz="0" w:space="0" w:color="auto"/>
        <w:left w:val="none" w:sz="0" w:space="0" w:color="auto"/>
        <w:bottom w:val="none" w:sz="0" w:space="0" w:color="auto"/>
        <w:right w:val="none" w:sz="0" w:space="0" w:color="auto"/>
      </w:divBdr>
    </w:div>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330328746">
      <w:bodyDiv w:val="1"/>
      <w:marLeft w:val="0"/>
      <w:marRight w:val="0"/>
      <w:marTop w:val="0"/>
      <w:marBottom w:val="0"/>
      <w:divBdr>
        <w:top w:val="none" w:sz="0" w:space="0" w:color="auto"/>
        <w:left w:val="none" w:sz="0" w:space="0" w:color="auto"/>
        <w:bottom w:val="none" w:sz="0" w:space="0" w:color="auto"/>
        <w:right w:val="none" w:sz="0" w:space="0" w:color="auto"/>
      </w:divBdr>
      <w:divsChild>
        <w:div w:id="160317084">
          <w:marLeft w:val="0"/>
          <w:marRight w:val="0"/>
          <w:marTop w:val="0"/>
          <w:marBottom w:val="0"/>
          <w:divBdr>
            <w:top w:val="none" w:sz="0" w:space="0" w:color="auto"/>
            <w:left w:val="none" w:sz="0" w:space="0" w:color="auto"/>
            <w:bottom w:val="none" w:sz="0" w:space="0" w:color="auto"/>
            <w:right w:val="none" w:sz="0" w:space="0" w:color="auto"/>
          </w:divBdr>
          <w:divsChild>
            <w:div w:id="1369376087">
              <w:marLeft w:val="240"/>
              <w:marRight w:val="0"/>
              <w:marTop w:val="0"/>
              <w:marBottom w:val="0"/>
              <w:divBdr>
                <w:top w:val="none" w:sz="0" w:space="0" w:color="auto"/>
                <w:left w:val="none" w:sz="0" w:space="0" w:color="auto"/>
                <w:bottom w:val="none" w:sz="0" w:space="0" w:color="auto"/>
                <w:right w:val="none" w:sz="0" w:space="0" w:color="auto"/>
              </w:divBdr>
            </w:div>
            <w:div w:id="1906522917">
              <w:marLeft w:val="240"/>
              <w:marRight w:val="0"/>
              <w:marTop w:val="0"/>
              <w:marBottom w:val="0"/>
              <w:divBdr>
                <w:top w:val="none" w:sz="0" w:space="0" w:color="auto"/>
                <w:left w:val="none" w:sz="0" w:space="0" w:color="auto"/>
                <w:bottom w:val="none" w:sz="0" w:space="0" w:color="auto"/>
                <w:right w:val="none" w:sz="0" w:space="0" w:color="auto"/>
              </w:divBdr>
            </w:div>
            <w:div w:id="252981454">
              <w:marLeft w:val="240"/>
              <w:marRight w:val="0"/>
              <w:marTop w:val="0"/>
              <w:marBottom w:val="0"/>
              <w:divBdr>
                <w:top w:val="none" w:sz="0" w:space="0" w:color="auto"/>
                <w:left w:val="none" w:sz="0" w:space="0" w:color="auto"/>
                <w:bottom w:val="none" w:sz="0" w:space="0" w:color="auto"/>
                <w:right w:val="none" w:sz="0" w:space="0" w:color="auto"/>
              </w:divBdr>
            </w:div>
            <w:div w:id="1519419010">
              <w:marLeft w:val="240"/>
              <w:marRight w:val="0"/>
              <w:marTop w:val="0"/>
              <w:marBottom w:val="0"/>
              <w:divBdr>
                <w:top w:val="none" w:sz="0" w:space="0" w:color="auto"/>
                <w:left w:val="none" w:sz="0" w:space="0" w:color="auto"/>
                <w:bottom w:val="none" w:sz="0" w:space="0" w:color="auto"/>
                <w:right w:val="none" w:sz="0" w:space="0" w:color="auto"/>
              </w:divBdr>
            </w:div>
            <w:div w:id="1954289443">
              <w:marLeft w:val="240"/>
              <w:marRight w:val="0"/>
              <w:marTop w:val="0"/>
              <w:marBottom w:val="0"/>
              <w:divBdr>
                <w:top w:val="none" w:sz="0" w:space="0" w:color="auto"/>
                <w:left w:val="none" w:sz="0" w:space="0" w:color="auto"/>
                <w:bottom w:val="none" w:sz="0" w:space="0" w:color="auto"/>
                <w:right w:val="none" w:sz="0" w:space="0" w:color="auto"/>
              </w:divBdr>
            </w:div>
            <w:div w:id="630408186">
              <w:marLeft w:val="240"/>
              <w:marRight w:val="0"/>
              <w:marTop w:val="0"/>
              <w:marBottom w:val="0"/>
              <w:divBdr>
                <w:top w:val="none" w:sz="0" w:space="0" w:color="auto"/>
                <w:left w:val="none" w:sz="0" w:space="0" w:color="auto"/>
                <w:bottom w:val="none" w:sz="0" w:space="0" w:color="auto"/>
                <w:right w:val="none" w:sz="0" w:space="0" w:color="auto"/>
              </w:divBdr>
            </w:div>
            <w:div w:id="1647125094">
              <w:marLeft w:val="240"/>
              <w:marRight w:val="0"/>
              <w:marTop w:val="0"/>
              <w:marBottom w:val="0"/>
              <w:divBdr>
                <w:top w:val="none" w:sz="0" w:space="0" w:color="auto"/>
                <w:left w:val="none" w:sz="0" w:space="0" w:color="auto"/>
                <w:bottom w:val="none" w:sz="0" w:space="0" w:color="auto"/>
                <w:right w:val="none" w:sz="0" w:space="0" w:color="auto"/>
              </w:divBdr>
            </w:div>
            <w:div w:id="787310628">
              <w:marLeft w:val="240"/>
              <w:marRight w:val="0"/>
              <w:marTop w:val="0"/>
              <w:marBottom w:val="0"/>
              <w:divBdr>
                <w:top w:val="none" w:sz="0" w:space="0" w:color="auto"/>
                <w:left w:val="none" w:sz="0" w:space="0" w:color="auto"/>
                <w:bottom w:val="none" w:sz="0" w:space="0" w:color="auto"/>
                <w:right w:val="none" w:sz="0" w:space="0" w:color="auto"/>
              </w:divBdr>
            </w:div>
            <w:div w:id="1516532891">
              <w:marLeft w:val="240"/>
              <w:marRight w:val="0"/>
              <w:marTop w:val="0"/>
              <w:marBottom w:val="0"/>
              <w:divBdr>
                <w:top w:val="none" w:sz="0" w:space="0" w:color="auto"/>
                <w:left w:val="none" w:sz="0" w:space="0" w:color="auto"/>
                <w:bottom w:val="none" w:sz="0" w:space="0" w:color="auto"/>
                <w:right w:val="none" w:sz="0" w:space="0" w:color="auto"/>
              </w:divBdr>
            </w:div>
            <w:div w:id="4612724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363942712">
      <w:bodyDiv w:val="1"/>
      <w:marLeft w:val="0"/>
      <w:marRight w:val="0"/>
      <w:marTop w:val="0"/>
      <w:marBottom w:val="0"/>
      <w:divBdr>
        <w:top w:val="none" w:sz="0" w:space="0" w:color="auto"/>
        <w:left w:val="none" w:sz="0" w:space="0" w:color="auto"/>
        <w:bottom w:val="none" w:sz="0" w:space="0" w:color="auto"/>
        <w:right w:val="none" w:sz="0" w:space="0" w:color="auto"/>
      </w:divBdr>
      <w:divsChild>
        <w:div w:id="216086422">
          <w:marLeft w:val="0"/>
          <w:marRight w:val="0"/>
          <w:marTop w:val="0"/>
          <w:marBottom w:val="0"/>
          <w:divBdr>
            <w:top w:val="none" w:sz="0" w:space="0" w:color="auto"/>
            <w:left w:val="none" w:sz="0" w:space="0" w:color="auto"/>
            <w:bottom w:val="none" w:sz="0" w:space="0" w:color="auto"/>
            <w:right w:val="none" w:sz="0" w:space="0" w:color="auto"/>
          </w:divBdr>
          <w:divsChild>
            <w:div w:id="36007418">
              <w:marLeft w:val="240"/>
              <w:marRight w:val="0"/>
              <w:marTop w:val="0"/>
              <w:marBottom w:val="0"/>
              <w:divBdr>
                <w:top w:val="none" w:sz="0" w:space="0" w:color="auto"/>
                <w:left w:val="none" w:sz="0" w:space="0" w:color="auto"/>
                <w:bottom w:val="none" w:sz="0" w:space="0" w:color="auto"/>
                <w:right w:val="none" w:sz="0" w:space="0" w:color="auto"/>
              </w:divBdr>
            </w:div>
            <w:div w:id="1076052199">
              <w:marLeft w:val="240"/>
              <w:marRight w:val="0"/>
              <w:marTop w:val="0"/>
              <w:marBottom w:val="0"/>
              <w:divBdr>
                <w:top w:val="none" w:sz="0" w:space="0" w:color="auto"/>
                <w:left w:val="none" w:sz="0" w:space="0" w:color="auto"/>
                <w:bottom w:val="none" w:sz="0" w:space="0" w:color="auto"/>
                <w:right w:val="none" w:sz="0" w:space="0" w:color="auto"/>
              </w:divBdr>
            </w:div>
            <w:div w:id="1867787475">
              <w:marLeft w:val="240"/>
              <w:marRight w:val="0"/>
              <w:marTop w:val="0"/>
              <w:marBottom w:val="0"/>
              <w:divBdr>
                <w:top w:val="none" w:sz="0" w:space="0" w:color="auto"/>
                <w:left w:val="none" w:sz="0" w:space="0" w:color="auto"/>
                <w:bottom w:val="none" w:sz="0" w:space="0" w:color="auto"/>
                <w:right w:val="none" w:sz="0" w:space="0" w:color="auto"/>
              </w:divBdr>
            </w:div>
            <w:div w:id="857892199">
              <w:marLeft w:val="240"/>
              <w:marRight w:val="0"/>
              <w:marTop w:val="0"/>
              <w:marBottom w:val="0"/>
              <w:divBdr>
                <w:top w:val="none" w:sz="0" w:space="0" w:color="auto"/>
                <w:left w:val="none" w:sz="0" w:space="0" w:color="auto"/>
                <w:bottom w:val="none" w:sz="0" w:space="0" w:color="auto"/>
                <w:right w:val="none" w:sz="0" w:space="0" w:color="auto"/>
              </w:divBdr>
            </w:div>
            <w:div w:id="1244293061">
              <w:marLeft w:val="240"/>
              <w:marRight w:val="0"/>
              <w:marTop w:val="0"/>
              <w:marBottom w:val="0"/>
              <w:divBdr>
                <w:top w:val="none" w:sz="0" w:space="0" w:color="auto"/>
                <w:left w:val="none" w:sz="0" w:space="0" w:color="auto"/>
                <w:bottom w:val="none" w:sz="0" w:space="0" w:color="auto"/>
                <w:right w:val="none" w:sz="0" w:space="0" w:color="auto"/>
              </w:divBdr>
            </w:div>
            <w:div w:id="679503252">
              <w:marLeft w:val="240"/>
              <w:marRight w:val="0"/>
              <w:marTop w:val="0"/>
              <w:marBottom w:val="0"/>
              <w:divBdr>
                <w:top w:val="none" w:sz="0" w:space="0" w:color="auto"/>
                <w:left w:val="none" w:sz="0" w:space="0" w:color="auto"/>
                <w:bottom w:val="none" w:sz="0" w:space="0" w:color="auto"/>
                <w:right w:val="none" w:sz="0" w:space="0" w:color="auto"/>
              </w:divBdr>
            </w:div>
            <w:div w:id="26563649">
              <w:marLeft w:val="240"/>
              <w:marRight w:val="0"/>
              <w:marTop w:val="0"/>
              <w:marBottom w:val="0"/>
              <w:divBdr>
                <w:top w:val="none" w:sz="0" w:space="0" w:color="auto"/>
                <w:left w:val="none" w:sz="0" w:space="0" w:color="auto"/>
                <w:bottom w:val="none" w:sz="0" w:space="0" w:color="auto"/>
                <w:right w:val="none" w:sz="0" w:space="0" w:color="auto"/>
              </w:divBdr>
            </w:div>
            <w:div w:id="1696734454">
              <w:marLeft w:val="240"/>
              <w:marRight w:val="0"/>
              <w:marTop w:val="0"/>
              <w:marBottom w:val="0"/>
              <w:divBdr>
                <w:top w:val="none" w:sz="0" w:space="0" w:color="auto"/>
                <w:left w:val="none" w:sz="0" w:space="0" w:color="auto"/>
                <w:bottom w:val="none" w:sz="0" w:space="0" w:color="auto"/>
                <w:right w:val="none" w:sz="0" w:space="0" w:color="auto"/>
              </w:divBdr>
            </w:div>
            <w:div w:id="7108115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599795440">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944650628">
      <w:bodyDiv w:val="1"/>
      <w:marLeft w:val="0"/>
      <w:marRight w:val="0"/>
      <w:marTop w:val="0"/>
      <w:marBottom w:val="0"/>
      <w:divBdr>
        <w:top w:val="none" w:sz="0" w:space="0" w:color="auto"/>
        <w:left w:val="none" w:sz="0" w:space="0" w:color="auto"/>
        <w:bottom w:val="none" w:sz="0" w:space="0" w:color="auto"/>
        <w:right w:val="none" w:sz="0" w:space="0" w:color="auto"/>
      </w:divBdr>
    </w:div>
    <w:div w:id="1073624145">
      <w:bodyDiv w:val="1"/>
      <w:marLeft w:val="0"/>
      <w:marRight w:val="0"/>
      <w:marTop w:val="0"/>
      <w:marBottom w:val="0"/>
      <w:divBdr>
        <w:top w:val="none" w:sz="0" w:space="0" w:color="auto"/>
        <w:left w:val="none" w:sz="0" w:space="0" w:color="auto"/>
        <w:bottom w:val="none" w:sz="0" w:space="0" w:color="auto"/>
        <w:right w:val="none" w:sz="0" w:space="0" w:color="auto"/>
      </w:divBdr>
      <w:divsChild>
        <w:div w:id="2089418944">
          <w:marLeft w:val="0"/>
          <w:marRight w:val="0"/>
          <w:marTop w:val="0"/>
          <w:marBottom w:val="450"/>
          <w:divBdr>
            <w:top w:val="none" w:sz="0" w:space="0" w:color="auto"/>
            <w:left w:val="none" w:sz="0" w:space="0" w:color="auto"/>
            <w:bottom w:val="none" w:sz="0" w:space="0" w:color="auto"/>
            <w:right w:val="none" w:sz="0" w:space="0" w:color="auto"/>
          </w:divBdr>
        </w:div>
        <w:div w:id="285358613">
          <w:marLeft w:val="0"/>
          <w:marRight w:val="0"/>
          <w:marTop w:val="0"/>
          <w:marBottom w:val="450"/>
          <w:divBdr>
            <w:top w:val="none" w:sz="0" w:space="0" w:color="auto"/>
            <w:left w:val="none" w:sz="0" w:space="0" w:color="auto"/>
            <w:bottom w:val="none" w:sz="0" w:space="0" w:color="auto"/>
            <w:right w:val="none" w:sz="0" w:space="0" w:color="auto"/>
          </w:divBdr>
        </w:div>
        <w:div w:id="91174103">
          <w:marLeft w:val="0"/>
          <w:marRight w:val="0"/>
          <w:marTop w:val="0"/>
          <w:marBottom w:val="450"/>
          <w:divBdr>
            <w:top w:val="none" w:sz="0" w:space="0" w:color="auto"/>
            <w:left w:val="none" w:sz="0" w:space="0" w:color="auto"/>
            <w:bottom w:val="none" w:sz="0" w:space="0" w:color="auto"/>
            <w:right w:val="none" w:sz="0" w:space="0" w:color="auto"/>
          </w:divBdr>
        </w:div>
        <w:div w:id="1553495490">
          <w:marLeft w:val="0"/>
          <w:marRight w:val="0"/>
          <w:marTop w:val="0"/>
          <w:marBottom w:val="450"/>
          <w:divBdr>
            <w:top w:val="none" w:sz="0" w:space="0" w:color="auto"/>
            <w:left w:val="none" w:sz="0" w:space="0" w:color="auto"/>
            <w:bottom w:val="none" w:sz="0" w:space="0" w:color="auto"/>
            <w:right w:val="none" w:sz="0" w:space="0" w:color="auto"/>
          </w:divBdr>
        </w:div>
      </w:divsChild>
    </w:div>
    <w:div w:id="1182548676">
      <w:bodyDiv w:val="1"/>
      <w:marLeft w:val="0"/>
      <w:marRight w:val="0"/>
      <w:marTop w:val="0"/>
      <w:marBottom w:val="0"/>
      <w:divBdr>
        <w:top w:val="none" w:sz="0" w:space="0" w:color="auto"/>
        <w:left w:val="none" w:sz="0" w:space="0" w:color="auto"/>
        <w:bottom w:val="none" w:sz="0" w:space="0" w:color="auto"/>
        <w:right w:val="none" w:sz="0" w:space="0" w:color="auto"/>
      </w:divBdr>
    </w:div>
    <w:div w:id="1233664848">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38906563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1572040341">
      <w:bodyDiv w:val="1"/>
      <w:marLeft w:val="0"/>
      <w:marRight w:val="0"/>
      <w:marTop w:val="0"/>
      <w:marBottom w:val="0"/>
      <w:divBdr>
        <w:top w:val="none" w:sz="0" w:space="0" w:color="auto"/>
        <w:left w:val="none" w:sz="0" w:space="0" w:color="auto"/>
        <w:bottom w:val="none" w:sz="0" w:space="0" w:color="auto"/>
        <w:right w:val="none" w:sz="0" w:space="0" w:color="auto"/>
      </w:divBdr>
    </w:div>
    <w:div w:id="1615936969">
      <w:bodyDiv w:val="1"/>
      <w:marLeft w:val="0"/>
      <w:marRight w:val="0"/>
      <w:marTop w:val="0"/>
      <w:marBottom w:val="0"/>
      <w:divBdr>
        <w:top w:val="none" w:sz="0" w:space="0" w:color="auto"/>
        <w:left w:val="none" w:sz="0" w:space="0" w:color="auto"/>
        <w:bottom w:val="none" w:sz="0" w:space="0" w:color="auto"/>
        <w:right w:val="none" w:sz="0" w:space="0" w:color="auto"/>
      </w:divBdr>
    </w:div>
    <w:div w:id="1903052675">
      <w:bodyDiv w:val="1"/>
      <w:marLeft w:val="0"/>
      <w:marRight w:val="0"/>
      <w:marTop w:val="0"/>
      <w:marBottom w:val="0"/>
      <w:divBdr>
        <w:top w:val="none" w:sz="0" w:space="0" w:color="auto"/>
        <w:left w:val="none" w:sz="0" w:space="0" w:color="auto"/>
        <w:bottom w:val="none" w:sz="0" w:space="0" w:color="auto"/>
        <w:right w:val="none" w:sz="0" w:space="0" w:color="auto"/>
      </w:divBdr>
    </w:div>
    <w:div w:id="2043433256">
      <w:bodyDiv w:val="1"/>
      <w:marLeft w:val="0"/>
      <w:marRight w:val="0"/>
      <w:marTop w:val="0"/>
      <w:marBottom w:val="0"/>
      <w:divBdr>
        <w:top w:val="none" w:sz="0" w:space="0" w:color="auto"/>
        <w:left w:val="none" w:sz="0" w:space="0" w:color="auto"/>
        <w:bottom w:val="none" w:sz="0" w:space="0" w:color="auto"/>
        <w:right w:val="none" w:sz="0" w:space="0" w:color="auto"/>
      </w:divBdr>
    </w:div>
    <w:div w:id="2082365367">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png"/><Relationship Id="rId42" Type="http://schemas.openxmlformats.org/officeDocument/2006/relationships/hyperlink" Target="https://doi.org/10.1016/j.biombioe.2020.105581" TargetMode="External"/><Relationship Id="rId47" Type="http://schemas.openxmlformats.org/officeDocument/2006/relationships/image" Target="media/image23.png"/><Relationship Id="rId63" Type="http://schemas.openxmlformats.org/officeDocument/2006/relationships/hyperlink" Target="https://doi.org/10.18041/1909-2458/ingeniare.31.8934" TargetMode="External"/><Relationship Id="rId68"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19136/era.a11n1.3840" TargetMode="External"/><Relationship Id="rId29" Type="http://schemas.openxmlformats.org/officeDocument/2006/relationships/hyperlink" Target="https://doi.org/10.47847/faccea.v14n1a2" TargetMode="External"/><Relationship Id="rId11" Type="http://schemas.openxmlformats.org/officeDocument/2006/relationships/image" Target="media/image6.jpeg"/><Relationship Id="rId24" Type="http://schemas.openxmlformats.org/officeDocument/2006/relationships/image" Target="media/image15.jpeg"/><Relationship Id="rId32" Type="http://schemas.openxmlformats.org/officeDocument/2006/relationships/hyperlink" Target="https://doi.org/10.18041/1909-2458/ingeniare.31.8934" TargetMode="External"/><Relationship Id="rId37" Type="http://schemas.openxmlformats.org/officeDocument/2006/relationships/image" Target="media/image22.png"/><Relationship Id="rId40" Type="http://schemas.openxmlformats.org/officeDocument/2006/relationships/hyperlink" Target="https://doi.org/10.1016/j.jclepro.2017.10.063" TargetMode="External"/><Relationship Id="rId45" Type="http://schemas.openxmlformats.org/officeDocument/2006/relationships/hyperlink" Target="https://doi.org/10.1007/s13762-019-02539-5" TargetMode="External"/><Relationship Id="rId53" Type="http://schemas.openxmlformats.org/officeDocument/2006/relationships/hyperlink" Target="https://doi.org/10.20983/noesis.2024.2.2" TargetMode="External"/><Relationship Id="rId58" Type="http://schemas.openxmlformats.org/officeDocument/2006/relationships/hyperlink" Target="https://doi.org/10.1504/ijbbm.2024.145184" TargetMode="External"/><Relationship Id="rId66" Type="http://schemas.openxmlformats.org/officeDocument/2006/relationships/hyperlink" Target="https://github.com/Adriancanova/Ecoeficiencia-combinado-con-LCA-y-DEA" TargetMode="External"/><Relationship Id="rId5" Type="http://schemas.openxmlformats.org/officeDocument/2006/relationships/webSettings" Target="webSettings.xml"/><Relationship Id="rId61" Type="http://schemas.openxmlformats.org/officeDocument/2006/relationships/hyperlink" Target="https://doi.org/10.35588/RIVAR.V11I33.6257" TargetMode="External"/><Relationship Id="rId19" Type="http://schemas.openxmlformats.org/officeDocument/2006/relationships/image" Target="media/image10.pn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29312/remexca.v10i6.2057" TargetMode="External"/><Relationship Id="rId35" Type="http://schemas.openxmlformats.org/officeDocument/2006/relationships/image" Target="media/image20.png"/><Relationship Id="rId43" Type="http://schemas.openxmlformats.org/officeDocument/2006/relationships/hyperlink" Target="https://doi.org/10.1016/j.jclepro.2016.06.071" TargetMode="External"/><Relationship Id="rId48" Type="http://schemas.openxmlformats.org/officeDocument/2006/relationships/image" Target="media/image24.png"/><Relationship Id="rId56" Type="http://schemas.openxmlformats.org/officeDocument/2006/relationships/hyperlink" Target="https://doi.org/10.1177/09763996221082199" TargetMode="External"/><Relationship Id="rId64" Type="http://schemas.openxmlformats.org/officeDocument/2006/relationships/hyperlink" Target="https://doi.org/10.18041/1909-2458/ingeniare.31.8934" TargetMode="External"/><Relationship Id="rId69"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doi.org/10.1007/s11123-006-0025-3"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www.ico.org/documents/cy2017-18/cmr-1117-c.pdf" TargetMode="External"/><Relationship Id="rId25" Type="http://schemas.openxmlformats.org/officeDocument/2006/relationships/image" Target="media/image16.jpeg"/><Relationship Id="rId33" Type="http://schemas.openxmlformats.org/officeDocument/2006/relationships/hyperlink" Target="https://doi.org/10.22201/cimsur.18704115e.2021.v16.510" TargetMode="External"/><Relationship Id="rId38" Type="http://schemas.openxmlformats.org/officeDocument/2006/relationships/hyperlink" Target="https://doi.org/10.1016/j.compag.2018.05.037" TargetMode="External"/><Relationship Id="rId46" Type="http://schemas.openxmlformats.org/officeDocument/2006/relationships/hyperlink" Target="https://doi.org/10.1016/j.jclepro.2021.127609" TargetMode="External"/><Relationship Id="rId59" Type="http://schemas.openxmlformats.org/officeDocument/2006/relationships/hyperlink" Target="https://doi.org/10.1016/0377-2217(78)90138-8" TargetMode="External"/><Relationship Id="rId67" Type="http://schemas.openxmlformats.org/officeDocument/2006/relationships/hyperlink" Target="https://ecoeficiencia-en-cafe.netlify.app/" TargetMode="External"/><Relationship Id="rId20" Type="http://schemas.openxmlformats.org/officeDocument/2006/relationships/image" Target="media/image11.png"/><Relationship Id="rId41" Type="http://schemas.openxmlformats.org/officeDocument/2006/relationships/hyperlink" Target="https://doi.org/10.1065/lca2006.02.002" TargetMode="External"/><Relationship Id="rId54" Type="http://schemas.openxmlformats.org/officeDocument/2006/relationships/hyperlink" Target="https://doi.org/10.1016/j.jmse.2020.10.001" TargetMode="External"/><Relationship Id="rId62" Type="http://schemas.openxmlformats.org/officeDocument/2006/relationships/hyperlink" Target="https://doi.org/10.1016/b978-0-08-102414-0.00001-x"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35196/rfm.2021.4.643" TargetMode="External"/><Relationship Id="rId23" Type="http://schemas.openxmlformats.org/officeDocument/2006/relationships/image" Target="media/image14.jpeg"/><Relationship Id="rId28" Type="http://schemas.openxmlformats.org/officeDocument/2006/relationships/hyperlink" Target="https://doi.org/10.22136/est002010145" TargetMode="External"/><Relationship Id="rId36" Type="http://schemas.openxmlformats.org/officeDocument/2006/relationships/image" Target="media/image21.png"/><Relationship Id="rId49" Type="http://schemas.openxmlformats.org/officeDocument/2006/relationships/image" Target="media/image25.png"/><Relationship Id="rId57" Type="http://schemas.openxmlformats.org/officeDocument/2006/relationships/hyperlink" Target="https://doi.org/10.1016/j.worlddev.2017.03.020" TargetMode="External"/><Relationship Id="rId10" Type="http://schemas.openxmlformats.org/officeDocument/2006/relationships/image" Target="media/image5.jpeg"/><Relationship Id="rId31" Type="http://schemas.openxmlformats.org/officeDocument/2006/relationships/hyperlink" Target="https://doi.org/10.19136/era.a11n1.3840" TargetMode="External"/><Relationship Id="rId44" Type="http://schemas.openxmlformats.org/officeDocument/2006/relationships/hyperlink" Target="https://doi.org/10.3390/resources6020017" TargetMode="External"/><Relationship Id="rId52" Type="http://schemas.openxmlformats.org/officeDocument/2006/relationships/hyperlink" Target="https://doi.org/10.1016/j.compag.2018.05.037" TargetMode="External"/><Relationship Id="rId60" Type="http://schemas.openxmlformats.org/officeDocument/2006/relationships/hyperlink" Target="https://doi.org/10.38141/10795/71109" TargetMode="External"/><Relationship Id="rId65" Type="http://schemas.openxmlformats.org/officeDocument/2006/relationships/hyperlink" Target="https://doi.org/10.1016/j.scitotenv.2023.165761"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hyperlink" Target="https://www.gob.mx/agricultura" TargetMode="External"/><Relationship Id="rId18" Type="http://schemas.openxmlformats.org/officeDocument/2006/relationships/image" Target="media/image9.png"/><Relationship Id="rId39" Type="http://schemas.openxmlformats.org/officeDocument/2006/relationships/hyperlink" Target="https://doi.org/10.1016/0377-2217(78)90138-8" TargetMode="External"/><Relationship Id="rId34" Type="http://schemas.openxmlformats.org/officeDocument/2006/relationships/image" Target="media/image19.png"/><Relationship Id="rId50" Type="http://schemas.openxmlformats.org/officeDocument/2006/relationships/image" Target="media/image26.png"/><Relationship Id="rId55" Type="http://schemas.openxmlformats.org/officeDocument/2006/relationships/hyperlink" Target="http://dx.doi.org/10.18235/000429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E18C12-4953-4019-88CE-6B588B7B9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1237</TotalTime>
  <Pages>34</Pages>
  <Words>9571</Words>
  <Characters>52641</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220</cp:revision>
  <dcterms:created xsi:type="dcterms:W3CDTF">2025-03-28T16:07:00Z</dcterms:created>
  <dcterms:modified xsi:type="dcterms:W3CDTF">2025-06-06T17:28:00Z</dcterms:modified>
</cp:coreProperties>
</file>