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0E7574"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E80700">
      <w:pPr>
        <w:numPr>
          <w:ilvl w:val="2"/>
          <w:numId w:val="1"/>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Ecoeficiencia</w:t>
      </w:r>
      <w:r w:rsidRPr="000E7574">
        <w:rPr>
          <w:rFonts w:ascii="Times New Roman" w:eastAsia="Times New Roman" w:hAnsi="Times New Roman" w:cs="Times New Roman"/>
          <w:noProof w:val="0"/>
          <w:color w:val="000000" w:themeColor="text1"/>
          <w:sz w:val="24"/>
          <w:szCs w:val="24"/>
          <w:lang w:val="es-MX" w:eastAsia="es-MX"/>
        </w:rPr>
        <w:t xml:space="preserve"> (pestaña principal)</w:t>
      </w:r>
    </w:p>
    <w:p w:rsidR="003435B4" w:rsidRPr="000E7574" w:rsidRDefault="003435B4" w:rsidP="003435B4">
      <w:pPr>
        <w:numPr>
          <w:ilvl w:val="3"/>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Análisis del Ciclo de Vida (LCA)</w:t>
      </w:r>
    </w:p>
    <w:p w:rsidR="003435B4" w:rsidRPr="000E7574" w:rsidRDefault="003435B4" w:rsidP="003435B4">
      <w:pPr>
        <w:numPr>
          <w:ilvl w:val="3"/>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Análisis Envolvente de Datos (DEA)</w:t>
      </w:r>
    </w:p>
    <w:p w:rsidR="003435B4" w:rsidRPr="000E7574" w:rsidRDefault="003435B4"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Ventanas Secundarias</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Para cada subventana (LCA y DEA),</w:t>
      </w:r>
      <w:r w:rsidR="003A2EB9" w:rsidRPr="000E7574">
        <w:rPr>
          <w:rFonts w:ascii="Times New Roman" w:eastAsia="Times New Roman" w:hAnsi="Times New Roman" w:cs="Times New Roman"/>
          <w:noProof w:val="0"/>
          <w:color w:val="000000" w:themeColor="text1"/>
          <w:sz w:val="24"/>
          <w:szCs w:val="24"/>
          <w:lang w:val="es-MX" w:eastAsia="es-MX"/>
        </w:rPr>
        <w:t xml:space="preserve"> se</w:t>
      </w:r>
      <w:r w:rsidRPr="000E7574">
        <w:rPr>
          <w:rFonts w:ascii="Times New Roman" w:eastAsia="Times New Roman" w:hAnsi="Times New Roman" w:cs="Times New Roman"/>
          <w:noProof w:val="0"/>
          <w:color w:val="000000" w:themeColor="text1"/>
          <w:sz w:val="24"/>
          <w:szCs w:val="24"/>
          <w:lang w:val="es-MX" w:eastAsia="es-MX"/>
        </w:rPr>
        <w:t xml:space="preserve"> incluirá:</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Concepto</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Características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Metodologías comunes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Tendencias de trabajo</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Limitaciones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Principales resultados en el mundo, América Latina y México</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840F76"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270354">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Revista Facultad de Ciencias Contables Económicas y Administrativas -FACCEA 14 (1): 24–43. </w:t>
      </w:r>
      <w:hyperlink r:id="rId19" w:history="1">
        <w:r w:rsidRPr="00E96BD5">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CB78A9" w:rsidRDefault="00CB78A9"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CB78A9">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Economía Sociedad y Territorio, May. </w:t>
      </w:r>
      <w:hyperlink r:id="rId21" w:history="1">
        <w:r w:rsidRPr="00E96BD5">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3969DF">
        <w:rPr>
          <w:rFonts w:ascii="Times New Roman" w:hAnsi="Times New Roman" w:cs="Times New Roman"/>
          <w:bCs/>
          <w:color w:val="000000" w:themeColor="text1"/>
          <w:sz w:val="24"/>
          <w:szCs w:val="24"/>
          <w:lang w:val="es-MX" w:eastAsia="es-MX"/>
        </w:rPr>
        <w:t xml:space="preserve"> </w:t>
      </w: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lastRenderedPageBreak/>
        <w:t>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8B7B58" w:rsidRPr="000E7574" w:rsidRDefault="008B7B58"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8B7B58">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Revista Mexicana de Ciencias Agrícolas 10 (6): 1195–1206. </w:t>
      </w:r>
      <w:hyperlink r:id="rId24" w:history="1">
        <w:r w:rsidRPr="00E96BD5">
          <w:rPr>
            <w:rStyle w:val="Hipervnculo"/>
            <w:rFonts w:ascii="Times New Roman" w:hAnsi="Times New Roman" w:cs="Times New Roman"/>
            <w:bCs/>
            <w:sz w:val="24"/>
            <w:szCs w:val="24"/>
            <w:lang w:val="es-MX"/>
          </w:rPr>
          <w:t>https://doi.org/10.29312/remexca.v10i6.2057</w:t>
        </w:r>
      </w:hyperlink>
      <w:r w:rsidRPr="008B7B58">
        <w:rPr>
          <w:rFonts w:ascii="Times New Roman" w:hAnsi="Times New Roman" w:cs="Times New Roman"/>
          <w:bCs/>
          <w:color w:val="000000" w:themeColor="text1"/>
          <w:sz w:val="24"/>
          <w:szCs w:val="24"/>
          <w:lang w:val="es-MX"/>
        </w:rPr>
        <w:t>.</w:t>
      </w:r>
      <w:r>
        <w:rPr>
          <w:rFonts w:ascii="Times New Roman" w:hAnsi="Times New Roman" w:cs="Times New Roman"/>
          <w:bCs/>
          <w:color w:val="000000" w:themeColor="text1"/>
          <w:sz w:val="24"/>
          <w:szCs w:val="24"/>
          <w:lang w:val="es-MX"/>
        </w:rPr>
        <w:t xml:space="preserve"> </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5"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t xml:space="preserve">Fuente: </w:t>
      </w:r>
      <w:r w:rsidRPr="000E7574">
        <w:rPr>
          <w:rFonts w:ascii="Times New Roman" w:hAnsi="Times New Roman" w:cs="Times New Roman"/>
          <w:color w:val="000000" w:themeColor="text1"/>
          <w:sz w:val="24"/>
          <w:szCs w:val="24"/>
          <w:lang w:val="es-ES"/>
        </w:rPr>
        <w:t xml:space="preserve">Higuera y Rivera (2018)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lastRenderedPageBreak/>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C86646" w:rsidRPr="000E7574" w:rsidRDefault="00C86646" w:rsidP="00933B0A">
      <w:pPr>
        <w:spacing w:before="100" w:beforeAutospacing="1" w:after="100" w:afterAutospacing="1"/>
        <w:rPr>
          <w:rFonts w:ascii="Times New Roman" w:hAnsi="Times New Roman" w:cs="Times New Roman"/>
          <w:color w:val="000000" w:themeColor="text1"/>
          <w:sz w:val="24"/>
          <w:szCs w:val="24"/>
        </w:rPr>
      </w:pPr>
      <w:r>
        <w:rPr>
          <w:rFonts w:ascii="Segoe UI" w:hAnsi="Segoe UI" w:cs="Segoe UI"/>
          <w:color w:val="343A40"/>
          <w:sz w:val="23"/>
          <w:szCs w:val="23"/>
          <w:shd w:val="clear" w:color="auto" w:fill="FFFFFF"/>
        </w:rPr>
        <w:t>Riaño Henao, Camilo Andrés, and Olga Lucía Larrea Serna. 2022. “Análisis Envolvente de Datos y Sus Aplicaciones En Sostenibilidad.” </w:t>
      </w:r>
      <w:r>
        <w:rPr>
          <w:rStyle w:val="nfasis"/>
          <w:rFonts w:ascii="Segoe UI" w:hAnsi="Segoe UI" w:cs="Segoe UI"/>
          <w:color w:val="343A40"/>
          <w:sz w:val="23"/>
          <w:szCs w:val="23"/>
          <w:shd w:val="clear" w:color="auto" w:fill="FFFFFF"/>
        </w:rPr>
        <w:t>Ingeniare</w:t>
      </w:r>
      <w:r>
        <w:rPr>
          <w:rFonts w:ascii="Segoe UI" w:hAnsi="Segoe UI" w:cs="Segoe UI"/>
          <w:color w:val="343A40"/>
          <w:sz w:val="23"/>
          <w:szCs w:val="23"/>
          <w:shd w:val="clear" w:color="auto" w:fill="FFFFFF"/>
        </w:rPr>
        <w:t>, no. 31 (July). </w:t>
      </w:r>
      <w:hyperlink r:id="rId27" w:history="1">
        <w:r>
          <w:rPr>
            <w:rStyle w:val="Hipervnculo"/>
            <w:rFonts w:ascii="Segoe UI" w:hAnsi="Segoe UI" w:cs="Segoe UI"/>
            <w:color w:val="1F4EB6"/>
            <w:sz w:val="23"/>
            <w:szCs w:val="23"/>
            <w:shd w:val="clear" w:color="auto" w:fill="FFFFFF"/>
          </w:rPr>
          <w:t>https://doi.org/10.18041/1909-2458/ingeniare.31.8934</w:t>
        </w:r>
      </w:hyperlink>
      <w:r>
        <w:rPr>
          <w:rFonts w:ascii="Segoe UI" w:hAnsi="Segoe UI" w:cs="Segoe UI"/>
          <w:color w:val="343A40"/>
          <w:sz w:val="23"/>
          <w:szCs w:val="23"/>
          <w:shd w:val="clear" w:color="auto" w:fill="FFFFFF"/>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w:t>
      </w:r>
      <w:r w:rsidRPr="000E7574">
        <w:rPr>
          <w:rFonts w:ascii="Times New Roman" w:eastAsia="Times New Roman" w:hAnsi="Times New Roman" w:cs="Times New Roman"/>
          <w:color w:val="000000" w:themeColor="text1"/>
          <w:sz w:val="24"/>
          <w:szCs w:val="24"/>
          <w:lang w:val="es-ES" w:eastAsia="es-MX"/>
        </w:rPr>
        <w:lastRenderedPageBreak/>
        <w:t xml:space="preserve">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(Ramírez et al., 2010).</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w:t>
      </w:r>
      <w:r w:rsidRPr="000E7574">
        <w:rPr>
          <w:rFonts w:ascii="Times New Roman" w:hAnsi="Times New Roman" w:cs="Times New Roman"/>
          <w:color w:val="000000" w:themeColor="text1"/>
          <w:sz w:val="24"/>
          <w:szCs w:val="24"/>
        </w:rPr>
        <w:lastRenderedPageBreak/>
        <w:t xml:space="preserve">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bookmarkStart w:id="0" w:name="_GoBack"/>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bookmarkEnd w:id="0"/>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lastRenderedPageBreak/>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3969DF" w:rsidRDefault="003969DF"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la cuna hasta la tumba (ISO 2006; Anielski y Wilson, 2010)</w:t>
      </w:r>
    </w:p>
    <w:p w:rsidR="003969DF" w:rsidRP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huella de carbono, consumo de agua, etc.).</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3810000" cy="2857500"/>
            <wp:effectExtent l="0" t="0" r="0"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p>
    <w:p w:rsidR="004B486C" w:rsidRPr="000E7574" w:rsidRDefault="004B486C" w:rsidP="003435B4">
      <w:pPr>
        <w:spacing w:after="0"/>
        <w:rPr>
          <w:rFonts w:ascii="Times New Roman" w:hAnsi="Times New Roman" w:cs="Times New Roman"/>
          <w:color w:val="000000" w:themeColor="text1"/>
          <w:sz w:val="24"/>
          <w:szCs w:val="24"/>
        </w:rPr>
      </w:pPr>
    </w:p>
    <w:p w:rsidR="00F627F5" w:rsidRDefault="00F627F5">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36"/>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w:t>
      </w:r>
      <w:r w:rsidRPr="000E7574">
        <w:rPr>
          <w:rFonts w:ascii="Times New Roman" w:eastAsia="Times New Roman" w:hAnsi="Times New Roman" w:cs="Times New Roman"/>
          <w:color w:val="000000" w:themeColor="text1"/>
          <w:sz w:val="24"/>
          <w:szCs w:val="24"/>
          <w:lang w:eastAsia="es-MX"/>
        </w:rPr>
        <w:lastRenderedPageBreak/>
        <w:t xml:space="preserve">una función de producción. El DEA es una metodología de optimización diseñada para medir la eficiencia relativa de las unidades organizacionales (DMU's, por sus siglas en inglés de Decision Making Units, o Unidades de Toma de Decisión). </w:t>
      </w:r>
    </w:p>
    <w:p w:rsidR="008864A9" w:rsidRPr="000E7574" w:rsidRDefault="006420A1" w:rsidP="006420A1">
      <w:pPr>
        <w:spacing w:before="100" w:beforeAutospacing="1" w:after="100" w:afterAutospacing="1"/>
        <w:rPr>
          <w:rFonts w:ascii="Times New Roman" w:hAnsi="Times New Roman" w:cs="Times New Roman"/>
          <w:color w:val="000000" w:themeColor="text1"/>
          <w:sz w:val="24"/>
          <w:szCs w:val="24"/>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37"/>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38"/>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lastRenderedPageBreak/>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39"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Pr="000E7574" w:rsidRDefault="00152DBF">
      <w:pP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shd w:val="clear" w:color="auto" w:fill="F9F9F9"/>
        </w:rPr>
        <w:t xml:space="preserve">URL del blog: </w:t>
      </w:r>
      <w:hyperlink r:id="rId40"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sectPr w:rsidR="00152DBF"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9"/>
  </w:num>
  <w:num w:numId="3">
    <w:abstractNumId w:val="20"/>
  </w:num>
  <w:num w:numId="4">
    <w:abstractNumId w:val="6"/>
  </w:num>
  <w:num w:numId="5">
    <w:abstractNumId w:val="13"/>
  </w:num>
  <w:num w:numId="6">
    <w:abstractNumId w:val="7"/>
  </w:num>
  <w:num w:numId="7">
    <w:abstractNumId w:val="5"/>
  </w:num>
  <w:num w:numId="8">
    <w:abstractNumId w:val="4"/>
  </w:num>
  <w:num w:numId="9">
    <w:abstractNumId w:val="16"/>
  </w:num>
  <w:num w:numId="10">
    <w:abstractNumId w:val="2"/>
  </w:num>
  <w:num w:numId="11">
    <w:abstractNumId w:val="8"/>
  </w:num>
  <w:num w:numId="12">
    <w:abstractNumId w:val="11"/>
  </w:num>
  <w:num w:numId="13">
    <w:abstractNumId w:val="12"/>
  </w:num>
  <w:num w:numId="14">
    <w:abstractNumId w:val="15"/>
  </w:num>
  <w:num w:numId="15">
    <w:abstractNumId w:val="0"/>
  </w:num>
  <w:num w:numId="16">
    <w:abstractNumId w:val="1"/>
  </w:num>
  <w:num w:numId="17">
    <w:abstractNumId w:val="17"/>
  </w:num>
  <w:num w:numId="18">
    <w:abstractNumId w:val="3"/>
  </w:num>
  <w:num w:numId="19">
    <w:abstractNumId w:val="9"/>
  </w:num>
  <w:num w:numId="20">
    <w:abstractNumId w:val="10"/>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8768A"/>
    <w:rsid w:val="003969DF"/>
    <w:rsid w:val="003A2EB9"/>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5009F9"/>
    <w:rsid w:val="005051E8"/>
    <w:rsid w:val="0050657C"/>
    <w:rsid w:val="00514F37"/>
    <w:rsid w:val="005155F9"/>
    <w:rsid w:val="00526C0E"/>
    <w:rsid w:val="00592B67"/>
    <w:rsid w:val="005A68B6"/>
    <w:rsid w:val="005D22B0"/>
    <w:rsid w:val="005D4451"/>
    <w:rsid w:val="0061333A"/>
    <w:rsid w:val="00640276"/>
    <w:rsid w:val="006420A1"/>
    <w:rsid w:val="006A2A24"/>
    <w:rsid w:val="006B29A1"/>
    <w:rsid w:val="006C2592"/>
    <w:rsid w:val="006E101C"/>
    <w:rsid w:val="00700651"/>
    <w:rsid w:val="00714A9E"/>
    <w:rsid w:val="00736A2C"/>
    <w:rsid w:val="00784FFE"/>
    <w:rsid w:val="007E1AD0"/>
    <w:rsid w:val="007E4136"/>
    <w:rsid w:val="007F199B"/>
    <w:rsid w:val="00803ACF"/>
    <w:rsid w:val="00830583"/>
    <w:rsid w:val="00840F76"/>
    <w:rsid w:val="008507DF"/>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A0E3B"/>
    <w:rsid w:val="009B1B3E"/>
    <w:rsid w:val="009D3E46"/>
    <w:rsid w:val="009E4BDB"/>
    <w:rsid w:val="00A4286E"/>
    <w:rsid w:val="00A66A37"/>
    <w:rsid w:val="00A71A8D"/>
    <w:rsid w:val="00A75144"/>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C241F7"/>
    <w:rsid w:val="00C250FE"/>
    <w:rsid w:val="00C41EE9"/>
    <w:rsid w:val="00C65E63"/>
    <w:rsid w:val="00C8030F"/>
    <w:rsid w:val="00C86646"/>
    <w:rsid w:val="00C96315"/>
    <w:rsid w:val="00CB78A9"/>
    <w:rsid w:val="00CC7DFB"/>
    <w:rsid w:val="00CD7414"/>
    <w:rsid w:val="00CE15CD"/>
    <w:rsid w:val="00D22BD0"/>
    <w:rsid w:val="00D26AE8"/>
    <w:rsid w:val="00D403F0"/>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E768C"/>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4.jpeg"/><Relationship Id="rId39" Type="http://schemas.openxmlformats.org/officeDocument/2006/relationships/hyperlink" Target="https://github.com/Adriancanova/Ecoeficiencia-combinado-con-LCA-y-DEA" TargetMode="External"/><Relationship Id="rId21" Type="http://schemas.openxmlformats.org/officeDocument/2006/relationships/hyperlink" Target="https://doi.org/10.22136/est002010145" TargetMode="External"/><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0" Type="http://schemas.openxmlformats.org/officeDocument/2006/relationships/image" Target="media/image10.png"/><Relationship Id="rId29" Type="http://schemas.openxmlformats.org/officeDocument/2006/relationships/image" Target="media/image16.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doi.org/10.29312/remexca.v10i6.2057" TargetMode="Externa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ecoeficiencia-en-cafe.netlify.app/" TargetMode="External"/><Relationship Id="rId5" Type="http://schemas.openxmlformats.org/officeDocument/2006/relationships/webSettings" Target="webSettings.xml"/><Relationship Id="rId15" Type="http://schemas.openxmlformats.org/officeDocument/2006/relationships/hyperlink" Target="https://doi.org/10.35196/rfm.2021.4.643" TargetMode="External"/><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23.png"/><Relationship Id="rId10" Type="http://schemas.openxmlformats.org/officeDocument/2006/relationships/image" Target="media/image5.jpeg"/><Relationship Id="rId19" Type="http://schemas.openxmlformats.org/officeDocument/2006/relationships/hyperlink" Target="https://doi.org/10.47847/faccea.v14n1a2"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1.png"/><Relationship Id="rId27" Type="http://schemas.openxmlformats.org/officeDocument/2006/relationships/hyperlink" Target="https://doi.org/10.18041/1909-2458/ingeniare.31.8934" TargetMode="External"/><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1EACA-262A-42A6-9D73-51C3C21BD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979</TotalTime>
  <Pages>23</Pages>
  <Words>4237</Words>
  <Characters>23309</Characters>
  <Application>Microsoft Office Word</Application>
  <DocSecurity>0</DocSecurity>
  <Lines>194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180</cp:revision>
  <dcterms:created xsi:type="dcterms:W3CDTF">2025-03-28T16:07:00Z</dcterms:created>
  <dcterms:modified xsi:type="dcterms:W3CDTF">2025-05-23T19:46:00Z</dcterms:modified>
</cp:coreProperties>
</file>