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3A5E55"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w:t>
      </w:r>
      <w:proofErr w:type="spellStart"/>
      <w:r w:rsidR="00732C89" w:rsidRPr="0028590A">
        <w:rPr>
          <w:rFonts w:ascii="Times New Roman" w:eastAsia="Times New Roman" w:hAnsi="Times New Roman" w:cs="Times New Roman"/>
          <w:bCs/>
          <w:noProof w:val="0"/>
          <w:sz w:val="24"/>
          <w:szCs w:val="24"/>
          <w:lang w:val="es-MX" w:eastAsia="es-MX"/>
        </w:rPr>
        <w:t>Garcia</w:t>
      </w:r>
      <w:proofErr w:type="spellEnd"/>
      <w:r w:rsidR="00732C89">
        <w:rPr>
          <w:rFonts w:ascii="Times New Roman" w:eastAsia="Times New Roman" w:hAnsi="Times New Roman" w:cs="Times New Roman"/>
          <w:bCs/>
          <w:noProof w:val="0"/>
          <w:sz w:val="24"/>
          <w:szCs w:val="24"/>
          <w:lang w:val="es-MX" w:eastAsia="es-MX"/>
        </w:rPr>
        <w:t xml:space="preserve"> et al.</w:t>
      </w:r>
      <w:r w:rsidRPr="00D473EB">
        <w:rPr>
          <w:rFonts w:ascii="Times New Roman" w:eastAsia="Times New Roman" w:hAnsi="Times New Roman" w:cs="Times New Roman"/>
          <w:color w:val="000000" w:themeColor="text1"/>
          <w:sz w:val="24"/>
          <w:szCs w:val="24"/>
          <w:lang w:eastAsia="es-MX"/>
        </w:rPr>
        <w:t>,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w:t>
      </w:r>
      <w:r w:rsidR="00732C89">
        <w:rPr>
          <w:rFonts w:ascii="Times New Roman" w:eastAsia="Times New Roman" w:hAnsi="Times New Roman" w:cs="Times New Roman"/>
          <w:color w:val="000000" w:themeColor="text1"/>
          <w:sz w:val="24"/>
          <w:szCs w:val="24"/>
          <w:lang w:eastAsia="es-MX"/>
        </w:rPr>
        <w:t xml:space="preserve">per </w:t>
      </w:r>
      <w:r w:rsidR="00732C89" w:rsidRPr="005A6CC8">
        <w:rPr>
          <w:rFonts w:ascii="Times New Roman" w:eastAsia="Times New Roman" w:hAnsi="Times New Roman" w:cs="Times New Roman"/>
          <w:bCs/>
          <w:noProof w:val="0"/>
          <w:sz w:val="24"/>
          <w:szCs w:val="24"/>
          <w:lang w:val="es-MX" w:eastAsia="es-MX"/>
        </w:rPr>
        <w:t xml:space="preserve">&amp; </w:t>
      </w:r>
      <w:r w:rsidR="00732C89" w:rsidRPr="006D26C8">
        <w:rPr>
          <w:rFonts w:ascii="Times New Roman" w:eastAsia="Times New Roman" w:hAnsi="Times New Roman" w:cs="Times New Roman"/>
          <w:bCs/>
          <w:noProof w:val="0"/>
          <w:sz w:val="24"/>
          <w:szCs w:val="24"/>
          <w:lang w:val="es-MX" w:eastAsia="es-MX"/>
        </w:rPr>
        <w:t>Quiñones</w:t>
      </w:r>
      <w:r w:rsidRPr="00D473EB">
        <w:rPr>
          <w:rFonts w:ascii="Times New Roman" w:eastAsia="Times New Roman" w:hAnsi="Times New Roman" w:cs="Times New Roman"/>
          <w:color w:val="000000" w:themeColor="text1"/>
          <w:sz w:val="24"/>
          <w:szCs w:val="24"/>
          <w:lang w:eastAsia="es-MX"/>
        </w:rPr>
        <w:t>, 201</w:t>
      </w:r>
      <w:r w:rsidR="00732C89">
        <w:rPr>
          <w:rFonts w:ascii="Times New Roman" w:eastAsia="Times New Roman" w:hAnsi="Times New Roman" w:cs="Times New Roman"/>
          <w:color w:val="000000" w:themeColor="text1"/>
          <w:sz w:val="24"/>
          <w:szCs w:val="24"/>
          <w:lang w:eastAsia="es-MX"/>
        </w:rPr>
        <w:t>7</w:t>
      </w:r>
      <w:r w:rsidRPr="00D473EB">
        <w:rPr>
          <w:rFonts w:ascii="Times New Roman" w:eastAsia="Times New Roman" w:hAnsi="Times New Roman" w:cs="Times New Roman"/>
          <w:color w:val="000000" w:themeColor="text1"/>
          <w:sz w:val="24"/>
          <w:szCs w:val="24"/>
          <w:lang w:eastAsia="es-MX"/>
        </w:rPr>
        <w:t>). Es una herramienta poderosa para hacer comparaciones holísticas de los sistemas y para la correcta asignación de los recursos (</w:t>
      </w:r>
      <w:r w:rsidR="00A31E95">
        <w:rPr>
          <w:rFonts w:ascii="Times New Roman" w:eastAsia="Times New Roman" w:hAnsi="Times New Roman" w:cs="Times New Roman"/>
          <w:color w:val="000000" w:themeColor="text1"/>
          <w:sz w:val="24"/>
          <w:szCs w:val="24"/>
          <w:lang w:eastAsia="es-MX"/>
        </w:rPr>
        <w:t>Costa et al.</w:t>
      </w:r>
      <w:r w:rsidRPr="00D473EB">
        <w:rPr>
          <w:rFonts w:ascii="Times New Roman" w:eastAsia="Times New Roman" w:hAnsi="Times New Roman" w:cs="Times New Roman"/>
          <w:color w:val="000000" w:themeColor="text1"/>
          <w:sz w:val="24"/>
          <w:szCs w:val="24"/>
          <w:lang w:eastAsia="es-MX"/>
        </w:rPr>
        <w:t>, 201</w:t>
      </w:r>
      <w:r w:rsidR="00A31E95">
        <w:rPr>
          <w:rFonts w:ascii="Times New Roman" w:eastAsia="Times New Roman" w:hAnsi="Times New Roman" w:cs="Times New Roman"/>
          <w:color w:val="000000" w:themeColor="text1"/>
          <w:sz w:val="24"/>
          <w:szCs w:val="24"/>
          <w:lang w:eastAsia="es-MX"/>
        </w:rPr>
        <w:t>8</w:t>
      </w:r>
      <w:r w:rsidRPr="00D473EB">
        <w:rPr>
          <w:rFonts w:ascii="Times New Roman" w:eastAsia="Times New Roman" w:hAnsi="Times New Roman" w:cs="Times New Roman"/>
          <w:color w:val="000000" w:themeColor="text1"/>
          <w:sz w:val="24"/>
          <w:szCs w:val="24"/>
          <w:lang w:eastAsia="es-MX"/>
        </w:rPr>
        <w:t>).</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 xml:space="preserve">El enfoque LCA ha sido aplicado en cafetales para identificar los puntos críticos del ciclo de vida del producto, como el uso del agua en el riego, la energía empleada en el beneficiado húmedo y las emisiones de </w:t>
      </w:r>
      <w:r w:rsidR="00A31E95" w:rsidRPr="00A31E95">
        <w:rPr>
          <w:rFonts w:ascii="Times New Roman" w:eastAsia="Times New Roman" w:hAnsi="Times New Roman" w:cs="Times New Roman"/>
          <w:noProof w:val="0"/>
          <w:sz w:val="24"/>
          <w:szCs w:val="24"/>
          <w:lang w:val="es-MX" w:eastAsia="es-MX"/>
        </w:rPr>
        <w:t xml:space="preserve">Gases de Efecto Invernadero </w:t>
      </w:r>
      <w:r w:rsidR="00A31E95">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G</w:t>
      </w:r>
      <w:r>
        <w:rPr>
          <w:rFonts w:ascii="Times New Roman" w:eastAsia="Times New Roman" w:hAnsi="Times New Roman" w:cs="Times New Roman"/>
          <w:noProof w:val="0"/>
          <w:sz w:val="24"/>
          <w:szCs w:val="24"/>
          <w:lang w:val="es-MX" w:eastAsia="es-MX"/>
        </w:rPr>
        <w:t>EI</w:t>
      </w:r>
      <w:r w:rsidR="00A31E95">
        <w:rPr>
          <w:rFonts w:ascii="Times New Roman" w:eastAsia="Times New Roman" w:hAnsi="Times New Roman" w:cs="Times New Roman"/>
          <w:noProof w:val="0"/>
          <w:sz w:val="24"/>
          <w:szCs w:val="24"/>
          <w:lang w:val="es-MX" w:eastAsia="es-MX"/>
        </w:rPr>
        <w:t>)</w:t>
      </w:r>
      <w:r>
        <w:rPr>
          <w:rFonts w:ascii="Times New Roman" w:eastAsia="Times New Roman" w:hAnsi="Times New Roman" w:cs="Times New Roman"/>
          <w:noProof w:val="0"/>
          <w:sz w:val="24"/>
          <w:szCs w:val="24"/>
          <w:lang w:val="es-MX" w:eastAsia="es-MX"/>
        </w:rPr>
        <w:t xml:space="preserve">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sidR="00A31E95">
        <w:rPr>
          <w:rFonts w:ascii="Times New Roman" w:eastAsia="Times New Roman" w:hAnsi="Times New Roman" w:cs="Times New Roman"/>
          <w:noProof w:val="0"/>
          <w:sz w:val="24"/>
          <w:szCs w:val="24"/>
          <w:lang w:val="es-MX" w:eastAsia="es-MX"/>
        </w:rPr>
        <w:t>, 2019</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w:t>
      </w:r>
      <w:r w:rsidR="00A31E95">
        <w:rPr>
          <w:rFonts w:ascii="Times New Roman" w:hAnsi="Times New Roman" w:cs="Times New Roman"/>
          <w:color w:val="000000" w:themeColor="text1"/>
          <w:sz w:val="24"/>
          <w:szCs w:val="24"/>
        </w:rPr>
        <w:t>lla de carbono, consumo de agua</w:t>
      </w:r>
      <w:r w:rsidRPr="000E7574">
        <w:rPr>
          <w:rFonts w:ascii="Times New Roman" w:hAnsi="Times New Roman" w:cs="Times New Roman"/>
          <w:color w:val="000000" w:themeColor="text1"/>
          <w:sz w:val="24"/>
          <w:szCs w:val="24"/>
        </w:rPr>
        <w:t>).</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MX"/>
        </w:rPr>
        <w:t xml:space="preserve">El análisis del ciclo de vida de un producto es una metodología que </w:t>
      </w:r>
      <w:r w:rsidRPr="00A31E95">
        <w:rPr>
          <w:rFonts w:ascii="Times New Roman" w:hAnsi="Times New Roman" w:cs="Times New Roman"/>
          <w:b/>
          <w:bCs/>
          <w:color w:val="000000" w:themeColor="text1"/>
          <w:sz w:val="24"/>
          <w:szCs w:val="24"/>
          <w:lang w:val="es-MX"/>
        </w:rPr>
        <w:t xml:space="preserve">intenta identificar, cuantificar y caracterizar los diferentes impactos ambientales </w:t>
      </w:r>
      <w:r w:rsidRPr="00A31E95">
        <w:rPr>
          <w:rFonts w:ascii="Times New Roman" w:hAnsi="Times New Roman" w:cs="Times New Roman"/>
          <w:color w:val="000000" w:themeColor="text1"/>
          <w:sz w:val="24"/>
          <w:szCs w:val="24"/>
          <w:lang w:val="es-MX"/>
        </w:rPr>
        <w:t>potenciales, asociados a cada una de las etapas del ciclo de vida de un producto.</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ES"/>
        </w:rPr>
        <w:t xml:space="preserve">El Análisis del Ciclo de Vida </w:t>
      </w:r>
      <w:r w:rsidRPr="00A31E95">
        <w:rPr>
          <w:rFonts w:ascii="Times New Roman" w:hAnsi="Times New Roman" w:cs="Times New Roman"/>
          <w:color w:val="000000" w:themeColor="text1"/>
          <w:sz w:val="24"/>
          <w:szCs w:val="24"/>
          <w:lang w:val="es-MX"/>
        </w:rPr>
        <w:t xml:space="preserve">es la </w:t>
      </w:r>
      <w:r w:rsidRPr="00A31E95">
        <w:rPr>
          <w:rFonts w:ascii="Times New Roman" w:hAnsi="Times New Roman" w:cs="Times New Roman"/>
          <w:b/>
          <w:bCs/>
          <w:color w:val="000000" w:themeColor="text1"/>
          <w:sz w:val="24"/>
          <w:szCs w:val="24"/>
          <w:lang w:val="es-MX"/>
        </w:rPr>
        <w:t xml:space="preserve">recopilación y evaluación de las entradas, las salidas y los impactos ambientales potenciales de un sistema del producto a través de su ciclo de vida </w:t>
      </w:r>
      <w:r w:rsidRPr="00A31E95">
        <w:rPr>
          <w:rFonts w:ascii="Times New Roman" w:hAnsi="Times New Roman" w:cs="Times New Roman"/>
          <w:color w:val="000000" w:themeColor="text1"/>
          <w:sz w:val="24"/>
          <w:szCs w:val="24"/>
          <w:lang w:val="es-ES"/>
        </w:rPr>
        <w:t>(</w:t>
      </w:r>
      <w:r w:rsidRPr="00A31E95">
        <w:rPr>
          <w:rFonts w:ascii="Times New Roman" w:hAnsi="Times New Roman" w:cs="Times New Roman"/>
          <w:color w:val="000000" w:themeColor="text1"/>
          <w:sz w:val="24"/>
          <w:szCs w:val="24"/>
          <w:lang w:val="en-US"/>
        </w:rPr>
        <w:t>ISO 14040, 2006).</w:t>
      </w:r>
    </w:p>
    <w:p w:rsidR="00000000" w:rsidRPr="00A31E95" w:rsidRDefault="003A5E55"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Definición de objetivos y alcances</w:t>
      </w:r>
      <w:r w:rsidRPr="00A31E95">
        <w:rPr>
          <w:rFonts w:ascii="Times New Roman" w:hAnsi="Times New Roman" w:cs="Times New Roman"/>
          <w:iCs/>
          <w:color w:val="000000" w:themeColor="text1"/>
          <w:sz w:val="24"/>
          <w:szCs w:val="24"/>
          <w:lang w:val="es-MX"/>
        </w:rPr>
        <w:t>:</w:t>
      </w:r>
      <w:r w:rsidRPr="00A31E95">
        <w:rPr>
          <w:rFonts w:ascii="Times New Roman" w:hAnsi="Times New Roman" w:cs="Times New Roman"/>
          <w:color w:val="000000" w:themeColor="text1"/>
          <w:sz w:val="24"/>
          <w:szCs w:val="24"/>
          <w:lang w:val="es-MX"/>
        </w:rPr>
        <w:t> En esta fase se exponen los motivos por los que se desarrolla el estudio y se establece </w:t>
      </w:r>
      <w:r w:rsidRPr="00A31E95">
        <w:rPr>
          <w:rFonts w:ascii="Times New Roman" w:hAnsi="Times New Roman" w:cs="Times New Roman"/>
          <w:bCs/>
          <w:color w:val="000000" w:themeColor="text1"/>
          <w:sz w:val="24"/>
          <w:szCs w:val="24"/>
          <w:lang w:val="es-MX"/>
        </w:rPr>
        <w:t>el alcance</w:t>
      </w:r>
      <w:r w:rsidRPr="00A31E95">
        <w:rPr>
          <w:rFonts w:ascii="Times New Roman" w:hAnsi="Times New Roman" w:cs="Times New Roman"/>
          <w:color w:val="000000" w:themeColor="text1"/>
          <w:sz w:val="24"/>
          <w:szCs w:val="24"/>
          <w:lang w:val="es-MX"/>
        </w:rPr>
        <w:t xml:space="preserve"> donde se define la </w:t>
      </w:r>
      <w:r w:rsidR="00A31E95" w:rsidRPr="00A31E95">
        <w:rPr>
          <w:rFonts w:ascii="Times New Roman" w:hAnsi="Times New Roman" w:cs="Times New Roman"/>
          <w:color w:val="000000" w:themeColor="text1"/>
          <w:sz w:val="24"/>
          <w:szCs w:val="24"/>
          <w:lang w:val="es-MX"/>
        </w:rPr>
        <w:t>amplitud, profundidad y detalle del estudio</w:t>
      </w:r>
      <w:r w:rsidRPr="00A31E95">
        <w:rPr>
          <w:rFonts w:ascii="Times New Roman" w:hAnsi="Times New Roman" w:cs="Times New Roman"/>
          <w:color w:val="000000" w:themeColor="text1"/>
          <w:sz w:val="24"/>
          <w:szCs w:val="24"/>
          <w:lang w:val="es-MX"/>
        </w:rPr>
        <w:t>.</w:t>
      </w:r>
    </w:p>
    <w:p w:rsidR="00000000" w:rsidRPr="00A31E95" w:rsidRDefault="003A5E55"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w:t>
      </w:r>
      <w:r w:rsidRPr="00A31E95">
        <w:rPr>
          <w:rFonts w:ascii="Times New Roman" w:hAnsi="Times New Roman" w:cs="Times New Roman"/>
          <w:bCs/>
          <w:iCs/>
          <w:color w:val="000000" w:themeColor="text1"/>
          <w:sz w:val="24"/>
          <w:szCs w:val="24"/>
          <w:lang w:val="es-MX"/>
        </w:rPr>
        <w:t>nventario del Ciclo de Vida (ICV)</w:t>
      </w:r>
      <w:r w:rsidRPr="00A31E95">
        <w:rPr>
          <w:rFonts w:ascii="Times New Roman" w:hAnsi="Times New Roman" w:cs="Times New Roman"/>
          <w:color w:val="000000" w:themeColor="text1"/>
          <w:sz w:val="24"/>
          <w:szCs w:val="24"/>
          <w:lang w:val="es-MX"/>
        </w:rPr>
        <w:t>: Durante esta etapa se </w:t>
      </w:r>
      <w:r w:rsidRPr="00A31E95">
        <w:rPr>
          <w:rFonts w:ascii="Times New Roman" w:hAnsi="Times New Roman" w:cs="Times New Roman"/>
          <w:bCs/>
          <w:color w:val="000000" w:themeColor="text1"/>
          <w:sz w:val="24"/>
          <w:szCs w:val="24"/>
          <w:lang w:val="es-MX"/>
        </w:rPr>
        <w:t>identifican y cuantifican</w:t>
      </w:r>
      <w:r w:rsidRPr="00A31E95">
        <w:rPr>
          <w:rFonts w:ascii="Times New Roman" w:hAnsi="Times New Roman" w:cs="Times New Roman"/>
          <w:color w:val="000000" w:themeColor="text1"/>
          <w:sz w:val="24"/>
          <w:szCs w:val="24"/>
          <w:lang w:val="es-MX"/>
        </w:rPr>
        <w:t xml:space="preserve"> todas las </w:t>
      </w:r>
      <w:r w:rsidRPr="00A31E95">
        <w:rPr>
          <w:rFonts w:ascii="Times New Roman" w:hAnsi="Times New Roman" w:cs="Times New Roman"/>
          <w:bCs/>
          <w:color w:val="000000" w:themeColor="text1"/>
          <w:sz w:val="24"/>
          <w:szCs w:val="24"/>
          <w:lang w:val="es-MX"/>
        </w:rPr>
        <w:t>entradas</w:t>
      </w:r>
      <w:r w:rsidRPr="00A31E95">
        <w:rPr>
          <w:rFonts w:ascii="Times New Roman" w:hAnsi="Times New Roman" w:cs="Times New Roman"/>
          <w:color w:val="000000" w:themeColor="text1"/>
          <w:sz w:val="24"/>
          <w:szCs w:val="24"/>
          <w:lang w:val="es-MX"/>
        </w:rPr>
        <w:t xml:space="preserve"> (consumo de recursos y materiales) </w:t>
      </w:r>
      <w:r w:rsidRPr="00A31E95">
        <w:rPr>
          <w:rFonts w:ascii="Times New Roman" w:hAnsi="Times New Roman" w:cs="Times New Roman"/>
          <w:bCs/>
          <w:color w:val="000000" w:themeColor="text1"/>
          <w:sz w:val="24"/>
          <w:szCs w:val="24"/>
          <w:lang w:val="es-MX"/>
        </w:rPr>
        <w:t xml:space="preserve">y salidas </w:t>
      </w:r>
      <w:r w:rsidRPr="00A31E95">
        <w:rPr>
          <w:rFonts w:ascii="Times New Roman" w:hAnsi="Times New Roman" w:cs="Times New Roman"/>
          <w:color w:val="000000" w:themeColor="text1"/>
          <w:sz w:val="24"/>
          <w:szCs w:val="24"/>
          <w:lang w:val="es-MX"/>
        </w:rPr>
        <w:t xml:space="preserve">(emisiones al aire, suelo, aguas y generación de residuos) </w:t>
      </w:r>
      <w:r w:rsidRPr="00A31E95">
        <w:rPr>
          <w:rFonts w:ascii="Times New Roman" w:hAnsi="Times New Roman" w:cs="Times New Roman"/>
          <w:bCs/>
          <w:color w:val="000000" w:themeColor="text1"/>
          <w:sz w:val="24"/>
          <w:szCs w:val="24"/>
          <w:lang w:val="es-MX"/>
        </w:rPr>
        <w:t xml:space="preserve">que pueden causar un impacto </w:t>
      </w:r>
      <w:r w:rsidRPr="00A31E95">
        <w:rPr>
          <w:rFonts w:ascii="Times New Roman" w:hAnsi="Times New Roman" w:cs="Times New Roman"/>
          <w:color w:val="000000" w:themeColor="text1"/>
          <w:sz w:val="24"/>
          <w:szCs w:val="24"/>
          <w:lang w:val="es-MX"/>
        </w:rPr>
        <w:t xml:space="preserve">durante </w:t>
      </w:r>
      <w:r w:rsidRPr="00A31E95">
        <w:rPr>
          <w:rFonts w:ascii="Times New Roman" w:hAnsi="Times New Roman" w:cs="Times New Roman"/>
          <w:color w:val="000000" w:themeColor="text1"/>
          <w:sz w:val="24"/>
          <w:szCs w:val="24"/>
          <w:lang w:val="es-MX"/>
        </w:rPr>
        <w:t>el ciclo de vida de un producto. Los datos obtenidos en esta fase son el punto de partida para la evaluación de impactos del ciclo de vida.</w:t>
      </w:r>
    </w:p>
    <w:p w:rsidR="00000000" w:rsidRPr="00A31E95" w:rsidRDefault="003A5E55"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Evaluación de los Impactos del Ciclo de Vida (EICV)</w:t>
      </w:r>
      <w:r w:rsidRPr="00A31E95">
        <w:rPr>
          <w:rFonts w:ascii="Times New Roman" w:hAnsi="Times New Roman" w:cs="Times New Roman"/>
          <w:color w:val="000000" w:themeColor="text1"/>
          <w:sz w:val="24"/>
          <w:szCs w:val="24"/>
          <w:lang w:val="es-MX"/>
        </w:rPr>
        <w:t>: Durante esta etapa </w:t>
      </w:r>
      <w:r w:rsidRPr="00A31E95">
        <w:rPr>
          <w:rFonts w:ascii="Times New Roman" w:hAnsi="Times New Roman" w:cs="Times New Roman"/>
          <w:bCs/>
          <w:color w:val="000000" w:themeColor="text1"/>
          <w:sz w:val="24"/>
          <w:szCs w:val="24"/>
          <w:lang w:val="es-MX"/>
        </w:rPr>
        <w:t>se relacionan</w:t>
      </w:r>
      <w:r w:rsidRPr="00A31E95">
        <w:rPr>
          <w:rFonts w:ascii="Times New Roman" w:hAnsi="Times New Roman" w:cs="Times New Roman"/>
          <w:color w:val="000000" w:themeColor="text1"/>
          <w:sz w:val="24"/>
          <w:szCs w:val="24"/>
          <w:lang w:val="es-MX"/>
        </w:rPr>
        <w:t xml:space="preserve"> las </w:t>
      </w:r>
      <w:r w:rsidRPr="00A31E95">
        <w:rPr>
          <w:rFonts w:ascii="Times New Roman" w:hAnsi="Times New Roman" w:cs="Times New Roman"/>
          <w:bCs/>
          <w:color w:val="000000" w:themeColor="text1"/>
          <w:sz w:val="24"/>
          <w:szCs w:val="24"/>
          <w:lang w:val="es-MX"/>
        </w:rPr>
        <w:t xml:space="preserve">entradas y salidas </w:t>
      </w:r>
      <w:r w:rsidRPr="00A31E95">
        <w:rPr>
          <w:rFonts w:ascii="Times New Roman" w:hAnsi="Times New Roman" w:cs="Times New Roman"/>
          <w:color w:val="000000" w:themeColor="text1"/>
          <w:sz w:val="24"/>
          <w:szCs w:val="24"/>
          <w:lang w:val="es-MX"/>
        </w:rPr>
        <w:t xml:space="preserve">seleccionadas en el inventario con los posibles impactos sobre el medio ambiente, la salud humana y los recursos, con el fin de </w:t>
      </w:r>
      <w:r w:rsidRPr="00A31E95">
        <w:rPr>
          <w:rFonts w:ascii="Times New Roman" w:hAnsi="Times New Roman" w:cs="Times New Roman"/>
          <w:bCs/>
          <w:color w:val="000000" w:themeColor="text1"/>
          <w:sz w:val="24"/>
          <w:szCs w:val="24"/>
          <w:lang w:val="es-MX"/>
        </w:rPr>
        <w:t xml:space="preserve">clasificar, caracterizar y valorar </w:t>
      </w:r>
      <w:r w:rsidRPr="00A31E95">
        <w:rPr>
          <w:rFonts w:ascii="Times New Roman" w:hAnsi="Times New Roman" w:cs="Times New Roman"/>
          <w:color w:val="000000" w:themeColor="text1"/>
          <w:sz w:val="24"/>
          <w:szCs w:val="24"/>
          <w:lang w:val="es-MX"/>
        </w:rPr>
        <w:t>la importancia que los potenciales impactos generan.</w:t>
      </w:r>
    </w:p>
    <w:p w:rsidR="00000000" w:rsidRDefault="003A5E55"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Interpretación de resultados</w:t>
      </w:r>
      <w:r w:rsidRPr="00A31E95">
        <w:rPr>
          <w:rFonts w:ascii="Times New Roman" w:hAnsi="Times New Roman" w:cs="Times New Roman"/>
          <w:color w:val="000000" w:themeColor="text1"/>
          <w:sz w:val="24"/>
          <w:szCs w:val="24"/>
          <w:lang w:val="es-MX"/>
        </w:rPr>
        <w:t xml:space="preserve">: La interpretación es la combinación de los resultados del (ICV) y la (EICV), con la finalidad de extraer, de acuerdo a los objetivos y alcances </w:t>
      </w:r>
      <w:r w:rsidRPr="00A31E95">
        <w:rPr>
          <w:rFonts w:ascii="Times New Roman" w:hAnsi="Times New Roman" w:cs="Times New Roman"/>
          <w:color w:val="000000" w:themeColor="text1"/>
          <w:sz w:val="24"/>
          <w:szCs w:val="24"/>
          <w:lang w:val="es-MX"/>
        </w:rPr>
        <w:lastRenderedPageBreak/>
        <w:t>planteados</w:t>
      </w:r>
      <w:r w:rsidRPr="00A31E95">
        <w:rPr>
          <w:rFonts w:ascii="Times New Roman" w:hAnsi="Times New Roman" w:cs="Times New Roman"/>
          <w:bCs/>
          <w:color w:val="000000" w:themeColor="text1"/>
          <w:sz w:val="24"/>
          <w:szCs w:val="24"/>
          <w:lang w:val="es-MX"/>
        </w:rPr>
        <w:t>, conclusiones y recomendaciones</w:t>
      </w:r>
      <w:r w:rsidRPr="00A31E95">
        <w:rPr>
          <w:rFonts w:ascii="Times New Roman" w:hAnsi="Times New Roman" w:cs="Times New Roman"/>
          <w:color w:val="000000" w:themeColor="text1"/>
          <w:sz w:val="24"/>
          <w:szCs w:val="24"/>
          <w:lang w:val="es-MX"/>
        </w:rPr>
        <w:t xml:space="preserve"> que permitan la </w:t>
      </w:r>
      <w:r w:rsidRPr="00A31E95">
        <w:rPr>
          <w:rFonts w:ascii="Times New Roman" w:hAnsi="Times New Roman" w:cs="Times New Roman"/>
          <w:bCs/>
          <w:color w:val="000000" w:themeColor="text1"/>
          <w:sz w:val="24"/>
          <w:szCs w:val="24"/>
          <w:lang w:val="es-MX"/>
        </w:rPr>
        <w:t>toma de decisiones</w:t>
      </w:r>
      <w:r w:rsidRPr="00A31E95">
        <w:rPr>
          <w:rFonts w:ascii="Times New Roman" w:hAnsi="Times New Roman" w:cs="Times New Roman"/>
          <w:color w:val="000000" w:themeColor="text1"/>
          <w:sz w:val="24"/>
          <w:szCs w:val="24"/>
          <w:lang w:val="es-MX"/>
        </w:rPr>
        <w:t>. A veces, puede implicar un proceso dinámico de revisión y  actualización del alcance, así como de la naturaleza y la calidad de los datos recopilados para que sean coherentes con el objetivo y e</w:t>
      </w:r>
      <w:r w:rsidRPr="00A31E95">
        <w:rPr>
          <w:rFonts w:ascii="Times New Roman" w:hAnsi="Times New Roman" w:cs="Times New Roman"/>
          <w:color w:val="000000" w:themeColor="text1"/>
          <w:sz w:val="24"/>
          <w:szCs w:val="24"/>
          <w:lang w:val="es-MX"/>
        </w:rPr>
        <w:t>l alcance.</w:t>
      </w:r>
    </w:p>
    <w:p w:rsidR="00C35D3E" w:rsidRDefault="00C35D3E" w:rsidP="00C35D3E">
      <w:pPr>
        <w:pStyle w:val="NormalWeb"/>
        <w:ind w:left="720"/>
      </w:pPr>
      <w:r>
        <w:t xml:space="preserve">Existen diferentes metodologías para la integración de LCA, de acuerdo con </w:t>
      </w:r>
      <w:r>
        <w:rPr>
          <w:rStyle w:val="cite"/>
        </w:rPr>
        <w:t>[</w:t>
      </w:r>
      <w:r>
        <w:rPr>
          <w:rStyle w:val="cite-id"/>
        </w:rPr>
        <w:t>@vásquez-ibarra2021</w:t>
      </w:r>
      <w:r>
        <w:rPr>
          <w:rStyle w:val="cite"/>
        </w:rPr>
        <w:t>]</w:t>
      </w:r>
      <w:r>
        <w:t xml:space="preserve"> estas son;</w:t>
      </w:r>
    </w:p>
    <w:p w:rsidR="00C35D3E" w:rsidRPr="00A31E95" w:rsidRDefault="00C35D3E" w:rsidP="00C35D3E">
      <w:pPr>
        <w:spacing w:before="100" w:beforeAutospacing="1" w:after="100" w:afterAutospacing="1" w:line="240" w:lineRule="auto"/>
        <w:ind w:left="720"/>
        <w:rPr>
          <w:rFonts w:ascii="Times New Roman" w:hAnsi="Times New Roman" w:cs="Times New Roman"/>
          <w:color w:val="000000" w:themeColor="text1"/>
          <w:sz w:val="24"/>
          <w:szCs w:val="24"/>
          <w:lang w:val="es-MX"/>
        </w:rPr>
      </w:pPr>
      <w:r w:rsidRPr="00C35D3E">
        <w:rPr>
          <w:rFonts w:ascii="Times New Roman" w:hAnsi="Times New Roman" w:cs="Times New Roman"/>
          <w:color w:val="000000" w:themeColor="text1"/>
          <w:sz w:val="24"/>
          <w:szCs w:val="24"/>
          <w:lang w:val="es-MX"/>
        </w:rPr>
        <w:drawing>
          <wp:inline distT="0" distB="0" distL="0" distR="0" wp14:anchorId="75F2FB13" wp14:editId="1D088A7F">
            <wp:extent cx="5971540" cy="3358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1540" cy="3358515"/>
                    </a:xfrm>
                    <a:prstGeom prst="rect">
                      <a:avLst/>
                    </a:prstGeom>
                  </pic:spPr>
                </pic:pic>
              </a:graphicData>
            </a:graphic>
          </wp:inline>
        </w:drawing>
      </w:r>
    </w:p>
    <w:p w:rsidR="00C35D3E" w:rsidRDefault="00C35D3E" w:rsidP="00C35D3E">
      <w:pPr>
        <w:pStyle w:val="NormalWeb"/>
        <w:ind w:left="720"/>
      </w:pPr>
      <w:r>
        <w:t>En esta oportunidad se resalta para el contexto actual de Veracruz, la Metodología LCA+DEA con el método de cuatro pasos</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4168815" cy="2857500"/>
            <wp:effectExtent l="0" t="0" r="3175"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4486" cy="2861387"/>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r w:rsidR="007550E2">
        <w:rPr>
          <w:rFonts w:ascii="Times New Roman" w:hAnsi="Times New Roman" w:cs="Times New Roman"/>
          <w:color w:val="000000" w:themeColor="text1"/>
          <w:sz w:val="24"/>
          <w:szCs w:val="24"/>
        </w:rPr>
        <w:t xml:space="preserve"> de cultivos agrícolas</w:t>
      </w:r>
      <w:r w:rsidRPr="000E7574">
        <w:rPr>
          <w:rFonts w:ascii="Times New Roman" w:hAnsi="Times New Roman" w:cs="Times New Roman"/>
          <w:color w:val="000000" w:themeColor="text1"/>
          <w:sz w:val="24"/>
          <w:szCs w:val="24"/>
        </w:rPr>
        <w:t>.</w:t>
      </w:r>
    </w:p>
    <w:p w:rsidR="004B486C" w:rsidRPr="000E7574" w:rsidRDefault="004B486C" w:rsidP="003435B4">
      <w:pPr>
        <w:spacing w:after="0"/>
        <w:rPr>
          <w:rFonts w:ascii="Times New Roman" w:hAnsi="Times New Roman" w:cs="Times New Roman"/>
          <w:color w:val="000000" w:themeColor="text1"/>
          <w:sz w:val="24"/>
          <w:szCs w:val="24"/>
        </w:rPr>
      </w:pPr>
    </w:p>
    <w:p w:rsidR="00694DC7" w:rsidRPr="00694DC7" w:rsidRDefault="00694DC7" w:rsidP="00694DC7">
      <w:pPr>
        <w:pStyle w:val="Ttulo2"/>
        <w:shd w:val="clear" w:color="auto" w:fill="FFFFFF"/>
        <w:spacing w:before="0" w:line="336" w:lineRule="atLeast"/>
        <w:rPr>
          <w:rFonts w:ascii="Source Sans Pro" w:hAnsi="Source Sans Pro"/>
          <w:b/>
          <w:noProof w:val="0"/>
          <w:color w:val="343A40"/>
          <w:lang w:val="es-MX"/>
        </w:rPr>
      </w:pPr>
      <w:r w:rsidRPr="00694DC7">
        <w:rPr>
          <w:rFonts w:ascii="Source Sans Pro" w:hAnsi="Source Sans Pro"/>
          <w:b/>
          <w:color w:val="343A40"/>
        </w:rPr>
        <w:t>References</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Angulo-Meza, Lidia, Marcela González-Araya, Alfredo Iriarte, Ricardo Rebolledo-Leiva, and João Carlos Soares de Mello. 2019. “A Multiobjective DEA Model to Assess the Eco-Efficiency of Agricultural Practices Within the CF + DEA Method.” </w:t>
      </w:r>
      <w:r>
        <w:rPr>
          <w:rStyle w:val="nfasis"/>
          <w:rFonts w:ascii="Source Sans Pro" w:hAnsi="Source Sans Pro"/>
          <w:color w:val="343A40"/>
        </w:rPr>
        <w:t>Computers and Electronics in Agriculture</w:t>
      </w:r>
      <w:r>
        <w:rPr>
          <w:rFonts w:ascii="Source Sans Pro" w:hAnsi="Source Sans Pro"/>
          <w:color w:val="343A40"/>
        </w:rPr>
        <w:t> 161 (June): 151–61. </w:t>
      </w:r>
      <w:hyperlink r:id="rId38" w:history="1">
        <w:r>
          <w:rPr>
            <w:rStyle w:val="Hipervnculo"/>
            <w:rFonts w:ascii="Source Sans Pro" w:hAnsi="Source Sans Pro"/>
            <w:color w:val="2761E3"/>
          </w:rPr>
          <w:t>https://doi.org/10.1016/j.compag.2018.05.037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Charnes, A., W. W. Cooper, and E. Rhodes. 1978. “Measuring the Efficiency of Decision Making Units.” </w:t>
      </w:r>
      <w:r>
        <w:rPr>
          <w:rStyle w:val="nfasis"/>
          <w:rFonts w:ascii="Source Sans Pro" w:hAnsi="Source Sans Pro"/>
          <w:color w:val="343A40"/>
        </w:rPr>
        <w:t>European Journal of Operational Research</w:t>
      </w:r>
      <w:r>
        <w:rPr>
          <w:rFonts w:ascii="Source Sans Pro" w:hAnsi="Source Sans Pro"/>
          <w:color w:val="343A40"/>
        </w:rPr>
        <w:t> 2 (6): 429–44. </w:t>
      </w:r>
      <w:hyperlink r:id="rId39" w:history="1">
        <w:r>
          <w:rPr>
            <w:rStyle w:val="Hipervnculo"/>
            <w:rFonts w:ascii="Source Sans Pro" w:hAnsi="Source Sans Pro"/>
            <w:color w:val="2761E3"/>
          </w:rPr>
          <w:t>https://doi.org/10.1016/0377-2217(78)90138-8</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Costa, Marcela P., Jan C. Schoeneboom, Sueli A. Oliveira, Rafael S. Viñas, and Gerson A. de Medeiros. 2018. “A Socio-Eco-Efficiency Analysis of Integrated and Non-Integrated Crop-Livestock-Forestry Systems in the Brazilian Cerrado Based on LCA.” </w:t>
      </w:r>
      <w:r>
        <w:rPr>
          <w:rStyle w:val="nfasis"/>
          <w:rFonts w:ascii="Source Sans Pro" w:hAnsi="Source Sans Pro"/>
          <w:color w:val="343A40"/>
        </w:rPr>
        <w:t>Journal of Cleaner Production</w:t>
      </w:r>
      <w:r>
        <w:rPr>
          <w:rFonts w:ascii="Source Sans Pro" w:hAnsi="Source Sans Pro"/>
          <w:color w:val="343A40"/>
        </w:rPr>
        <w:t> 171 (January): 1460–71. </w:t>
      </w:r>
      <w:hyperlink r:id="rId40" w:history="1">
        <w:r>
          <w:rPr>
            <w:rStyle w:val="Hipervnculo"/>
            <w:rFonts w:ascii="Source Sans Pro" w:hAnsi="Source Sans Pro"/>
            <w:color w:val="2761E3"/>
          </w:rPr>
          <w:t>https://doi.org/10.1016/j.jclepro.2017.10.063</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Finkbeiner, Matthias, Atsushi Inaba, Reginald Tan, Kim Christiansen, and Hans-Jürgen Klüppel. 2006. “The New International Standards for Life Cycle Assessment: ISO 14040 and ISO 14044.” </w:t>
      </w:r>
      <w:r>
        <w:rPr>
          <w:rStyle w:val="nfasis"/>
          <w:rFonts w:ascii="Source Sans Pro" w:hAnsi="Source Sans Pro"/>
          <w:color w:val="343A40"/>
        </w:rPr>
        <w:t>The International Journal of Life Cycle Assessment</w:t>
      </w:r>
      <w:r>
        <w:rPr>
          <w:rFonts w:ascii="Source Sans Pro" w:hAnsi="Source Sans Pro"/>
          <w:color w:val="343A40"/>
        </w:rPr>
        <w:t> 11 (2): 80–85. </w:t>
      </w:r>
      <w:hyperlink r:id="rId41" w:history="1">
        <w:r>
          <w:rPr>
            <w:rStyle w:val="Hipervnculo"/>
            <w:rFonts w:ascii="Source Sans Pro" w:hAnsi="Source Sans Pro"/>
            <w:color w:val="2761E3"/>
          </w:rPr>
          <w:t>https://doi.org/10.1065/lca2006.02.002</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Garcia-Freites, Samira, Mirjam Röder, and Patricia Thornley. 2020. “Environmental Trade-Offs Associated with Bioenergy from Agri-Residues in Sub-Tropical Regions: A Case Study of the Colombian Coffee Sector.” </w:t>
      </w:r>
      <w:r>
        <w:rPr>
          <w:rStyle w:val="nfasis"/>
          <w:rFonts w:ascii="Source Sans Pro" w:hAnsi="Source Sans Pro"/>
          <w:color w:val="343A40"/>
        </w:rPr>
        <w:t>Biomass and Bioenergy</w:t>
      </w:r>
      <w:r>
        <w:rPr>
          <w:rFonts w:ascii="Source Sans Pro" w:hAnsi="Source Sans Pro"/>
          <w:color w:val="343A40"/>
        </w:rPr>
        <w:t> 140 (September): 105581. </w:t>
      </w:r>
      <w:hyperlink r:id="rId42" w:history="1">
        <w:r>
          <w:rPr>
            <w:rStyle w:val="Hipervnculo"/>
            <w:rFonts w:ascii="Source Sans Pro" w:hAnsi="Source Sans Pro"/>
            <w:color w:val="2761E3"/>
          </w:rPr>
          <w:t>https://doi.org/10.1016/j.biombioe.2020.105581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lastRenderedPageBreak/>
        <w:t>Notarnicola, Bruno, Serenella Sala, Assumpció Anton, Sarah J. McLaren, Erwan Saouter, and Ulf Sonesson. 2017. “The Role of Life Cycle Assessment in Supporting Sustainable Agri-Food Systems: A Review of the Challenges.” </w:t>
      </w:r>
      <w:r>
        <w:rPr>
          <w:rStyle w:val="nfasis"/>
          <w:rFonts w:ascii="Source Sans Pro" w:hAnsi="Source Sans Pro"/>
          <w:color w:val="343A40"/>
        </w:rPr>
        <w:t>Journal of Cleaner Production</w:t>
      </w:r>
      <w:r>
        <w:rPr>
          <w:rFonts w:ascii="Source Sans Pro" w:hAnsi="Source Sans Pro"/>
          <w:color w:val="343A40"/>
        </w:rPr>
        <w:t> 140 (January): 399–409. </w:t>
      </w:r>
      <w:hyperlink r:id="rId43" w:history="1">
        <w:r>
          <w:rPr>
            <w:rStyle w:val="Hipervnculo"/>
            <w:rFonts w:ascii="Source Sans Pro" w:hAnsi="Source Sans Pro"/>
            <w:color w:val="2761E3"/>
          </w:rPr>
          <w:t>https://doi.org/10.1016/j.jclepro.2016.06.071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Samper, Luis, and Xiomara Quiñones-Ruiz. 2017. “Towards a Balanced Sustainability Vision for the Coffee Industry.” </w:t>
      </w:r>
      <w:r>
        <w:rPr>
          <w:rStyle w:val="nfasis"/>
          <w:rFonts w:ascii="Source Sans Pro" w:hAnsi="Source Sans Pro"/>
          <w:color w:val="343A40"/>
        </w:rPr>
        <w:t>Resources</w:t>
      </w:r>
      <w:r>
        <w:rPr>
          <w:rFonts w:ascii="Source Sans Pro" w:hAnsi="Source Sans Pro"/>
          <w:color w:val="343A40"/>
        </w:rPr>
        <w:t> 6 (2): 17. </w:t>
      </w:r>
      <w:hyperlink r:id="rId44" w:history="1">
        <w:r>
          <w:rPr>
            <w:rStyle w:val="Hipervnculo"/>
            <w:rFonts w:ascii="Source Sans Pro" w:hAnsi="Source Sans Pro"/>
            <w:color w:val="2761E3"/>
          </w:rPr>
          <w:t>https://doi.org/10.3390/resources6020017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Trinh, L. T. K., A. H. Hu, Y. C. Lan, and Z. H. Chen. 2019. “Comparative Life Cycle Assessment for Conventional and Organic Coffee Cultivation in Vietnam.” </w:t>
      </w:r>
      <w:r>
        <w:rPr>
          <w:rStyle w:val="nfasis"/>
          <w:rFonts w:ascii="Source Sans Pro" w:hAnsi="Source Sans Pro"/>
          <w:color w:val="343A40"/>
        </w:rPr>
        <w:t>International Journal of Environmental Science and Technology</w:t>
      </w:r>
      <w:r>
        <w:rPr>
          <w:rFonts w:ascii="Source Sans Pro" w:hAnsi="Source Sans Pro"/>
          <w:color w:val="343A40"/>
        </w:rPr>
        <w:t> 17 (3): 1307–24. </w:t>
      </w:r>
      <w:hyperlink r:id="rId45" w:history="1">
        <w:r>
          <w:rPr>
            <w:rStyle w:val="Hipervnculo"/>
            <w:rFonts w:ascii="Source Sans Pro" w:hAnsi="Source Sans Pro"/>
            <w:color w:val="2761E3"/>
          </w:rPr>
          <w:t>https://doi.org/10.1007/s13762-019-02539-5</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Vásquez-Ibarra, Leonardo, Alfredo Iriarte, Ricardo Rebolledo-Leiva, Marcia Vásquez, Lidia Angulo-Meza, and Marcela C. González-Araya. 2021. “Considering the Influence of the Variability in Management Practices on the Environmental Impacts of Fruit Production: A Case Study on Raspberry Production in Chile.” </w:t>
      </w:r>
      <w:r>
        <w:rPr>
          <w:rStyle w:val="nfasis"/>
          <w:rFonts w:ascii="Source Sans Pro" w:hAnsi="Source Sans Pro"/>
          <w:color w:val="343A40"/>
        </w:rPr>
        <w:t>Journal of Cleaner Production</w:t>
      </w:r>
      <w:r>
        <w:rPr>
          <w:rFonts w:ascii="Source Sans Pro" w:hAnsi="Source Sans Pro"/>
          <w:color w:val="343A40"/>
        </w:rPr>
        <w:t> 313 (September): 127609. </w:t>
      </w:r>
      <w:hyperlink r:id="rId46" w:history="1">
        <w:r>
          <w:rPr>
            <w:rStyle w:val="Hipervnculo"/>
            <w:rFonts w:ascii="Source Sans Pro" w:hAnsi="Source Sans Pro"/>
            <w:color w:val="2761E3"/>
          </w:rPr>
          <w:t>https://doi.org/10.1016/j.jclepro.2021.127609</w:t>
        </w:r>
      </w:hyperlink>
      <w:r>
        <w:rPr>
          <w:rFonts w:ascii="Source Sans Pro" w:hAnsi="Source Sans Pro"/>
          <w:color w:val="343A40"/>
        </w:rPr>
        <w:t>.</w:t>
      </w:r>
    </w:p>
    <w:p w:rsidR="00F627F5" w:rsidRDefault="00F627F5">
      <w:pPr>
        <w:rPr>
          <w:rStyle w:val="Textoennegrita"/>
          <w:rFonts w:ascii="Times New Roman" w:eastAsiaTheme="majorEastAsia" w:hAnsi="Times New Roman" w:cs="Times New Roman"/>
          <w:bCs w:val="0"/>
          <w:color w:val="000000" w:themeColor="text1"/>
          <w:sz w:val="24"/>
          <w:szCs w:val="24"/>
        </w:rPr>
      </w:pPr>
    </w:p>
    <w:p w:rsidR="00694DC7" w:rsidRDefault="00694DC7">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w:t>
      </w:r>
      <w:bookmarkStart w:id="0" w:name="_GoBack"/>
      <w:bookmarkEnd w:id="0"/>
      <w:r w:rsidRPr="00D473EB">
        <w:rPr>
          <w:rFonts w:ascii="Times New Roman" w:hAnsi="Times New Roman" w:cs="Times New Roman"/>
          <w:color w:val="000000" w:themeColor="text1"/>
          <w:sz w:val="24"/>
          <w:szCs w:val="24"/>
        </w:rPr>
        <w:t>ial en el desarrollo de los modelos matemáticos que sustentan el DEA (</w:t>
      </w:r>
      <w:proofErr w:type="spellStart"/>
      <w:r w:rsidR="003A5E55" w:rsidRPr="005A6CC8">
        <w:rPr>
          <w:rFonts w:ascii="Times New Roman" w:eastAsia="Times New Roman" w:hAnsi="Times New Roman" w:cs="Times New Roman"/>
          <w:bCs/>
          <w:noProof w:val="0"/>
          <w:sz w:val="24"/>
          <w:szCs w:val="24"/>
          <w:lang w:val="es-MX" w:eastAsia="es-MX"/>
        </w:rPr>
        <w:t>Taoumi</w:t>
      </w:r>
      <w:proofErr w:type="spellEnd"/>
      <w:r w:rsidR="003A5E55" w:rsidRPr="007E64E8">
        <w:rPr>
          <w:rFonts w:ascii="Times New Roman" w:eastAsia="Times New Roman" w:hAnsi="Times New Roman" w:cs="Times New Roman"/>
          <w:bCs/>
          <w:noProof w:val="0"/>
          <w:sz w:val="24"/>
          <w:szCs w:val="24"/>
          <w:lang w:val="es-MX" w:eastAsia="es-MX"/>
        </w:rPr>
        <w:t xml:space="preserve"> &amp; </w:t>
      </w:r>
      <w:proofErr w:type="spellStart"/>
      <w:r w:rsidR="003A5E55" w:rsidRPr="007E64E8">
        <w:rPr>
          <w:rFonts w:ascii="Times New Roman" w:eastAsia="Times New Roman" w:hAnsi="Times New Roman" w:cs="Times New Roman"/>
          <w:bCs/>
          <w:noProof w:val="0"/>
          <w:sz w:val="24"/>
          <w:szCs w:val="24"/>
          <w:lang w:val="es-MX" w:eastAsia="es-MX"/>
        </w:rPr>
        <w:t>Lahrech</w:t>
      </w:r>
      <w:proofErr w:type="spellEnd"/>
      <w:r w:rsidRPr="00D473EB">
        <w:rPr>
          <w:rFonts w:ascii="Times New Roman" w:hAnsi="Times New Roman" w:cs="Times New Roman"/>
          <w:color w:val="000000" w:themeColor="text1"/>
          <w:sz w:val="24"/>
          <w:szCs w:val="24"/>
        </w:rPr>
        <w:t>, 202</w:t>
      </w:r>
      <w:r w:rsidR="003A5E55">
        <w:rPr>
          <w:rFonts w:ascii="Times New Roman" w:hAnsi="Times New Roman" w:cs="Times New Roman"/>
          <w:color w:val="000000" w:themeColor="text1"/>
          <w:sz w:val="24"/>
          <w:szCs w:val="24"/>
        </w:rPr>
        <w:t>3</w:t>
      </w:r>
      <w:r w:rsidRPr="00D473EB">
        <w:rPr>
          <w:rFonts w:ascii="Times New Roman" w:hAnsi="Times New Roman" w:cs="Times New Roman"/>
          <w:color w:val="000000" w:themeColor="text1"/>
          <w:sz w:val="24"/>
          <w:szCs w:val="24"/>
        </w:rPr>
        <w:t>).</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DMUs evaluadas (Peças et al., 2019; González &amp; Valdés, 2009).</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4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lastRenderedPageBreak/>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La eficiencia económica se centra en maximizar la rentabilidad mediante la optimización de la relación entre costos y beneficios (Bhat &amp; Kaur, 2024).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49"/>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50"/>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5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5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97DF0"/>
    <w:multiLevelType w:val="hybridMultilevel"/>
    <w:tmpl w:val="505C43A2"/>
    <w:lvl w:ilvl="0" w:tplc="0CAEEE08">
      <w:start w:val="1"/>
      <w:numFmt w:val="bullet"/>
      <w:lvlText w:val="•"/>
      <w:lvlJc w:val="left"/>
      <w:pPr>
        <w:tabs>
          <w:tab w:val="num" w:pos="720"/>
        </w:tabs>
        <w:ind w:left="720" w:hanging="360"/>
      </w:pPr>
      <w:rPr>
        <w:rFonts w:ascii="Arial" w:hAnsi="Arial" w:hint="default"/>
      </w:rPr>
    </w:lvl>
    <w:lvl w:ilvl="1" w:tplc="373A209C" w:tentative="1">
      <w:start w:val="1"/>
      <w:numFmt w:val="bullet"/>
      <w:lvlText w:val="•"/>
      <w:lvlJc w:val="left"/>
      <w:pPr>
        <w:tabs>
          <w:tab w:val="num" w:pos="1440"/>
        </w:tabs>
        <w:ind w:left="1440" w:hanging="360"/>
      </w:pPr>
      <w:rPr>
        <w:rFonts w:ascii="Arial" w:hAnsi="Arial" w:hint="default"/>
      </w:rPr>
    </w:lvl>
    <w:lvl w:ilvl="2" w:tplc="6830707C" w:tentative="1">
      <w:start w:val="1"/>
      <w:numFmt w:val="bullet"/>
      <w:lvlText w:val="•"/>
      <w:lvlJc w:val="left"/>
      <w:pPr>
        <w:tabs>
          <w:tab w:val="num" w:pos="2160"/>
        </w:tabs>
        <w:ind w:left="2160" w:hanging="360"/>
      </w:pPr>
      <w:rPr>
        <w:rFonts w:ascii="Arial" w:hAnsi="Arial" w:hint="default"/>
      </w:rPr>
    </w:lvl>
    <w:lvl w:ilvl="3" w:tplc="E334DD7A" w:tentative="1">
      <w:start w:val="1"/>
      <w:numFmt w:val="bullet"/>
      <w:lvlText w:val="•"/>
      <w:lvlJc w:val="left"/>
      <w:pPr>
        <w:tabs>
          <w:tab w:val="num" w:pos="2880"/>
        </w:tabs>
        <w:ind w:left="2880" w:hanging="360"/>
      </w:pPr>
      <w:rPr>
        <w:rFonts w:ascii="Arial" w:hAnsi="Arial" w:hint="default"/>
      </w:rPr>
    </w:lvl>
    <w:lvl w:ilvl="4" w:tplc="47C84A08" w:tentative="1">
      <w:start w:val="1"/>
      <w:numFmt w:val="bullet"/>
      <w:lvlText w:val="•"/>
      <w:lvlJc w:val="left"/>
      <w:pPr>
        <w:tabs>
          <w:tab w:val="num" w:pos="3600"/>
        </w:tabs>
        <w:ind w:left="3600" w:hanging="360"/>
      </w:pPr>
      <w:rPr>
        <w:rFonts w:ascii="Arial" w:hAnsi="Arial" w:hint="default"/>
      </w:rPr>
    </w:lvl>
    <w:lvl w:ilvl="5" w:tplc="A76424FC" w:tentative="1">
      <w:start w:val="1"/>
      <w:numFmt w:val="bullet"/>
      <w:lvlText w:val="•"/>
      <w:lvlJc w:val="left"/>
      <w:pPr>
        <w:tabs>
          <w:tab w:val="num" w:pos="4320"/>
        </w:tabs>
        <w:ind w:left="4320" w:hanging="360"/>
      </w:pPr>
      <w:rPr>
        <w:rFonts w:ascii="Arial" w:hAnsi="Arial" w:hint="default"/>
      </w:rPr>
    </w:lvl>
    <w:lvl w:ilvl="6" w:tplc="45ECDAFA" w:tentative="1">
      <w:start w:val="1"/>
      <w:numFmt w:val="bullet"/>
      <w:lvlText w:val="•"/>
      <w:lvlJc w:val="left"/>
      <w:pPr>
        <w:tabs>
          <w:tab w:val="num" w:pos="5040"/>
        </w:tabs>
        <w:ind w:left="5040" w:hanging="360"/>
      </w:pPr>
      <w:rPr>
        <w:rFonts w:ascii="Arial" w:hAnsi="Arial" w:hint="default"/>
      </w:rPr>
    </w:lvl>
    <w:lvl w:ilvl="7" w:tplc="4C4A0FBA" w:tentative="1">
      <w:start w:val="1"/>
      <w:numFmt w:val="bullet"/>
      <w:lvlText w:val="•"/>
      <w:lvlJc w:val="left"/>
      <w:pPr>
        <w:tabs>
          <w:tab w:val="num" w:pos="5760"/>
        </w:tabs>
        <w:ind w:left="5760" w:hanging="360"/>
      </w:pPr>
      <w:rPr>
        <w:rFonts w:ascii="Arial" w:hAnsi="Arial" w:hint="default"/>
      </w:rPr>
    </w:lvl>
    <w:lvl w:ilvl="8" w:tplc="BB2E6A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1"/>
  </w:num>
  <w:num w:numId="3">
    <w:abstractNumId w:val="22"/>
  </w:num>
  <w:num w:numId="4">
    <w:abstractNumId w:val="8"/>
  </w:num>
  <w:num w:numId="5">
    <w:abstractNumId w:val="15"/>
  </w:num>
  <w:num w:numId="6">
    <w:abstractNumId w:val="9"/>
  </w:num>
  <w:num w:numId="7">
    <w:abstractNumId w:val="7"/>
  </w:num>
  <w:num w:numId="8">
    <w:abstractNumId w:val="5"/>
  </w:num>
  <w:num w:numId="9">
    <w:abstractNumId w:val="18"/>
  </w:num>
  <w:num w:numId="10">
    <w:abstractNumId w:val="2"/>
  </w:num>
  <w:num w:numId="11">
    <w:abstractNumId w:val="10"/>
  </w:num>
  <w:num w:numId="12">
    <w:abstractNumId w:val="13"/>
  </w:num>
  <w:num w:numId="13">
    <w:abstractNumId w:val="14"/>
  </w:num>
  <w:num w:numId="14">
    <w:abstractNumId w:val="17"/>
  </w:num>
  <w:num w:numId="15">
    <w:abstractNumId w:val="0"/>
  </w:num>
  <w:num w:numId="16">
    <w:abstractNumId w:val="1"/>
  </w:num>
  <w:num w:numId="17">
    <w:abstractNumId w:val="19"/>
  </w:num>
  <w:num w:numId="18">
    <w:abstractNumId w:val="4"/>
  </w:num>
  <w:num w:numId="19">
    <w:abstractNumId w:val="11"/>
  </w:num>
  <w:num w:numId="20">
    <w:abstractNumId w:val="12"/>
  </w:num>
  <w:num w:numId="21">
    <w:abstractNumId w:val="20"/>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A5E55"/>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4F7CD1"/>
    <w:rsid w:val="005009F9"/>
    <w:rsid w:val="005051E8"/>
    <w:rsid w:val="0050657C"/>
    <w:rsid w:val="00514F37"/>
    <w:rsid w:val="005155F9"/>
    <w:rsid w:val="00526C0E"/>
    <w:rsid w:val="00592B67"/>
    <w:rsid w:val="005A68B6"/>
    <w:rsid w:val="005D22B0"/>
    <w:rsid w:val="005D4451"/>
    <w:rsid w:val="0061333A"/>
    <w:rsid w:val="00640276"/>
    <w:rsid w:val="006420A1"/>
    <w:rsid w:val="00681277"/>
    <w:rsid w:val="00694DC7"/>
    <w:rsid w:val="006A2A24"/>
    <w:rsid w:val="006B29A1"/>
    <w:rsid w:val="006C2592"/>
    <w:rsid w:val="006E101C"/>
    <w:rsid w:val="00700651"/>
    <w:rsid w:val="00714A9E"/>
    <w:rsid w:val="00732C89"/>
    <w:rsid w:val="00736A2C"/>
    <w:rsid w:val="007550E2"/>
    <w:rsid w:val="0076203D"/>
    <w:rsid w:val="00784FFE"/>
    <w:rsid w:val="007B1673"/>
    <w:rsid w:val="007E1AD0"/>
    <w:rsid w:val="007E4136"/>
    <w:rsid w:val="007F199B"/>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31E95"/>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F2F1D"/>
    <w:rsid w:val="00C10F74"/>
    <w:rsid w:val="00C241F7"/>
    <w:rsid w:val="00C250FE"/>
    <w:rsid w:val="00C35D3E"/>
    <w:rsid w:val="00C41EE9"/>
    <w:rsid w:val="00C65E63"/>
    <w:rsid w:val="00C8030F"/>
    <w:rsid w:val="00C86646"/>
    <w:rsid w:val="00C96315"/>
    <w:rsid w:val="00CB78A9"/>
    <w:rsid w:val="00CC7DFB"/>
    <w:rsid w:val="00CD7414"/>
    <w:rsid w:val="00CE15CD"/>
    <w:rsid w:val="00D22BD0"/>
    <w:rsid w:val="00D26AE8"/>
    <w:rsid w:val="00D403F0"/>
    <w:rsid w:val="00D473EB"/>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B7B5"/>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 w:type="character" w:customStyle="1" w:styleId="cite">
    <w:name w:val="cite"/>
    <w:basedOn w:val="Fuentedeprrafopredeter"/>
    <w:rsid w:val="00C35D3E"/>
  </w:style>
  <w:style w:type="character" w:customStyle="1" w:styleId="cite-id">
    <w:name w:val="cite-id"/>
    <w:basedOn w:val="Fuentedeprrafopredeter"/>
    <w:rsid w:val="00C35D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363942712">
      <w:bodyDiv w:val="1"/>
      <w:marLeft w:val="0"/>
      <w:marRight w:val="0"/>
      <w:marTop w:val="0"/>
      <w:marBottom w:val="0"/>
      <w:divBdr>
        <w:top w:val="none" w:sz="0" w:space="0" w:color="auto"/>
        <w:left w:val="none" w:sz="0" w:space="0" w:color="auto"/>
        <w:bottom w:val="none" w:sz="0" w:space="0" w:color="auto"/>
        <w:right w:val="none" w:sz="0" w:space="0" w:color="auto"/>
      </w:divBdr>
      <w:divsChild>
        <w:div w:id="216086422">
          <w:marLeft w:val="0"/>
          <w:marRight w:val="0"/>
          <w:marTop w:val="0"/>
          <w:marBottom w:val="0"/>
          <w:divBdr>
            <w:top w:val="none" w:sz="0" w:space="0" w:color="auto"/>
            <w:left w:val="none" w:sz="0" w:space="0" w:color="auto"/>
            <w:bottom w:val="none" w:sz="0" w:space="0" w:color="auto"/>
            <w:right w:val="none" w:sz="0" w:space="0" w:color="auto"/>
          </w:divBdr>
          <w:divsChild>
            <w:div w:id="36007418">
              <w:marLeft w:val="240"/>
              <w:marRight w:val="0"/>
              <w:marTop w:val="0"/>
              <w:marBottom w:val="0"/>
              <w:divBdr>
                <w:top w:val="none" w:sz="0" w:space="0" w:color="auto"/>
                <w:left w:val="none" w:sz="0" w:space="0" w:color="auto"/>
                <w:bottom w:val="none" w:sz="0" w:space="0" w:color="auto"/>
                <w:right w:val="none" w:sz="0" w:space="0" w:color="auto"/>
              </w:divBdr>
            </w:div>
            <w:div w:id="1076052199">
              <w:marLeft w:val="240"/>
              <w:marRight w:val="0"/>
              <w:marTop w:val="0"/>
              <w:marBottom w:val="0"/>
              <w:divBdr>
                <w:top w:val="none" w:sz="0" w:space="0" w:color="auto"/>
                <w:left w:val="none" w:sz="0" w:space="0" w:color="auto"/>
                <w:bottom w:val="none" w:sz="0" w:space="0" w:color="auto"/>
                <w:right w:val="none" w:sz="0" w:space="0" w:color="auto"/>
              </w:divBdr>
            </w:div>
            <w:div w:id="1867787475">
              <w:marLeft w:val="240"/>
              <w:marRight w:val="0"/>
              <w:marTop w:val="0"/>
              <w:marBottom w:val="0"/>
              <w:divBdr>
                <w:top w:val="none" w:sz="0" w:space="0" w:color="auto"/>
                <w:left w:val="none" w:sz="0" w:space="0" w:color="auto"/>
                <w:bottom w:val="none" w:sz="0" w:space="0" w:color="auto"/>
                <w:right w:val="none" w:sz="0" w:space="0" w:color="auto"/>
              </w:divBdr>
            </w:div>
            <w:div w:id="857892199">
              <w:marLeft w:val="240"/>
              <w:marRight w:val="0"/>
              <w:marTop w:val="0"/>
              <w:marBottom w:val="0"/>
              <w:divBdr>
                <w:top w:val="none" w:sz="0" w:space="0" w:color="auto"/>
                <w:left w:val="none" w:sz="0" w:space="0" w:color="auto"/>
                <w:bottom w:val="none" w:sz="0" w:space="0" w:color="auto"/>
                <w:right w:val="none" w:sz="0" w:space="0" w:color="auto"/>
              </w:divBdr>
            </w:div>
            <w:div w:id="1244293061">
              <w:marLeft w:val="240"/>
              <w:marRight w:val="0"/>
              <w:marTop w:val="0"/>
              <w:marBottom w:val="0"/>
              <w:divBdr>
                <w:top w:val="none" w:sz="0" w:space="0" w:color="auto"/>
                <w:left w:val="none" w:sz="0" w:space="0" w:color="auto"/>
                <w:bottom w:val="none" w:sz="0" w:space="0" w:color="auto"/>
                <w:right w:val="none" w:sz="0" w:space="0" w:color="auto"/>
              </w:divBdr>
            </w:div>
            <w:div w:id="679503252">
              <w:marLeft w:val="240"/>
              <w:marRight w:val="0"/>
              <w:marTop w:val="0"/>
              <w:marBottom w:val="0"/>
              <w:divBdr>
                <w:top w:val="none" w:sz="0" w:space="0" w:color="auto"/>
                <w:left w:val="none" w:sz="0" w:space="0" w:color="auto"/>
                <w:bottom w:val="none" w:sz="0" w:space="0" w:color="auto"/>
                <w:right w:val="none" w:sz="0" w:space="0" w:color="auto"/>
              </w:divBdr>
            </w:div>
            <w:div w:id="26563649">
              <w:marLeft w:val="240"/>
              <w:marRight w:val="0"/>
              <w:marTop w:val="0"/>
              <w:marBottom w:val="0"/>
              <w:divBdr>
                <w:top w:val="none" w:sz="0" w:space="0" w:color="auto"/>
                <w:left w:val="none" w:sz="0" w:space="0" w:color="auto"/>
                <w:bottom w:val="none" w:sz="0" w:space="0" w:color="auto"/>
                <w:right w:val="none" w:sz="0" w:space="0" w:color="auto"/>
              </w:divBdr>
            </w:div>
            <w:div w:id="1696734454">
              <w:marLeft w:val="240"/>
              <w:marRight w:val="0"/>
              <w:marTop w:val="0"/>
              <w:marBottom w:val="0"/>
              <w:divBdr>
                <w:top w:val="none" w:sz="0" w:space="0" w:color="auto"/>
                <w:left w:val="none" w:sz="0" w:space="0" w:color="auto"/>
                <w:bottom w:val="none" w:sz="0" w:space="0" w:color="auto"/>
                <w:right w:val="none" w:sz="0" w:space="0" w:color="auto"/>
              </w:divBdr>
            </w:div>
            <w:div w:id="710811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073624145">
      <w:bodyDiv w:val="1"/>
      <w:marLeft w:val="0"/>
      <w:marRight w:val="0"/>
      <w:marTop w:val="0"/>
      <w:marBottom w:val="0"/>
      <w:divBdr>
        <w:top w:val="none" w:sz="0" w:space="0" w:color="auto"/>
        <w:left w:val="none" w:sz="0" w:space="0" w:color="auto"/>
        <w:bottom w:val="none" w:sz="0" w:space="0" w:color="auto"/>
        <w:right w:val="none" w:sz="0" w:space="0" w:color="auto"/>
      </w:divBdr>
      <w:divsChild>
        <w:div w:id="2089418944">
          <w:marLeft w:val="0"/>
          <w:marRight w:val="0"/>
          <w:marTop w:val="0"/>
          <w:marBottom w:val="450"/>
          <w:divBdr>
            <w:top w:val="none" w:sz="0" w:space="0" w:color="auto"/>
            <w:left w:val="none" w:sz="0" w:space="0" w:color="auto"/>
            <w:bottom w:val="none" w:sz="0" w:space="0" w:color="auto"/>
            <w:right w:val="none" w:sz="0" w:space="0" w:color="auto"/>
          </w:divBdr>
        </w:div>
        <w:div w:id="285358613">
          <w:marLeft w:val="0"/>
          <w:marRight w:val="0"/>
          <w:marTop w:val="0"/>
          <w:marBottom w:val="450"/>
          <w:divBdr>
            <w:top w:val="none" w:sz="0" w:space="0" w:color="auto"/>
            <w:left w:val="none" w:sz="0" w:space="0" w:color="auto"/>
            <w:bottom w:val="none" w:sz="0" w:space="0" w:color="auto"/>
            <w:right w:val="none" w:sz="0" w:space="0" w:color="auto"/>
          </w:divBdr>
        </w:div>
        <w:div w:id="91174103">
          <w:marLeft w:val="0"/>
          <w:marRight w:val="0"/>
          <w:marTop w:val="0"/>
          <w:marBottom w:val="450"/>
          <w:divBdr>
            <w:top w:val="none" w:sz="0" w:space="0" w:color="auto"/>
            <w:left w:val="none" w:sz="0" w:space="0" w:color="auto"/>
            <w:bottom w:val="none" w:sz="0" w:space="0" w:color="auto"/>
            <w:right w:val="none" w:sz="0" w:space="0" w:color="auto"/>
          </w:divBdr>
        </w:div>
        <w:div w:id="1553495490">
          <w:marLeft w:val="0"/>
          <w:marRight w:val="0"/>
          <w:marTop w:val="0"/>
          <w:marBottom w:val="450"/>
          <w:divBdr>
            <w:top w:val="none" w:sz="0" w:space="0" w:color="auto"/>
            <w:left w:val="none" w:sz="0" w:space="0" w:color="auto"/>
            <w:bottom w:val="none" w:sz="0" w:space="0" w:color="auto"/>
            <w:right w:val="none" w:sz="0" w:space="0" w:color="auto"/>
          </w:divBdr>
        </w:div>
      </w:divsChild>
    </w:div>
    <w:div w:id="1182548676">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1615936969">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doi.org/10.1016/0377-2217(78)90138-8" TargetMode="External"/><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doi.org/10.1016/j.biombioe.2020.105581" TargetMode="External"/><Relationship Id="rId47" Type="http://schemas.openxmlformats.org/officeDocument/2006/relationships/image" Target="media/image23.png"/><Relationship Id="rId50" Type="http://schemas.openxmlformats.org/officeDocument/2006/relationships/image" Target="media/image26.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9" Type="http://schemas.openxmlformats.org/officeDocument/2006/relationships/hyperlink" Target="https://doi.org/10.47847/faccea.v14n1a2" TargetMode="External"/><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hyperlink" Target="https://doi.org/10.1016/j.jclepro.2017.10.063" TargetMode="External"/><Relationship Id="rId45" Type="http://schemas.openxmlformats.org/officeDocument/2006/relationships/hyperlink" Target="https://doi.org/10.1007/s13762-019-02539-5"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hyperlink" Target="https://doi.org/10.3390/resources6020017" TargetMode="External"/><Relationship Id="rId52" Type="http://schemas.openxmlformats.org/officeDocument/2006/relationships/hyperlink" Target="https://ecoeficiencia-en-cafe.netlify.app/"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hyperlink" Target="https://doi.org/10.1016/j.jclepro.2016.06.071" TargetMode="External"/><Relationship Id="rId48" Type="http://schemas.openxmlformats.org/officeDocument/2006/relationships/image" Target="media/image24.png"/><Relationship Id="rId8" Type="http://schemas.openxmlformats.org/officeDocument/2006/relationships/image" Target="media/image3.jpeg"/><Relationship Id="rId51" Type="http://schemas.openxmlformats.org/officeDocument/2006/relationships/hyperlink" Target="https://github.com/Adriancanova/Ecoeficiencia-combinado-con-LCA-y-DEA"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hyperlink" Target="https://doi.org/10.1016/j.compag.2018.05.037" TargetMode="External"/><Relationship Id="rId46" Type="http://schemas.openxmlformats.org/officeDocument/2006/relationships/hyperlink" Target="https://doi.org/10.1016/j.jclepro.2021.127609" TargetMode="External"/><Relationship Id="rId20" Type="http://schemas.openxmlformats.org/officeDocument/2006/relationships/image" Target="media/image11.png"/><Relationship Id="rId41" Type="http://schemas.openxmlformats.org/officeDocument/2006/relationships/hyperlink" Target="https://doi.org/10.1065/lca2006.02.002"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49"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C98B2C-DD5A-4643-BDA5-BA20AC690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1115</TotalTime>
  <Pages>27</Pages>
  <Words>6267</Words>
  <Characters>34474</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202</cp:revision>
  <dcterms:created xsi:type="dcterms:W3CDTF">2025-03-28T16:07:00Z</dcterms:created>
  <dcterms:modified xsi:type="dcterms:W3CDTF">2025-05-30T19:15:00Z</dcterms:modified>
</cp:coreProperties>
</file>