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AFF20" w14:textId="77777777" w:rsidR="003A401F" w:rsidRDefault="00B038DC" w:rsidP="0024444A">
      <w:pPr>
        <w:spacing w:after="40" w:line="360" w:lineRule="auto"/>
        <w:jc w:val="center"/>
      </w:pPr>
      <w:r>
        <w:rPr>
          <w:b/>
          <w:bCs/>
          <w:sz w:val="26"/>
          <w:szCs w:val="26"/>
        </w:rPr>
        <w:t>UNIVERSIDAD NACIONAL MAYOR DE SAN MARCOS</w:t>
      </w:r>
    </w:p>
    <w:p w14:paraId="47BA34E8" w14:textId="77777777" w:rsidR="003A401F" w:rsidRDefault="00B038DC" w:rsidP="0024444A">
      <w:pPr>
        <w:spacing w:after="40" w:line="360" w:lineRule="auto"/>
        <w:jc w:val="center"/>
      </w:pPr>
      <w:r>
        <w:rPr>
          <w:i/>
          <w:iCs/>
          <w:sz w:val="20"/>
          <w:szCs w:val="20"/>
        </w:rPr>
        <w:t>(Universidad del Perú, Decana de América)</w:t>
      </w:r>
    </w:p>
    <w:p w14:paraId="4D8C90A8" w14:textId="79A273FB" w:rsidR="003A401F" w:rsidRDefault="00B038DC" w:rsidP="0024444A">
      <w:pPr>
        <w:spacing w:after="40" w:line="360" w:lineRule="auto"/>
        <w:jc w:val="center"/>
      </w:pPr>
      <w:r>
        <w:rPr>
          <w:b/>
          <w:bCs/>
        </w:rPr>
        <w:t>FACULTAD DE INGENIERÍA DE SISTEMAS E INFORMÁTICA</w:t>
      </w:r>
    </w:p>
    <w:p w14:paraId="36B4D901" w14:textId="3E3046F1" w:rsidR="003A401F" w:rsidRDefault="0024444A" w:rsidP="0024444A">
      <w:pPr>
        <w:spacing w:after="300" w:line="360" w:lineRule="auto"/>
        <w:jc w:val="center"/>
      </w:pPr>
      <w:r>
        <w:rPr>
          <w:noProof/>
        </w:rPr>
        <w:drawing>
          <wp:anchor distT="0" distB="0" distL="114300" distR="114300" simplePos="0" relativeHeight="251665408" behindDoc="0" locked="0" layoutInCell="1" allowOverlap="1" wp14:anchorId="1FE204A1" wp14:editId="4CA3ACFD">
            <wp:simplePos x="0" y="0"/>
            <wp:positionH relativeFrom="margin">
              <wp:align>center</wp:align>
            </wp:positionH>
            <wp:positionV relativeFrom="paragraph">
              <wp:posOffset>260985</wp:posOffset>
            </wp:positionV>
            <wp:extent cx="3159125" cy="3710940"/>
            <wp:effectExtent l="0" t="0" r="3175" b="381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59125" cy="3710940"/>
                    </a:xfrm>
                    <a:prstGeom prst="rect">
                      <a:avLst/>
                    </a:prstGeom>
                  </pic:spPr>
                </pic:pic>
              </a:graphicData>
            </a:graphic>
            <wp14:sizeRelH relativeFrom="page">
              <wp14:pctWidth>0</wp14:pctWidth>
            </wp14:sizeRelH>
            <wp14:sizeRelV relativeFrom="page">
              <wp14:pctHeight>0</wp14:pctHeight>
            </wp14:sizeRelV>
          </wp:anchor>
        </w:drawing>
      </w:r>
      <w:r w:rsidR="00B038DC">
        <w:rPr>
          <w:b/>
          <w:bCs/>
        </w:rPr>
        <w:t>ESCUELA ACADÉMICA PROFESIONAL DE INGENIERÍA DE SISTEMAS</w:t>
      </w:r>
    </w:p>
    <w:p w14:paraId="52F5C58B" w14:textId="77777777" w:rsidR="003A401F" w:rsidRDefault="00B038DC" w:rsidP="0024444A">
      <w:pPr>
        <w:spacing w:before="300" w:after="40" w:line="360" w:lineRule="auto"/>
        <w:jc w:val="center"/>
      </w:pPr>
      <w:r>
        <w:rPr>
          <w:b/>
          <w:bCs/>
          <w:sz w:val="26"/>
          <w:szCs w:val="26"/>
        </w:rPr>
        <w:t>ENTREGABLE FINAL</w:t>
      </w:r>
    </w:p>
    <w:p w14:paraId="39A83898" w14:textId="77777777" w:rsidR="003A401F" w:rsidRDefault="00B038DC" w:rsidP="0024444A">
      <w:pPr>
        <w:spacing w:after="200" w:line="360" w:lineRule="auto"/>
        <w:jc w:val="center"/>
      </w:pPr>
      <w:r>
        <w:rPr>
          <w:b/>
          <w:bCs/>
        </w:rPr>
        <w:t>Grupo 9</w:t>
      </w:r>
    </w:p>
    <w:p w14:paraId="058FE38F" w14:textId="77777777" w:rsidR="003A401F" w:rsidRDefault="00B038DC" w:rsidP="0024444A">
      <w:pPr>
        <w:spacing w:after="80" w:line="360" w:lineRule="auto"/>
        <w:jc w:val="center"/>
      </w:pPr>
      <w:r>
        <w:rPr>
          <w:b/>
          <w:bCs/>
        </w:rPr>
        <w:t>INTEGRANTES:</w:t>
      </w:r>
    </w:p>
    <w:p w14:paraId="7C198B3C" w14:textId="77777777" w:rsidR="003A401F" w:rsidRDefault="00B038DC" w:rsidP="0024444A">
      <w:pPr>
        <w:spacing w:after="40" w:line="360" w:lineRule="auto"/>
        <w:jc w:val="center"/>
      </w:pPr>
      <w:r>
        <w:t>CRISÓSTOMO ALTAMIRANO, AXL MIKEL</w:t>
      </w:r>
    </w:p>
    <w:p w14:paraId="7AFF7607" w14:textId="77777777" w:rsidR="003A401F" w:rsidRDefault="00B038DC" w:rsidP="0024444A">
      <w:pPr>
        <w:spacing w:after="40" w:line="360" w:lineRule="auto"/>
        <w:jc w:val="center"/>
      </w:pPr>
      <w:r>
        <w:t>CHUNGA CHEVEZ AXEL, JOSUÉ</w:t>
      </w:r>
    </w:p>
    <w:p w14:paraId="355FE6DA" w14:textId="77777777" w:rsidR="003A401F" w:rsidRDefault="00B038DC" w:rsidP="0024444A">
      <w:pPr>
        <w:spacing w:after="40" w:line="360" w:lineRule="auto"/>
        <w:jc w:val="center"/>
      </w:pPr>
      <w:r>
        <w:t>DIAZ SOBRINO, YUZO</w:t>
      </w:r>
    </w:p>
    <w:p w14:paraId="3B27F9DC" w14:textId="77777777" w:rsidR="003A401F" w:rsidRDefault="00B038DC" w:rsidP="0024444A">
      <w:pPr>
        <w:spacing w:after="40" w:line="360" w:lineRule="auto"/>
        <w:jc w:val="center"/>
      </w:pPr>
      <w:r>
        <w:t>MEDRANO GARAY ADRIANO JESÚS</w:t>
      </w:r>
    </w:p>
    <w:p w14:paraId="07A93D66" w14:textId="77777777" w:rsidR="003A401F" w:rsidRDefault="00B038DC" w:rsidP="0024444A">
      <w:pPr>
        <w:spacing w:after="40" w:line="360" w:lineRule="auto"/>
        <w:jc w:val="center"/>
      </w:pPr>
      <w:r>
        <w:t>VASQUEZ PELAEZ, FRANCESS JEICOLL</w:t>
      </w:r>
    </w:p>
    <w:p w14:paraId="02A528AE" w14:textId="77777777" w:rsidR="003A401F" w:rsidRDefault="00B038DC" w:rsidP="0024444A">
      <w:pPr>
        <w:spacing w:before="300" w:after="20" w:line="360" w:lineRule="auto"/>
        <w:jc w:val="center"/>
      </w:pPr>
      <w:r>
        <w:rPr>
          <w:b/>
          <w:bCs/>
        </w:rPr>
        <w:t>Lima, Perú</w:t>
      </w:r>
    </w:p>
    <w:p w14:paraId="15165EA6" w14:textId="77777777" w:rsidR="003A401F" w:rsidRDefault="00B038DC" w:rsidP="0024444A">
      <w:pPr>
        <w:spacing w:line="360" w:lineRule="auto"/>
        <w:jc w:val="center"/>
      </w:pPr>
      <w:r>
        <w:rPr>
          <w:b/>
          <w:bCs/>
        </w:rPr>
        <w:t>2026</w:t>
      </w:r>
    </w:p>
    <w:p w14:paraId="1639CC11" w14:textId="77777777" w:rsidR="003A401F" w:rsidRDefault="00B038DC">
      <w:r>
        <w:br w:type="page"/>
      </w:r>
    </w:p>
    <w:sdt>
      <w:sdtPr>
        <w:rPr>
          <w:rFonts w:ascii="Times New Roman" w:eastAsia="Times New Roman" w:hAnsi="Times New Roman" w:cs="Times New Roman"/>
          <w:color w:val="000000"/>
          <w:sz w:val="22"/>
          <w:szCs w:val="22"/>
        </w:rPr>
        <w:id w:val="1946414111"/>
        <w:docPartObj>
          <w:docPartGallery w:val="Table of Contents"/>
          <w:docPartUnique/>
        </w:docPartObj>
      </w:sdtPr>
      <w:sdtEndPr>
        <w:rPr>
          <w:b/>
          <w:bCs/>
        </w:rPr>
      </w:sdtEndPr>
      <w:sdtContent>
        <w:p w14:paraId="2FADF2EB" w14:textId="535DDEB9" w:rsidR="00A72B38" w:rsidRPr="00A72B38" w:rsidRDefault="00A72B38" w:rsidP="00FE1DD9">
          <w:pPr>
            <w:pStyle w:val="TtuloTDC"/>
            <w:spacing w:line="360" w:lineRule="auto"/>
            <w:rPr>
              <w:rFonts w:ascii="Times New Roman" w:hAnsi="Times New Roman" w:cs="Times New Roman"/>
              <w:sz w:val="24"/>
              <w:szCs w:val="24"/>
            </w:rPr>
          </w:pPr>
          <w:r w:rsidRPr="00A72B38">
            <w:rPr>
              <w:rFonts w:ascii="Times New Roman" w:hAnsi="Times New Roman" w:cs="Times New Roman"/>
              <w:sz w:val="24"/>
              <w:szCs w:val="24"/>
            </w:rPr>
            <w:t>Índice</w:t>
          </w:r>
        </w:p>
        <w:p w14:paraId="7A492979" w14:textId="4D708850" w:rsidR="00A55779" w:rsidRDefault="00A72B38">
          <w:pPr>
            <w:pStyle w:val="TDC1"/>
            <w:tabs>
              <w:tab w:val="right" w:leader="dot" w:pos="9530"/>
            </w:tabs>
            <w:rPr>
              <w:rFonts w:asciiTheme="minorHAnsi" w:eastAsiaTheme="minorEastAsia" w:hAnsiTheme="minorHAnsi" w:cstheme="minorBidi"/>
              <w:noProof/>
              <w:color w:val="auto"/>
            </w:rPr>
          </w:pPr>
          <w:r w:rsidRPr="00A72B38">
            <w:rPr>
              <w:sz w:val="24"/>
              <w:szCs w:val="24"/>
            </w:rPr>
            <w:fldChar w:fldCharType="begin"/>
          </w:r>
          <w:r w:rsidRPr="00A72B38">
            <w:rPr>
              <w:sz w:val="24"/>
              <w:szCs w:val="24"/>
            </w:rPr>
            <w:instrText xml:space="preserve"> TOC \o "1-3" \h \z \u </w:instrText>
          </w:r>
          <w:r w:rsidRPr="00A72B38">
            <w:rPr>
              <w:sz w:val="24"/>
              <w:szCs w:val="24"/>
            </w:rPr>
            <w:fldChar w:fldCharType="separate"/>
          </w:r>
          <w:hyperlink w:anchor="_Toc235022570" w:history="1">
            <w:r w:rsidR="00A55779" w:rsidRPr="00F605FF">
              <w:rPr>
                <w:rStyle w:val="Hipervnculo"/>
                <w:b/>
                <w:bCs/>
                <w:noProof/>
              </w:rPr>
              <w:t>Inteligencia de Negocios para la Optimización de Servicios en RENIEC</w:t>
            </w:r>
            <w:r w:rsidR="00A55779">
              <w:rPr>
                <w:noProof/>
                <w:webHidden/>
              </w:rPr>
              <w:tab/>
            </w:r>
            <w:r w:rsidR="00A55779">
              <w:rPr>
                <w:noProof/>
                <w:webHidden/>
              </w:rPr>
              <w:fldChar w:fldCharType="begin"/>
            </w:r>
            <w:r w:rsidR="00A55779">
              <w:rPr>
                <w:noProof/>
                <w:webHidden/>
              </w:rPr>
              <w:instrText xml:space="preserve"> PAGEREF _Toc235022570 \h </w:instrText>
            </w:r>
            <w:r w:rsidR="00A55779">
              <w:rPr>
                <w:noProof/>
                <w:webHidden/>
              </w:rPr>
            </w:r>
            <w:r w:rsidR="00A55779">
              <w:rPr>
                <w:noProof/>
                <w:webHidden/>
              </w:rPr>
              <w:fldChar w:fldCharType="separate"/>
            </w:r>
            <w:r w:rsidR="00A55779">
              <w:rPr>
                <w:noProof/>
                <w:webHidden/>
              </w:rPr>
              <w:t>4</w:t>
            </w:r>
            <w:r w:rsidR="00A55779">
              <w:rPr>
                <w:noProof/>
                <w:webHidden/>
              </w:rPr>
              <w:fldChar w:fldCharType="end"/>
            </w:r>
          </w:hyperlink>
        </w:p>
        <w:p w14:paraId="63C90EBA" w14:textId="015BA6BD" w:rsidR="00A55779" w:rsidRDefault="00A55779">
          <w:pPr>
            <w:pStyle w:val="TDC2"/>
            <w:tabs>
              <w:tab w:val="right" w:leader="dot" w:pos="9530"/>
            </w:tabs>
            <w:rPr>
              <w:rFonts w:asciiTheme="minorHAnsi" w:eastAsiaTheme="minorEastAsia" w:hAnsiTheme="minorHAnsi" w:cstheme="minorBidi"/>
              <w:noProof/>
              <w:color w:val="auto"/>
            </w:rPr>
          </w:pPr>
          <w:hyperlink w:anchor="_Toc235022571" w:history="1">
            <w:r w:rsidRPr="00F605FF">
              <w:rPr>
                <w:rStyle w:val="Hipervnculo"/>
                <w:b/>
                <w:bCs/>
                <w:noProof/>
              </w:rPr>
              <w:t>Problema</w:t>
            </w:r>
            <w:r>
              <w:rPr>
                <w:noProof/>
                <w:webHidden/>
              </w:rPr>
              <w:tab/>
            </w:r>
            <w:r>
              <w:rPr>
                <w:noProof/>
                <w:webHidden/>
              </w:rPr>
              <w:fldChar w:fldCharType="begin"/>
            </w:r>
            <w:r>
              <w:rPr>
                <w:noProof/>
                <w:webHidden/>
              </w:rPr>
              <w:instrText xml:space="preserve"> PAGEREF _Toc235022571 \h </w:instrText>
            </w:r>
            <w:r>
              <w:rPr>
                <w:noProof/>
                <w:webHidden/>
              </w:rPr>
            </w:r>
            <w:r>
              <w:rPr>
                <w:noProof/>
                <w:webHidden/>
              </w:rPr>
              <w:fldChar w:fldCharType="separate"/>
            </w:r>
            <w:r>
              <w:rPr>
                <w:noProof/>
                <w:webHidden/>
              </w:rPr>
              <w:t>4</w:t>
            </w:r>
            <w:r>
              <w:rPr>
                <w:noProof/>
                <w:webHidden/>
              </w:rPr>
              <w:fldChar w:fldCharType="end"/>
            </w:r>
          </w:hyperlink>
        </w:p>
        <w:p w14:paraId="3346D481" w14:textId="33C8D68D" w:rsidR="00A55779" w:rsidRDefault="00A55779">
          <w:pPr>
            <w:pStyle w:val="TDC2"/>
            <w:tabs>
              <w:tab w:val="right" w:leader="dot" w:pos="9530"/>
            </w:tabs>
            <w:rPr>
              <w:rFonts w:asciiTheme="minorHAnsi" w:eastAsiaTheme="minorEastAsia" w:hAnsiTheme="minorHAnsi" w:cstheme="minorBidi"/>
              <w:noProof/>
              <w:color w:val="auto"/>
            </w:rPr>
          </w:pPr>
          <w:hyperlink w:anchor="_Toc235022572" w:history="1">
            <w:r w:rsidRPr="00F605FF">
              <w:rPr>
                <w:rStyle w:val="Hipervnculo"/>
                <w:b/>
                <w:bCs/>
                <w:noProof/>
              </w:rPr>
              <w:t>Objetivo</w:t>
            </w:r>
            <w:r>
              <w:rPr>
                <w:noProof/>
                <w:webHidden/>
              </w:rPr>
              <w:tab/>
            </w:r>
            <w:r>
              <w:rPr>
                <w:noProof/>
                <w:webHidden/>
              </w:rPr>
              <w:fldChar w:fldCharType="begin"/>
            </w:r>
            <w:r>
              <w:rPr>
                <w:noProof/>
                <w:webHidden/>
              </w:rPr>
              <w:instrText xml:space="preserve"> PAGEREF _Toc235022572 \h </w:instrText>
            </w:r>
            <w:r>
              <w:rPr>
                <w:noProof/>
                <w:webHidden/>
              </w:rPr>
            </w:r>
            <w:r>
              <w:rPr>
                <w:noProof/>
                <w:webHidden/>
              </w:rPr>
              <w:fldChar w:fldCharType="separate"/>
            </w:r>
            <w:r>
              <w:rPr>
                <w:noProof/>
                <w:webHidden/>
              </w:rPr>
              <w:t>4</w:t>
            </w:r>
            <w:r>
              <w:rPr>
                <w:noProof/>
                <w:webHidden/>
              </w:rPr>
              <w:fldChar w:fldCharType="end"/>
            </w:r>
          </w:hyperlink>
        </w:p>
        <w:p w14:paraId="3F533806" w14:textId="23A1CD22" w:rsidR="00A55779" w:rsidRDefault="00A55779">
          <w:pPr>
            <w:pStyle w:val="TDC2"/>
            <w:tabs>
              <w:tab w:val="right" w:leader="dot" w:pos="9530"/>
            </w:tabs>
            <w:rPr>
              <w:rFonts w:asciiTheme="minorHAnsi" w:eastAsiaTheme="minorEastAsia" w:hAnsiTheme="minorHAnsi" w:cstheme="minorBidi"/>
              <w:noProof/>
              <w:color w:val="auto"/>
            </w:rPr>
          </w:pPr>
          <w:hyperlink w:anchor="_Toc235022573" w:history="1">
            <w:r w:rsidRPr="00F605FF">
              <w:rPr>
                <w:rStyle w:val="Hipervnculo"/>
                <w:b/>
                <w:bCs/>
                <w:noProof/>
              </w:rPr>
              <w:t>Solución Propuesta</w:t>
            </w:r>
            <w:r>
              <w:rPr>
                <w:noProof/>
                <w:webHidden/>
              </w:rPr>
              <w:tab/>
            </w:r>
            <w:r>
              <w:rPr>
                <w:noProof/>
                <w:webHidden/>
              </w:rPr>
              <w:fldChar w:fldCharType="begin"/>
            </w:r>
            <w:r>
              <w:rPr>
                <w:noProof/>
                <w:webHidden/>
              </w:rPr>
              <w:instrText xml:space="preserve"> PAGEREF _Toc235022573 \h </w:instrText>
            </w:r>
            <w:r>
              <w:rPr>
                <w:noProof/>
                <w:webHidden/>
              </w:rPr>
            </w:r>
            <w:r>
              <w:rPr>
                <w:noProof/>
                <w:webHidden/>
              </w:rPr>
              <w:fldChar w:fldCharType="separate"/>
            </w:r>
            <w:r>
              <w:rPr>
                <w:noProof/>
                <w:webHidden/>
              </w:rPr>
              <w:t>4</w:t>
            </w:r>
            <w:r>
              <w:rPr>
                <w:noProof/>
                <w:webHidden/>
              </w:rPr>
              <w:fldChar w:fldCharType="end"/>
            </w:r>
          </w:hyperlink>
        </w:p>
        <w:p w14:paraId="76990BE1" w14:textId="46F58B36" w:rsidR="00A55779" w:rsidRDefault="00A55779">
          <w:pPr>
            <w:pStyle w:val="TDC2"/>
            <w:tabs>
              <w:tab w:val="right" w:leader="dot" w:pos="9530"/>
            </w:tabs>
            <w:rPr>
              <w:rFonts w:asciiTheme="minorHAnsi" w:eastAsiaTheme="minorEastAsia" w:hAnsiTheme="minorHAnsi" w:cstheme="minorBidi"/>
              <w:noProof/>
              <w:color w:val="auto"/>
            </w:rPr>
          </w:pPr>
          <w:hyperlink w:anchor="_Toc235022574" w:history="1">
            <w:r w:rsidRPr="00F605FF">
              <w:rPr>
                <w:rStyle w:val="Hipervnculo"/>
                <w:b/>
                <w:bCs/>
                <w:noProof/>
              </w:rPr>
              <w:t>Resultados Esperados (estimaciones referenciales)</w:t>
            </w:r>
            <w:r>
              <w:rPr>
                <w:noProof/>
                <w:webHidden/>
              </w:rPr>
              <w:tab/>
            </w:r>
            <w:r>
              <w:rPr>
                <w:noProof/>
                <w:webHidden/>
              </w:rPr>
              <w:fldChar w:fldCharType="begin"/>
            </w:r>
            <w:r>
              <w:rPr>
                <w:noProof/>
                <w:webHidden/>
              </w:rPr>
              <w:instrText xml:space="preserve"> PAGEREF _Toc235022574 \h </w:instrText>
            </w:r>
            <w:r>
              <w:rPr>
                <w:noProof/>
                <w:webHidden/>
              </w:rPr>
            </w:r>
            <w:r>
              <w:rPr>
                <w:noProof/>
                <w:webHidden/>
              </w:rPr>
              <w:fldChar w:fldCharType="separate"/>
            </w:r>
            <w:r>
              <w:rPr>
                <w:noProof/>
                <w:webHidden/>
              </w:rPr>
              <w:t>4</w:t>
            </w:r>
            <w:r>
              <w:rPr>
                <w:noProof/>
                <w:webHidden/>
              </w:rPr>
              <w:fldChar w:fldCharType="end"/>
            </w:r>
          </w:hyperlink>
        </w:p>
        <w:p w14:paraId="68699E70" w14:textId="4BDDD1CB" w:rsidR="00A55779" w:rsidRDefault="00A55779">
          <w:pPr>
            <w:pStyle w:val="TDC2"/>
            <w:tabs>
              <w:tab w:val="right" w:leader="dot" w:pos="9530"/>
            </w:tabs>
            <w:rPr>
              <w:rFonts w:asciiTheme="minorHAnsi" w:eastAsiaTheme="minorEastAsia" w:hAnsiTheme="minorHAnsi" w:cstheme="minorBidi"/>
              <w:noProof/>
              <w:color w:val="auto"/>
            </w:rPr>
          </w:pPr>
          <w:hyperlink w:anchor="_Toc235022575" w:history="1">
            <w:r w:rsidRPr="00F605FF">
              <w:rPr>
                <w:rStyle w:val="Hipervnculo"/>
                <w:b/>
                <w:bCs/>
                <w:noProof/>
              </w:rPr>
              <w:t>5 Recomendaciones Prioritarias</w:t>
            </w:r>
            <w:r>
              <w:rPr>
                <w:noProof/>
                <w:webHidden/>
              </w:rPr>
              <w:tab/>
            </w:r>
            <w:r>
              <w:rPr>
                <w:noProof/>
                <w:webHidden/>
              </w:rPr>
              <w:fldChar w:fldCharType="begin"/>
            </w:r>
            <w:r>
              <w:rPr>
                <w:noProof/>
                <w:webHidden/>
              </w:rPr>
              <w:instrText xml:space="preserve"> PAGEREF _Toc235022575 \h </w:instrText>
            </w:r>
            <w:r>
              <w:rPr>
                <w:noProof/>
                <w:webHidden/>
              </w:rPr>
            </w:r>
            <w:r>
              <w:rPr>
                <w:noProof/>
                <w:webHidden/>
              </w:rPr>
              <w:fldChar w:fldCharType="separate"/>
            </w:r>
            <w:r>
              <w:rPr>
                <w:noProof/>
                <w:webHidden/>
              </w:rPr>
              <w:t>4</w:t>
            </w:r>
            <w:r>
              <w:rPr>
                <w:noProof/>
                <w:webHidden/>
              </w:rPr>
              <w:fldChar w:fldCharType="end"/>
            </w:r>
          </w:hyperlink>
        </w:p>
        <w:p w14:paraId="36F01783" w14:textId="1825579D" w:rsidR="00A55779" w:rsidRDefault="00A55779">
          <w:pPr>
            <w:pStyle w:val="TDC1"/>
            <w:tabs>
              <w:tab w:val="right" w:leader="dot" w:pos="9530"/>
            </w:tabs>
            <w:rPr>
              <w:rFonts w:asciiTheme="minorHAnsi" w:eastAsiaTheme="minorEastAsia" w:hAnsiTheme="minorHAnsi" w:cstheme="minorBidi"/>
              <w:noProof/>
              <w:color w:val="auto"/>
            </w:rPr>
          </w:pPr>
          <w:hyperlink w:anchor="_Toc235022576" w:history="1">
            <w:r w:rsidRPr="00F605FF">
              <w:rPr>
                <w:rStyle w:val="Hipervnculo"/>
                <w:b/>
                <w:bCs/>
                <w:noProof/>
              </w:rPr>
              <w:t>Resumen General del Proyecto</w:t>
            </w:r>
            <w:r>
              <w:rPr>
                <w:noProof/>
                <w:webHidden/>
              </w:rPr>
              <w:tab/>
            </w:r>
            <w:r>
              <w:rPr>
                <w:noProof/>
                <w:webHidden/>
              </w:rPr>
              <w:fldChar w:fldCharType="begin"/>
            </w:r>
            <w:r>
              <w:rPr>
                <w:noProof/>
                <w:webHidden/>
              </w:rPr>
              <w:instrText xml:space="preserve"> PAGEREF _Toc235022576 \h </w:instrText>
            </w:r>
            <w:r>
              <w:rPr>
                <w:noProof/>
                <w:webHidden/>
              </w:rPr>
            </w:r>
            <w:r>
              <w:rPr>
                <w:noProof/>
                <w:webHidden/>
              </w:rPr>
              <w:fldChar w:fldCharType="separate"/>
            </w:r>
            <w:r>
              <w:rPr>
                <w:noProof/>
                <w:webHidden/>
              </w:rPr>
              <w:t>5</w:t>
            </w:r>
            <w:r>
              <w:rPr>
                <w:noProof/>
                <w:webHidden/>
              </w:rPr>
              <w:fldChar w:fldCharType="end"/>
            </w:r>
          </w:hyperlink>
        </w:p>
        <w:p w14:paraId="33C2DADA" w14:textId="09E93860" w:rsidR="00A55779" w:rsidRDefault="00A55779">
          <w:pPr>
            <w:pStyle w:val="TDC1"/>
            <w:tabs>
              <w:tab w:val="right" w:leader="dot" w:pos="9530"/>
            </w:tabs>
            <w:rPr>
              <w:rFonts w:asciiTheme="minorHAnsi" w:eastAsiaTheme="minorEastAsia" w:hAnsiTheme="minorHAnsi" w:cstheme="minorBidi"/>
              <w:noProof/>
              <w:color w:val="auto"/>
            </w:rPr>
          </w:pPr>
          <w:hyperlink w:anchor="_Toc235022577" w:history="1">
            <w:r w:rsidRPr="00F605FF">
              <w:rPr>
                <w:rStyle w:val="Hipervnculo"/>
                <w:b/>
                <w:bCs/>
                <w:noProof/>
              </w:rPr>
              <w:t>1. ¿Qué es RENIEC?</w:t>
            </w:r>
            <w:r>
              <w:rPr>
                <w:noProof/>
                <w:webHidden/>
              </w:rPr>
              <w:tab/>
            </w:r>
            <w:r>
              <w:rPr>
                <w:noProof/>
                <w:webHidden/>
              </w:rPr>
              <w:fldChar w:fldCharType="begin"/>
            </w:r>
            <w:r>
              <w:rPr>
                <w:noProof/>
                <w:webHidden/>
              </w:rPr>
              <w:instrText xml:space="preserve"> PAGEREF _Toc235022577 \h </w:instrText>
            </w:r>
            <w:r>
              <w:rPr>
                <w:noProof/>
                <w:webHidden/>
              </w:rPr>
            </w:r>
            <w:r>
              <w:rPr>
                <w:noProof/>
                <w:webHidden/>
              </w:rPr>
              <w:fldChar w:fldCharType="separate"/>
            </w:r>
            <w:r>
              <w:rPr>
                <w:noProof/>
                <w:webHidden/>
              </w:rPr>
              <w:t>6</w:t>
            </w:r>
            <w:r>
              <w:rPr>
                <w:noProof/>
                <w:webHidden/>
              </w:rPr>
              <w:fldChar w:fldCharType="end"/>
            </w:r>
          </w:hyperlink>
        </w:p>
        <w:p w14:paraId="5552A400" w14:textId="408F4B29" w:rsidR="00A55779" w:rsidRDefault="00A55779">
          <w:pPr>
            <w:pStyle w:val="TDC1"/>
            <w:tabs>
              <w:tab w:val="right" w:leader="dot" w:pos="9530"/>
            </w:tabs>
            <w:rPr>
              <w:rFonts w:asciiTheme="minorHAnsi" w:eastAsiaTheme="minorEastAsia" w:hAnsiTheme="minorHAnsi" w:cstheme="minorBidi"/>
              <w:noProof/>
              <w:color w:val="auto"/>
            </w:rPr>
          </w:pPr>
          <w:hyperlink w:anchor="_Toc235022578" w:history="1">
            <w:r w:rsidRPr="00F605FF">
              <w:rPr>
                <w:rStyle w:val="Hipervnculo"/>
                <w:b/>
                <w:bCs/>
                <w:noProof/>
              </w:rPr>
              <w:t>2. Justificación del Proyecto</w:t>
            </w:r>
            <w:r>
              <w:rPr>
                <w:noProof/>
                <w:webHidden/>
              </w:rPr>
              <w:tab/>
            </w:r>
            <w:r>
              <w:rPr>
                <w:noProof/>
                <w:webHidden/>
              </w:rPr>
              <w:fldChar w:fldCharType="begin"/>
            </w:r>
            <w:r>
              <w:rPr>
                <w:noProof/>
                <w:webHidden/>
              </w:rPr>
              <w:instrText xml:space="preserve"> PAGEREF _Toc235022578 \h </w:instrText>
            </w:r>
            <w:r>
              <w:rPr>
                <w:noProof/>
                <w:webHidden/>
              </w:rPr>
            </w:r>
            <w:r>
              <w:rPr>
                <w:noProof/>
                <w:webHidden/>
              </w:rPr>
              <w:fldChar w:fldCharType="separate"/>
            </w:r>
            <w:r>
              <w:rPr>
                <w:noProof/>
                <w:webHidden/>
              </w:rPr>
              <w:t>6</w:t>
            </w:r>
            <w:r>
              <w:rPr>
                <w:noProof/>
                <w:webHidden/>
              </w:rPr>
              <w:fldChar w:fldCharType="end"/>
            </w:r>
          </w:hyperlink>
        </w:p>
        <w:p w14:paraId="5E6A86CA" w14:textId="0E9A9187" w:rsidR="00A55779" w:rsidRDefault="00A55779">
          <w:pPr>
            <w:pStyle w:val="TDC1"/>
            <w:tabs>
              <w:tab w:val="right" w:leader="dot" w:pos="9530"/>
            </w:tabs>
            <w:rPr>
              <w:rFonts w:asciiTheme="minorHAnsi" w:eastAsiaTheme="minorEastAsia" w:hAnsiTheme="minorHAnsi" w:cstheme="minorBidi"/>
              <w:noProof/>
              <w:color w:val="auto"/>
            </w:rPr>
          </w:pPr>
          <w:hyperlink w:anchor="_Toc235022579" w:history="1">
            <w:r w:rsidRPr="00F605FF">
              <w:rPr>
                <w:rStyle w:val="Hipervnculo"/>
                <w:b/>
                <w:bCs/>
                <w:noProof/>
              </w:rPr>
              <w:t>3. Alcance del Proyecto</w:t>
            </w:r>
            <w:r>
              <w:rPr>
                <w:noProof/>
                <w:webHidden/>
              </w:rPr>
              <w:tab/>
            </w:r>
            <w:r>
              <w:rPr>
                <w:noProof/>
                <w:webHidden/>
              </w:rPr>
              <w:fldChar w:fldCharType="begin"/>
            </w:r>
            <w:r>
              <w:rPr>
                <w:noProof/>
                <w:webHidden/>
              </w:rPr>
              <w:instrText xml:space="preserve"> PAGEREF _Toc235022579 \h </w:instrText>
            </w:r>
            <w:r>
              <w:rPr>
                <w:noProof/>
                <w:webHidden/>
              </w:rPr>
            </w:r>
            <w:r>
              <w:rPr>
                <w:noProof/>
                <w:webHidden/>
              </w:rPr>
              <w:fldChar w:fldCharType="separate"/>
            </w:r>
            <w:r>
              <w:rPr>
                <w:noProof/>
                <w:webHidden/>
              </w:rPr>
              <w:t>6</w:t>
            </w:r>
            <w:r>
              <w:rPr>
                <w:noProof/>
                <w:webHidden/>
              </w:rPr>
              <w:fldChar w:fldCharType="end"/>
            </w:r>
          </w:hyperlink>
        </w:p>
        <w:p w14:paraId="37C1D7B6" w14:textId="737B46FD" w:rsidR="00A55779" w:rsidRDefault="00A55779">
          <w:pPr>
            <w:pStyle w:val="TDC1"/>
            <w:tabs>
              <w:tab w:val="right" w:leader="dot" w:pos="9530"/>
            </w:tabs>
            <w:rPr>
              <w:rFonts w:asciiTheme="minorHAnsi" w:eastAsiaTheme="minorEastAsia" w:hAnsiTheme="minorHAnsi" w:cstheme="minorBidi"/>
              <w:noProof/>
              <w:color w:val="auto"/>
            </w:rPr>
          </w:pPr>
          <w:hyperlink w:anchor="_Toc235022580" w:history="1">
            <w:r w:rsidRPr="00F605FF">
              <w:rPr>
                <w:rStyle w:val="Hipervnculo"/>
                <w:noProof/>
              </w:rPr>
              <w:t>3.1. Expansión del Alcance: Capa KYC y Tax Shield para PYMEs</w:t>
            </w:r>
            <w:r>
              <w:rPr>
                <w:noProof/>
                <w:webHidden/>
              </w:rPr>
              <w:tab/>
            </w:r>
            <w:r>
              <w:rPr>
                <w:noProof/>
                <w:webHidden/>
              </w:rPr>
              <w:fldChar w:fldCharType="begin"/>
            </w:r>
            <w:r>
              <w:rPr>
                <w:noProof/>
                <w:webHidden/>
              </w:rPr>
              <w:instrText xml:space="preserve"> PAGEREF _Toc235022580 \h </w:instrText>
            </w:r>
            <w:r>
              <w:rPr>
                <w:noProof/>
                <w:webHidden/>
              </w:rPr>
            </w:r>
            <w:r>
              <w:rPr>
                <w:noProof/>
                <w:webHidden/>
              </w:rPr>
              <w:fldChar w:fldCharType="separate"/>
            </w:r>
            <w:r>
              <w:rPr>
                <w:noProof/>
                <w:webHidden/>
              </w:rPr>
              <w:t>6</w:t>
            </w:r>
            <w:r>
              <w:rPr>
                <w:noProof/>
                <w:webHidden/>
              </w:rPr>
              <w:fldChar w:fldCharType="end"/>
            </w:r>
          </w:hyperlink>
        </w:p>
        <w:p w14:paraId="227D4346" w14:textId="6F5AFB42" w:rsidR="00A55779" w:rsidRDefault="00A55779">
          <w:pPr>
            <w:pStyle w:val="TDC1"/>
            <w:tabs>
              <w:tab w:val="right" w:leader="dot" w:pos="9530"/>
            </w:tabs>
            <w:rPr>
              <w:rFonts w:asciiTheme="minorHAnsi" w:eastAsiaTheme="minorEastAsia" w:hAnsiTheme="minorHAnsi" w:cstheme="minorBidi"/>
              <w:noProof/>
              <w:color w:val="auto"/>
            </w:rPr>
          </w:pPr>
          <w:hyperlink w:anchor="_Toc235022581" w:history="1">
            <w:r w:rsidRPr="00F605FF">
              <w:rPr>
                <w:rStyle w:val="Hipervnculo"/>
                <w:b/>
                <w:bCs/>
                <w:noProof/>
              </w:rPr>
              <w:t>4. Definición del Problema</w:t>
            </w:r>
            <w:r>
              <w:rPr>
                <w:noProof/>
                <w:webHidden/>
              </w:rPr>
              <w:tab/>
            </w:r>
            <w:r>
              <w:rPr>
                <w:noProof/>
                <w:webHidden/>
              </w:rPr>
              <w:fldChar w:fldCharType="begin"/>
            </w:r>
            <w:r>
              <w:rPr>
                <w:noProof/>
                <w:webHidden/>
              </w:rPr>
              <w:instrText xml:space="preserve"> PAGEREF _Toc235022581 \h </w:instrText>
            </w:r>
            <w:r>
              <w:rPr>
                <w:noProof/>
                <w:webHidden/>
              </w:rPr>
            </w:r>
            <w:r>
              <w:rPr>
                <w:noProof/>
                <w:webHidden/>
              </w:rPr>
              <w:fldChar w:fldCharType="separate"/>
            </w:r>
            <w:r>
              <w:rPr>
                <w:noProof/>
                <w:webHidden/>
              </w:rPr>
              <w:t>7</w:t>
            </w:r>
            <w:r>
              <w:rPr>
                <w:noProof/>
                <w:webHidden/>
              </w:rPr>
              <w:fldChar w:fldCharType="end"/>
            </w:r>
          </w:hyperlink>
        </w:p>
        <w:p w14:paraId="3A8AAC52" w14:textId="457801DF" w:rsidR="00A55779" w:rsidRDefault="00A55779">
          <w:pPr>
            <w:pStyle w:val="TDC2"/>
            <w:tabs>
              <w:tab w:val="right" w:leader="dot" w:pos="9530"/>
            </w:tabs>
            <w:rPr>
              <w:rFonts w:asciiTheme="minorHAnsi" w:eastAsiaTheme="minorEastAsia" w:hAnsiTheme="minorHAnsi" w:cstheme="minorBidi"/>
              <w:noProof/>
              <w:color w:val="auto"/>
            </w:rPr>
          </w:pPr>
          <w:hyperlink w:anchor="_Toc235022582" w:history="1">
            <w:r w:rsidRPr="00F605FF">
              <w:rPr>
                <w:rStyle w:val="Hipervnculo"/>
                <w:b/>
                <w:bCs/>
                <w:noProof/>
              </w:rPr>
              <w:t>4.1. Problemáticas Principales</w:t>
            </w:r>
            <w:r>
              <w:rPr>
                <w:noProof/>
                <w:webHidden/>
              </w:rPr>
              <w:tab/>
            </w:r>
            <w:r>
              <w:rPr>
                <w:noProof/>
                <w:webHidden/>
              </w:rPr>
              <w:fldChar w:fldCharType="begin"/>
            </w:r>
            <w:r>
              <w:rPr>
                <w:noProof/>
                <w:webHidden/>
              </w:rPr>
              <w:instrText xml:space="preserve"> PAGEREF _Toc235022582 \h </w:instrText>
            </w:r>
            <w:r>
              <w:rPr>
                <w:noProof/>
                <w:webHidden/>
              </w:rPr>
            </w:r>
            <w:r>
              <w:rPr>
                <w:noProof/>
                <w:webHidden/>
              </w:rPr>
              <w:fldChar w:fldCharType="separate"/>
            </w:r>
            <w:r>
              <w:rPr>
                <w:noProof/>
                <w:webHidden/>
              </w:rPr>
              <w:t>7</w:t>
            </w:r>
            <w:r>
              <w:rPr>
                <w:noProof/>
                <w:webHidden/>
              </w:rPr>
              <w:fldChar w:fldCharType="end"/>
            </w:r>
          </w:hyperlink>
        </w:p>
        <w:p w14:paraId="7501A219" w14:textId="0A032FA8" w:rsidR="00A55779" w:rsidRDefault="00A55779">
          <w:pPr>
            <w:pStyle w:val="TDC2"/>
            <w:tabs>
              <w:tab w:val="right" w:leader="dot" w:pos="9530"/>
            </w:tabs>
            <w:rPr>
              <w:rFonts w:asciiTheme="minorHAnsi" w:eastAsiaTheme="minorEastAsia" w:hAnsiTheme="minorHAnsi" w:cstheme="minorBidi"/>
              <w:noProof/>
              <w:color w:val="auto"/>
            </w:rPr>
          </w:pPr>
          <w:hyperlink w:anchor="_Toc235022583" w:history="1">
            <w:r w:rsidRPr="00F605FF">
              <w:rPr>
                <w:rStyle w:val="Hipervnculo"/>
                <w:b/>
                <w:bCs/>
                <w:noProof/>
              </w:rPr>
              <w:t>4.2. Impacto en el Ciudadano</w:t>
            </w:r>
            <w:r>
              <w:rPr>
                <w:noProof/>
                <w:webHidden/>
              </w:rPr>
              <w:tab/>
            </w:r>
            <w:r>
              <w:rPr>
                <w:noProof/>
                <w:webHidden/>
              </w:rPr>
              <w:fldChar w:fldCharType="begin"/>
            </w:r>
            <w:r>
              <w:rPr>
                <w:noProof/>
                <w:webHidden/>
              </w:rPr>
              <w:instrText xml:space="preserve"> PAGEREF _Toc235022583 \h </w:instrText>
            </w:r>
            <w:r>
              <w:rPr>
                <w:noProof/>
                <w:webHidden/>
              </w:rPr>
            </w:r>
            <w:r>
              <w:rPr>
                <w:noProof/>
                <w:webHidden/>
              </w:rPr>
              <w:fldChar w:fldCharType="separate"/>
            </w:r>
            <w:r>
              <w:rPr>
                <w:noProof/>
                <w:webHidden/>
              </w:rPr>
              <w:t>7</w:t>
            </w:r>
            <w:r>
              <w:rPr>
                <w:noProof/>
                <w:webHidden/>
              </w:rPr>
              <w:fldChar w:fldCharType="end"/>
            </w:r>
          </w:hyperlink>
        </w:p>
        <w:p w14:paraId="5AB490E4" w14:textId="3C00720E" w:rsidR="00A55779" w:rsidRDefault="00A55779">
          <w:pPr>
            <w:pStyle w:val="TDC1"/>
            <w:tabs>
              <w:tab w:val="right" w:leader="dot" w:pos="9530"/>
            </w:tabs>
            <w:rPr>
              <w:rFonts w:asciiTheme="minorHAnsi" w:eastAsiaTheme="minorEastAsia" w:hAnsiTheme="minorHAnsi" w:cstheme="minorBidi"/>
              <w:noProof/>
              <w:color w:val="auto"/>
            </w:rPr>
          </w:pPr>
          <w:hyperlink w:anchor="_Toc235022584" w:history="1">
            <w:r w:rsidRPr="00F605FF">
              <w:rPr>
                <w:rStyle w:val="Hipervnculo"/>
                <w:b/>
                <w:bCs/>
                <w:noProof/>
              </w:rPr>
              <w:t>5. Objetivo General</w:t>
            </w:r>
            <w:r>
              <w:rPr>
                <w:noProof/>
                <w:webHidden/>
              </w:rPr>
              <w:tab/>
            </w:r>
            <w:r>
              <w:rPr>
                <w:noProof/>
                <w:webHidden/>
              </w:rPr>
              <w:fldChar w:fldCharType="begin"/>
            </w:r>
            <w:r>
              <w:rPr>
                <w:noProof/>
                <w:webHidden/>
              </w:rPr>
              <w:instrText xml:space="preserve"> PAGEREF _Toc235022584 \h </w:instrText>
            </w:r>
            <w:r>
              <w:rPr>
                <w:noProof/>
                <w:webHidden/>
              </w:rPr>
            </w:r>
            <w:r>
              <w:rPr>
                <w:noProof/>
                <w:webHidden/>
              </w:rPr>
              <w:fldChar w:fldCharType="separate"/>
            </w:r>
            <w:r>
              <w:rPr>
                <w:noProof/>
                <w:webHidden/>
              </w:rPr>
              <w:t>7</w:t>
            </w:r>
            <w:r>
              <w:rPr>
                <w:noProof/>
                <w:webHidden/>
              </w:rPr>
              <w:fldChar w:fldCharType="end"/>
            </w:r>
          </w:hyperlink>
        </w:p>
        <w:p w14:paraId="5C2765C0" w14:textId="4BEF36F8" w:rsidR="00A55779" w:rsidRDefault="00A55779">
          <w:pPr>
            <w:pStyle w:val="TDC1"/>
            <w:tabs>
              <w:tab w:val="right" w:leader="dot" w:pos="9530"/>
            </w:tabs>
            <w:rPr>
              <w:rFonts w:asciiTheme="minorHAnsi" w:eastAsiaTheme="minorEastAsia" w:hAnsiTheme="minorHAnsi" w:cstheme="minorBidi"/>
              <w:noProof/>
              <w:color w:val="auto"/>
            </w:rPr>
          </w:pPr>
          <w:hyperlink w:anchor="_Toc235022585" w:history="1">
            <w:r w:rsidRPr="00F605FF">
              <w:rPr>
                <w:rStyle w:val="Hipervnculo"/>
                <w:b/>
                <w:bCs/>
                <w:noProof/>
              </w:rPr>
              <w:t>6. Objetivos Específicos</w:t>
            </w:r>
            <w:r>
              <w:rPr>
                <w:noProof/>
                <w:webHidden/>
              </w:rPr>
              <w:tab/>
            </w:r>
            <w:r>
              <w:rPr>
                <w:noProof/>
                <w:webHidden/>
              </w:rPr>
              <w:fldChar w:fldCharType="begin"/>
            </w:r>
            <w:r>
              <w:rPr>
                <w:noProof/>
                <w:webHidden/>
              </w:rPr>
              <w:instrText xml:space="preserve"> PAGEREF _Toc235022585 \h </w:instrText>
            </w:r>
            <w:r>
              <w:rPr>
                <w:noProof/>
                <w:webHidden/>
              </w:rPr>
            </w:r>
            <w:r>
              <w:rPr>
                <w:noProof/>
                <w:webHidden/>
              </w:rPr>
              <w:fldChar w:fldCharType="separate"/>
            </w:r>
            <w:r>
              <w:rPr>
                <w:noProof/>
                <w:webHidden/>
              </w:rPr>
              <w:t>7</w:t>
            </w:r>
            <w:r>
              <w:rPr>
                <w:noProof/>
                <w:webHidden/>
              </w:rPr>
              <w:fldChar w:fldCharType="end"/>
            </w:r>
          </w:hyperlink>
        </w:p>
        <w:p w14:paraId="6E77584E" w14:textId="2BA18F67" w:rsidR="00A55779" w:rsidRDefault="00A55779">
          <w:pPr>
            <w:pStyle w:val="TDC1"/>
            <w:tabs>
              <w:tab w:val="right" w:leader="dot" w:pos="9530"/>
            </w:tabs>
            <w:rPr>
              <w:rFonts w:asciiTheme="minorHAnsi" w:eastAsiaTheme="minorEastAsia" w:hAnsiTheme="minorHAnsi" w:cstheme="minorBidi"/>
              <w:noProof/>
              <w:color w:val="auto"/>
            </w:rPr>
          </w:pPr>
          <w:hyperlink w:anchor="_Toc235022586" w:history="1">
            <w:r w:rsidRPr="00F605FF">
              <w:rPr>
                <w:rStyle w:val="Hipervnculo"/>
                <w:b/>
                <w:bCs/>
                <w:noProof/>
              </w:rPr>
              <w:t>7. Fuentes de Datos</w:t>
            </w:r>
            <w:r>
              <w:rPr>
                <w:noProof/>
                <w:webHidden/>
              </w:rPr>
              <w:tab/>
            </w:r>
            <w:r>
              <w:rPr>
                <w:noProof/>
                <w:webHidden/>
              </w:rPr>
              <w:fldChar w:fldCharType="begin"/>
            </w:r>
            <w:r>
              <w:rPr>
                <w:noProof/>
                <w:webHidden/>
              </w:rPr>
              <w:instrText xml:space="preserve"> PAGEREF _Toc235022586 \h </w:instrText>
            </w:r>
            <w:r>
              <w:rPr>
                <w:noProof/>
                <w:webHidden/>
              </w:rPr>
            </w:r>
            <w:r>
              <w:rPr>
                <w:noProof/>
                <w:webHidden/>
              </w:rPr>
              <w:fldChar w:fldCharType="separate"/>
            </w:r>
            <w:r>
              <w:rPr>
                <w:noProof/>
                <w:webHidden/>
              </w:rPr>
              <w:t>8</w:t>
            </w:r>
            <w:r>
              <w:rPr>
                <w:noProof/>
                <w:webHidden/>
              </w:rPr>
              <w:fldChar w:fldCharType="end"/>
            </w:r>
          </w:hyperlink>
        </w:p>
        <w:p w14:paraId="73839534" w14:textId="27956839" w:rsidR="00A55779" w:rsidRDefault="00A55779">
          <w:pPr>
            <w:pStyle w:val="TDC1"/>
            <w:tabs>
              <w:tab w:val="right" w:leader="dot" w:pos="9530"/>
            </w:tabs>
            <w:rPr>
              <w:rFonts w:asciiTheme="minorHAnsi" w:eastAsiaTheme="minorEastAsia" w:hAnsiTheme="minorHAnsi" w:cstheme="minorBidi"/>
              <w:noProof/>
              <w:color w:val="auto"/>
            </w:rPr>
          </w:pPr>
          <w:hyperlink w:anchor="_Toc235022587" w:history="1">
            <w:r w:rsidRPr="00F605FF">
              <w:rPr>
                <w:rStyle w:val="Hipervnculo"/>
                <w:b/>
                <w:bCs/>
                <w:noProof/>
              </w:rPr>
              <w:t>8. Calidad de Datos</w:t>
            </w:r>
            <w:r>
              <w:rPr>
                <w:noProof/>
                <w:webHidden/>
              </w:rPr>
              <w:tab/>
            </w:r>
            <w:r>
              <w:rPr>
                <w:noProof/>
                <w:webHidden/>
              </w:rPr>
              <w:fldChar w:fldCharType="begin"/>
            </w:r>
            <w:r>
              <w:rPr>
                <w:noProof/>
                <w:webHidden/>
              </w:rPr>
              <w:instrText xml:space="preserve"> PAGEREF _Toc235022587 \h </w:instrText>
            </w:r>
            <w:r>
              <w:rPr>
                <w:noProof/>
                <w:webHidden/>
              </w:rPr>
            </w:r>
            <w:r>
              <w:rPr>
                <w:noProof/>
                <w:webHidden/>
              </w:rPr>
              <w:fldChar w:fldCharType="separate"/>
            </w:r>
            <w:r>
              <w:rPr>
                <w:noProof/>
                <w:webHidden/>
              </w:rPr>
              <w:t>8</w:t>
            </w:r>
            <w:r>
              <w:rPr>
                <w:noProof/>
                <w:webHidden/>
              </w:rPr>
              <w:fldChar w:fldCharType="end"/>
            </w:r>
          </w:hyperlink>
        </w:p>
        <w:p w14:paraId="19FFE940" w14:textId="565F5E4C" w:rsidR="00A55779" w:rsidRDefault="00A55779">
          <w:pPr>
            <w:pStyle w:val="TDC1"/>
            <w:tabs>
              <w:tab w:val="right" w:leader="dot" w:pos="9530"/>
            </w:tabs>
            <w:rPr>
              <w:rFonts w:asciiTheme="minorHAnsi" w:eastAsiaTheme="minorEastAsia" w:hAnsiTheme="minorHAnsi" w:cstheme="minorBidi"/>
              <w:noProof/>
              <w:color w:val="auto"/>
            </w:rPr>
          </w:pPr>
          <w:hyperlink w:anchor="_Toc235022588" w:history="1">
            <w:r w:rsidRPr="00F605FF">
              <w:rPr>
                <w:rStyle w:val="Hipervnculo"/>
                <w:b/>
                <w:bCs/>
                <w:noProof/>
              </w:rPr>
              <w:t>9. Arquitectura Completa</w:t>
            </w:r>
            <w:r>
              <w:rPr>
                <w:noProof/>
                <w:webHidden/>
              </w:rPr>
              <w:tab/>
            </w:r>
            <w:r>
              <w:rPr>
                <w:noProof/>
                <w:webHidden/>
              </w:rPr>
              <w:fldChar w:fldCharType="begin"/>
            </w:r>
            <w:r>
              <w:rPr>
                <w:noProof/>
                <w:webHidden/>
              </w:rPr>
              <w:instrText xml:space="preserve"> PAGEREF _Toc235022588 \h </w:instrText>
            </w:r>
            <w:r>
              <w:rPr>
                <w:noProof/>
                <w:webHidden/>
              </w:rPr>
            </w:r>
            <w:r>
              <w:rPr>
                <w:noProof/>
                <w:webHidden/>
              </w:rPr>
              <w:fldChar w:fldCharType="separate"/>
            </w:r>
            <w:r>
              <w:rPr>
                <w:noProof/>
                <w:webHidden/>
              </w:rPr>
              <w:t>9</w:t>
            </w:r>
            <w:r>
              <w:rPr>
                <w:noProof/>
                <w:webHidden/>
              </w:rPr>
              <w:fldChar w:fldCharType="end"/>
            </w:r>
          </w:hyperlink>
        </w:p>
        <w:p w14:paraId="09A3EB62" w14:textId="550557E4" w:rsidR="00A55779" w:rsidRDefault="00A55779">
          <w:pPr>
            <w:pStyle w:val="TDC2"/>
            <w:tabs>
              <w:tab w:val="right" w:leader="dot" w:pos="9530"/>
            </w:tabs>
            <w:rPr>
              <w:rFonts w:asciiTheme="minorHAnsi" w:eastAsiaTheme="minorEastAsia" w:hAnsiTheme="minorHAnsi" w:cstheme="minorBidi"/>
              <w:noProof/>
              <w:color w:val="auto"/>
            </w:rPr>
          </w:pPr>
          <w:hyperlink w:anchor="_Toc235022589" w:history="1">
            <w:r w:rsidRPr="00F605FF">
              <w:rPr>
                <w:rStyle w:val="Hipervnculo"/>
                <w:b/>
                <w:bCs/>
                <w:noProof/>
              </w:rPr>
              <w:t>9.1. Arquitectura Medallón (Bronze - Silver - Gold)</w:t>
            </w:r>
            <w:r>
              <w:rPr>
                <w:noProof/>
                <w:webHidden/>
              </w:rPr>
              <w:tab/>
            </w:r>
            <w:r>
              <w:rPr>
                <w:noProof/>
                <w:webHidden/>
              </w:rPr>
              <w:fldChar w:fldCharType="begin"/>
            </w:r>
            <w:r>
              <w:rPr>
                <w:noProof/>
                <w:webHidden/>
              </w:rPr>
              <w:instrText xml:space="preserve"> PAGEREF _Toc235022589 \h </w:instrText>
            </w:r>
            <w:r>
              <w:rPr>
                <w:noProof/>
                <w:webHidden/>
              </w:rPr>
            </w:r>
            <w:r>
              <w:rPr>
                <w:noProof/>
                <w:webHidden/>
              </w:rPr>
              <w:fldChar w:fldCharType="separate"/>
            </w:r>
            <w:r>
              <w:rPr>
                <w:noProof/>
                <w:webHidden/>
              </w:rPr>
              <w:t>9</w:t>
            </w:r>
            <w:r>
              <w:rPr>
                <w:noProof/>
                <w:webHidden/>
              </w:rPr>
              <w:fldChar w:fldCharType="end"/>
            </w:r>
          </w:hyperlink>
        </w:p>
        <w:p w14:paraId="7089CBBE" w14:textId="7510A3E8" w:rsidR="00A55779" w:rsidRDefault="00A55779">
          <w:pPr>
            <w:pStyle w:val="TDC2"/>
            <w:tabs>
              <w:tab w:val="right" w:leader="dot" w:pos="9530"/>
            </w:tabs>
            <w:rPr>
              <w:rFonts w:asciiTheme="minorHAnsi" w:eastAsiaTheme="minorEastAsia" w:hAnsiTheme="minorHAnsi" w:cstheme="minorBidi"/>
              <w:noProof/>
              <w:color w:val="auto"/>
            </w:rPr>
          </w:pPr>
          <w:hyperlink w:anchor="_Toc235022590" w:history="1">
            <w:r w:rsidRPr="00F605FF">
              <w:rPr>
                <w:rStyle w:val="Hipervnculo"/>
                <w:b/>
                <w:bCs/>
                <w:noProof/>
              </w:rPr>
              <w:t>9.2. Herramientas Utilizadas</w:t>
            </w:r>
            <w:r>
              <w:rPr>
                <w:noProof/>
                <w:webHidden/>
              </w:rPr>
              <w:tab/>
            </w:r>
            <w:r>
              <w:rPr>
                <w:noProof/>
                <w:webHidden/>
              </w:rPr>
              <w:fldChar w:fldCharType="begin"/>
            </w:r>
            <w:r>
              <w:rPr>
                <w:noProof/>
                <w:webHidden/>
              </w:rPr>
              <w:instrText xml:space="preserve"> PAGEREF _Toc235022590 \h </w:instrText>
            </w:r>
            <w:r>
              <w:rPr>
                <w:noProof/>
                <w:webHidden/>
              </w:rPr>
            </w:r>
            <w:r>
              <w:rPr>
                <w:noProof/>
                <w:webHidden/>
              </w:rPr>
              <w:fldChar w:fldCharType="separate"/>
            </w:r>
            <w:r>
              <w:rPr>
                <w:noProof/>
                <w:webHidden/>
              </w:rPr>
              <w:t>11</w:t>
            </w:r>
            <w:r>
              <w:rPr>
                <w:noProof/>
                <w:webHidden/>
              </w:rPr>
              <w:fldChar w:fldCharType="end"/>
            </w:r>
          </w:hyperlink>
        </w:p>
        <w:p w14:paraId="715A1A40" w14:textId="4401C1DF" w:rsidR="00A55779" w:rsidRDefault="00A55779">
          <w:pPr>
            <w:pStyle w:val="TDC1"/>
            <w:tabs>
              <w:tab w:val="right" w:leader="dot" w:pos="9530"/>
            </w:tabs>
            <w:rPr>
              <w:rFonts w:asciiTheme="minorHAnsi" w:eastAsiaTheme="minorEastAsia" w:hAnsiTheme="minorHAnsi" w:cstheme="minorBidi"/>
              <w:noProof/>
              <w:color w:val="auto"/>
            </w:rPr>
          </w:pPr>
          <w:hyperlink w:anchor="_Toc235022591" w:history="1">
            <w:r w:rsidRPr="00F605FF">
              <w:rPr>
                <w:rStyle w:val="Hipervnculo"/>
                <w:noProof/>
              </w:rPr>
              <w:t>9.2.3. Portal Web de Clientes (Frontend de Gestión)</w:t>
            </w:r>
            <w:r>
              <w:rPr>
                <w:noProof/>
                <w:webHidden/>
              </w:rPr>
              <w:tab/>
            </w:r>
            <w:r>
              <w:rPr>
                <w:noProof/>
                <w:webHidden/>
              </w:rPr>
              <w:fldChar w:fldCharType="begin"/>
            </w:r>
            <w:r>
              <w:rPr>
                <w:noProof/>
                <w:webHidden/>
              </w:rPr>
              <w:instrText xml:space="preserve"> PAGEREF _Toc235022591 \h </w:instrText>
            </w:r>
            <w:r>
              <w:rPr>
                <w:noProof/>
                <w:webHidden/>
              </w:rPr>
            </w:r>
            <w:r>
              <w:rPr>
                <w:noProof/>
                <w:webHidden/>
              </w:rPr>
              <w:fldChar w:fldCharType="separate"/>
            </w:r>
            <w:r>
              <w:rPr>
                <w:noProof/>
                <w:webHidden/>
              </w:rPr>
              <w:t>11</w:t>
            </w:r>
            <w:r>
              <w:rPr>
                <w:noProof/>
                <w:webHidden/>
              </w:rPr>
              <w:fldChar w:fldCharType="end"/>
            </w:r>
          </w:hyperlink>
        </w:p>
        <w:p w14:paraId="28AE0E8D" w14:textId="1C9586F4" w:rsidR="00A55779" w:rsidRDefault="00A55779">
          <w:pPr>
            <w:pStyle w:val="TDC1"/>
            <w:tabs>
              <w:tab w:val="right" w:leader="dot" w:pos="9530"/>
            </w:tabs>
            <w:rPr>
              <w:rFonts w:asciiTheme="minorHAnsi" w:eastAsiaTheme="minorEastAsia" w:hAnsiTheme="minorHAnsi" w:cstheme="minorBidi"/>
              <w:noProof/>
              <w:color w:val="auto"/>
            </w:rPr>
          </w:pPr>
          <w:hyperlink w:anchor="_Toc235022592" w:history="1">
            <w:r w:rsidRPr="00F605FF">
              <w:rPr>
                <w:rStyle w:val="Hipervnculo"/>
                <w:noProof/>
              </w:rPr>
              <w:t>9.2.2. Chatbot de Consulta Fiscal Inteligente</w:t>
            </w:r>
            <w:r>
              <w:rPr>
                <w:noProof/>
                <w:webHidden/>
              </w:rPr>
              <w:tab/>
            </w:r>
            <w:r>
              <w:rPr>
                <w:noProof/>
                <w:webHidden/>
              </w:rPr>
              <w:fldChar w:fldCharType="begin"/>
            </w:r>
            <w:r>
              <w:rPr>
                <w:noProof/>
                <w:webHidden/>
              </w:rPr>
              <w:instrText xml:space="preserve"> PAGEREF _Toc235022592 \h </w:instrText>
            </w:r>
            <w:r>
              <w:rPr>
                <w:noProof/>
                <w:webHidden/>
              </w:rPr>
            </w:r>
            <w:r>
              <w:rPr>
                <w:noProof/>
                <w:webHidden/>
              </w:rPr>
              <w:fldChar w:fldCharType="separate"/>
            </w:r>
            <w:r>
              <w:rPr>
                <w:noProof/>
                <w:webHidden/>
              </w:rPr>
              <w:t>11</w:t>
            </w:r>
            <w:r>
              <w:rPr>
                <w:noProof/>
                <w:webHidden/>
              </w:rPr>
              <w:fldChar w:fldCharType="end"/>
            </w:r>
          </w:hyperlink>
        </w:p>
        <w:p w14:paraId="3870F018" w14:textId="50285479" w:rsidR="00A55779" w:rsidRDefault="00A55779">
          <w:pPr>
            <w:pStyle w:val="TDC1"/>
            <w:tabs>
              <w:tab w:val="right" w:leader="dot" w:pos="9530"/>
            </w:tabs>
            <w:rPr>
              <w:rFonts w:asciiTheme="minorHAnsi" w:eastAsiaTheme="minorEastAsia" w:hAnsiTheme="minorHAnsi" w:cstheme="minorBidi"/>
              <w:noProof/>
              <w:color w:val="auto"/>
            </w:rPr>
          </w:pPr>
          <w:hyperlink w:anchor="_Toc235022593" w:history="1">
            <w:r w:rsidRPr="00F605FF">
              <w:rPr>
                <w:rStyle w:val="Hipervnculo"/>
                <w:noProof/>
              </w:rPr>
              <w:t>9.2.1. Modelos Predictivos y de Machine Learning (XGBoost &amp; Prophet)</w:t>
            </w:r>
            <w:r>
              <w:rPr>
                <w:noProof/>
                <w:webHidden/>
              </w:rPr>
              <w:tab/>
            </w:r>
            <w:r>
              <w:rPr>
                <w:noProof/>
                <w:webHidden/>
              </w:rPr>
              <w:fldChar w:fldCharType="begin"/>
            </w:r>
            <w:r>
              <w:rPr>
                <w:noProof/>
                <w:webHidden/>
              </w:rPr>
              <w:instrText xml:space="preserve"> PAGEREF _Toc235022593 \h </w:instrText>
            </w:r>
            <w:r>
              <w:rPr>
                <w:noProof/>
                <w:webHidden/>
              </w:rPr>
            </w:r>
            <w:r>
              <w:rPr>
                <w:noProof/>
                <w:webHidden/>
              </w:rPr>
              <w:fldChar w:fldCharType="separate"/>
            </w:r>
            <w:r>
              <w:rPr>
                <w:noProof/>
                <w:webHidden/>
              </w:rPr>
              <w:t>11</w:t>
            </w:r>
            <w:r>
              <w:rPr>
                <w:noProof/>
                <w:webHidden/>
              </w:rPr>
              <w:fldChar w:fldCharType="end"/>
            </w:r>
          </w:hyperlink>
        </w:p>
        <w:p w14:paraId="5FB79D63" w14:textId="29D71E84" w:rsidR="00A55779" w:rsidRDefault="00A55779">
          <w:pPr>
            <w:pStyle w:val="TDC2"/>
            <w:tabs>
              <w:tab w:val="right" w:leader="dot" w:pos="9530"/>
            </w:tabs>
            <w:rPr>
              <w:rFonts w:asciiTheme="minorHAnsi" w:eastAsiaTheme="minorEastAsia" w:hAnsiTheme="minorHAnsi" w:cstheme="minorBidi"/>
              <w:noProof/>
              <w:color w:val="auto"/>
            </w:rPr>
          </w:pPr>
          <w:hyperlink w:anchor="_Toc235022594" w:history="1">
            <w:r w:rsidRPr="00F605FF">
              <w:rPr>
                <w:rStyle w:val="Hipervnculo"/>
                <w:b/>
                <w:bCs/>
                <w:noProof/>
              </w:rPr>
              <w:t>9.3. Estrategia de Pruebas y Validación de Datos (QA)</w:t>
            </w:r>
            <w:r>
              <w:rPr>
                <w:noProof/>
                <w:webHidden/>
              </w:rPr>
              <w:tab/>
            </w:r>
            <w:r>
              <w:rPr>
                <w:noProof/>
                <w:webHidden/>
              </w:rPr>
              <w:fldChar w:fldCharType="begin"/>
            </w:r>
            <w:r>
              <w:rPr>
                <w:noProof/>
                <w:webHidden/>
              </w:rPr>
              <w:instrText xml:space="preserve"> PAGEREF _Toc235022594 \h </w:instrText>
            </w:r>
            <w:r>
              <w:rPr>
                <w:noProof/>
                <w:webHidden/>
              </w:rPr>
            </w:r>
            <w:r>
              <w:rPr>
                <w:noProof/>
                <w:webHidden/>
              </w:rPr>
              <w:fldChar w:fldCharType="separate"/>
            </w:r>
            <w:r>
              <w:rPr>
                <w:noProof/>
                <w:webHidden/>
              </w:rPr>
              <w:t>11</w:t>
            </w:r>
            <w:r>
              <w:rPr>
                <w:noProof/>
                <w:webHidden/>
              </w:rPr>
              <w:fldChar w:fldCharType="end"/>
            </w:r>
          </w:hyperlink>
        </w:p>
        <w:p w14:paraId="221DC28C" w14:textId="6F45EBE1" w:rsidR="00A55779" w:rsidRDefault="00A55779">
          <w:pPr>
            <w:pStyle w:val="TDC2"/>
            <w:tabs>
              <w:tab w:val="right" w:leader="dot" w:pos="9530"/>
            </w:tabs>
            <w:rPr>
              <w:rFonts w:asciiTheme="minorHAnsi" w:eastAsiaTheme="minorEastAsia" w:hAnsiTheme="minorHAnsi" w:cstheme="minorBidi"/>
              <w:noProof/>
              <w:color w:val="auto"/>
            </w:rPr>
          </w:pPr>
          <w:hyperlink w:anchor="_Toc235022595" w:history="1">
            <w:r w:rsidRPr="00F605FF">
              <w:rPr>
                <w:rStyle w:val="Hipervnculo"/>
                <w:b/>
                <w:bCs/>
                <w:noProof/>
              </w:rPr>
              <w:t>9.4. Seguridad y Gobierno de Datos</w:t>
            </w:r>
            <w:r>
              <w:rPr>
                <w:noProof/>
                <w:webHidden/>
              </w:rPr>
              <w:tab/>
            </w:r>
            <w:r>
              <w:rPr>
                <w:noProof/>
                <w:webHidden/>
              </w:rPr>
              <w:fldChar w:fldCharType="begin"/>
            </w:r>
            <w:r>
              <w:rPr>
                <w:noProof/>
                <w:webHidden/>
              </w:rPr>
              <w:instrText xml:space="preserve"> PAGEREF _Toc235022595 \h </w:instrText>
            </w:r>
            <w:r>
              <w:rPr>
                <w:noProof/>
                <w:webHidden/>
              </w:rPr>
            </w:r>
            <w:r>
              <w:rPr>
                <w:noProof/>
                <w:webHidden/>
              </w:rPr>
              <w:fldChar w:fldCharType="separate"/>
            </w:r>
            <w:r>
              <w:rPr>
                <w:noProof/>
                <w:webHidden/>
              </w:rPr>
              <w:t>12</w:t>
            </w:r>
            <w:r>
              <w:rPr>
                <w:noProof/>
                <w:webHidden/>
              </w:rPr>
              <w:fldChar w:fldCharType="end"/>
            </w:r>
          </w:hyperlink>
        </w:p>
        <w:p w14:paraId="6ABD37B1" w14:textId="0558F5F0" w:rsidR="00A55779" w:rsidRDefault="00A55779">
          <w:pPr>
            <w:pStyle w:val="TDC1"/>
            <w:tabs>
              <w:tab w:val="right" w:leader="dot" w:pos="9530"/>
            </w:tabs>
            <w:rPr>
              <w:rFonts w:asciiTheme="minorHAnsi" w:eastAsiaTheme="minorEastAsia" w:hAnsiTheme="minorHAnsi" w:cstheme="minorBidi"/>
              <w:noProof/>
              <w:color w:val="auto"/>
            </w:rPr>
          </w:pPr>
          <w:hyperlink w:anchor="_Toc235022596" w:history="1">
            <w:r w:rsidRPr="00F605FF">
              <w:rPr>
                <w:rStyle w:val="Hipervnculo"/>
                <w:b/>
                <w:bCs/>
                <w:noProof/>
              </w:rPr>
              <w:t>10. Docker Desktop</w:t>
            </w:r>
            <w:r>
              <w:rPr>
                <w:noProof/>
                <w:webHidden/>
              </w:rPr>
              <w:tab/>
            </w:r>
            <w:r>
              <w:rPr>
                <w:noProof/>
                <w:webHidden/>
              </w:rPr>
              <w:fldChar w:fldCharType="begin"/>
            </w:r>
            <w:r>
              <w:rPr>
                <w:noProof/>
                <w:webHidden/>
              </w:rPr>
              <w:instrText xml:space="preserve"> PAGEREF _Toc235022596 \h </w:instrText>
            </w:r>
            <w:r>
              <w:rPr>
                <w:noProof/>
                <w:webHidden/>
              </w:rPr>
            </w:r>
            <w:r>
              <w:rPr>
                <w:noProof/>
                <w:webHidden/>
              </w:rPr>
              <w:fldChar w:fldCharType="separate"/>
            </w:r>
            <w:r>
              <w:rPr>
                <w:noProof/>
                <w:webHidden/>
              </w:rPr>
              <w:t>12</w:t>
            </w:r>
            <w:r>
              <w:rPr>
                <w:noProof/>
                <w:webHidden/>
              </w:rPr>
              <w:fldChar w:fldCharType="end"/>
            </w:r>
          </w:hyperlink>
        </w:p>
        <w:p w14:paraId="780E8266" w14:textId="42757BA8" w:rsidR="00A55779" w:rsidRDefault="00A55779">
          <w:pPr>
            <w:pStyle w:val="TDC1"/>
            <w:tabs>
              <w:tab w:val="right" w:leader="dot" w:pos="9530"/>
            </w:tabs>
            <w:rPr>
              <w:rFonts w:asciiTheme="minorHAnsi" w:eastAsiaTheme="minorEastAsia" w:hAnsiTheme="minorHAnsi" w:cstheme="minorBidi"/>
              <w:noProof/>
              <w:color w:val="auto"/>
            </w:rPr>
          </w:pPr>
          <w:hyperlink w:anchor="_Toc235022597" w:history="1">
            <w:r w:rsidRPr="00F605FF">
              <w:rPr>
                <w:rStyle w:val="Hipervnculo"/>
                <w:b/>
                <w:bCs/>
                <w:noProof/>
              </w:rPr>
              <w:t>11. MinIO (Data Lake - Bronze)</w:t>
            </w:r>
            <w:r>
              <w:rPr>
                <w:noProof/>
                <w:webHidden/>
              </w:rPr>
              <w:tab/>
            </w:r>
            <w:r>
              <w:rPr>
                <w:noProof/>
                <w:webHidden/>
              </w:rPr>
              <w:fldChar w:fldCharType="begin"/>
            </w:r>
            <w:r>
              <w:rPr>
                <w:noProof/>
                <w:webHidden/>
              </w:rPr>
              <w:instrText xml:space="preserve"> PAGEREF _Toc235022597 \h </w:instrText>
            </w:r>
            <w:r>
              <w:rPr>
                <w:noProof/>
                <w:webHidden/>
              </w:rPr>
            </w:r>
            <w:r>
              <w:rPr>
                <w:noProof/>
                <w:webHidden/>
              </w:rPr>
              <w:fldChar w:fldCharType="separate"/>
            </w:r>
            <w:r>
              <w:rPr>
                <w:noProof/>
                <w:webHidden/>
              </w:rPr>
              <w:t>13</w:t>
            </w:r>
            <w:r>
              <w:rPr>
                <w:noProof/>
                <w:webHidden/>
              </w:rPr>
              <w:fldChar w:fldCharType="end"/>
            </w:r>
          </w:hyperlink>
        </w:p>
        <w:p w14:paraId="5FAD81FB" w14:textId="6F521910" w:rsidR="00A55779" w:rsidRDefault="00A55779">
          <w:pPr>
            <w:pStyle w:val="TDC1"/>
            <w:tabs>
              <w:tab w:val="right" w:leader="dot" w:pos="9530"/>
            </w:tabs>
            <w:rPr>
              <w:rFonts w:asciiTheme="minorHAnsi" w:eastAsiaTheme="minorEastAsia" w:hAnsiTheme="minorHAnsi" w:cstheme="minorBidi"/>
              <w:noProof/>
              <w:color w:val="auto"/>
            </w:rPr>
          </w:pPr>
          <w:hyperlink w:anchor="_Toc235022598" w:history="1">
            <w:r w:rsidRPr="00F605FF">
              <w:rPr>
                <w:rStyle w:val="Hipervnculo"/>
                <w:b/>
                <w:bCs/>
                <w:noProof/>
              </w:rPr>
              <w:t>12. Apache Airflow (Automatización ETL)</w:t>
            </w:r>
            <w:r>
              <w:rPr>
                <w:noProof/>
                <w:webHidden/>
              </w:rPr>
              <w:tab/>
            </w:r>
            <w:r>
              <w:rPr>
                <w:noProof/>
                <w:webHidden/>
              </w:rPr>
              <w:fldChar w:fldCharType="begin"/>
            </w:r>
            <w:r>
              <w:rPr>
                <w:noProof/>
                <w:webHidden/>
              </w:rPr>
              <w:instrText xml:space="preserve"> PAGEREF _Toc235022598 \h </w:instrText>
            </w:r>
            <w:r>
              <w:rPr>
                <w:noProof/>
                <w:webHidden/>
              </w:rPr>
            </w:r>
            <w:r>
              <w:rPr>
                <w:noProof/>
                <w:webHidden/>
              </w:rPr>
              <w:fldChar w:fldCharType="separate"/>
            </w:r>
            <w:r>
              <w:rPr>
                <w:noProof/>
                <w:webHidden/>
              </w:rPr>
              <w:t>14</w:t>
            </w:r>
            <w:r>
              <w:rPr>
                <w:noProof/>
                <w:webHidden/>
              </w:rPr>
              <w:fldChar w:fldCharType="end"/>
            </w:r>
          </w:hyperlink>
        </w:p>
        <w:p w14:paraId="1E606F00" w14:textId="0EE0B562" w:rsidR="00A55779" w:rsidRDefault="00A55779">
          <w:pPr>
            <w:pStyle w:val="TDC1"/>
            <w:tabs>
              <w:tab w:val="right" w:leader="dot" w:pos="9530"/>
            </w:tabs>
            <w:rPr>
              <w:rFonts w:asciiTheme="minorHAnsi" w:eastAsiaTheme="minorEastAsia" w:hAnsiTheme="minorHAnsi" w:cstheme="minorBidi"/>
              <w:noProof/>
              <w:color w:val="auto"/>
            </w:rPr>
          </w:pPr>
          <w:hyperlink w:anchor="_Toc235022599" w:history="1">
            <w:r w:rsidRPr="00F605FF">
              <w:rPr>
                <w:rStyle w:val="Hipervnculo"/>
                <w:b/>
                <w:bCs/>
                <w:noProof/>
              </w:rPr>
              <w:t>13. Pipeline Bronze → Silver → Gold</w:t>
            </w:r>
            <w:r>
              <w:rPr>
                <w:noProof/>
                <w:webHidden/>
              </w:rPr>
              <w:tab/>
            </w:r>
            <w:r>
              <w:rPr>
                <w:noProof/>
                <w:webHidden/>
              </w:rPr>
              <w:fldChar w:fldCharType="begin"/>
            </w:r>
            <w:r>
              <w:rPr>
                <w:noProof/>
                <w:webHidden/>
              </w:rPr>
              <w:instrText xml:space="preserve"> PAGEREF _Toc235022599 \h </w:instrText>
            </w:r>
            <w:r>
              <w:rPr>
                <w:noProof/>
                <w:webHidden/>
              </w:rPr>
            </w:r>
            <w:r>
              <w:rPr>
                <w:noProof/>
                <w:webHidden/>
              </w:rPr>
              <w:fldChar w:fldCharType="separate"/>
            </w:r>
            <w:r>
              <w:rPr>
                <w:noProof/>
                <w:webHidden/>
              </w:rPr>
              <w:t>14</w:t>
            </w:r>
            <w:r>
              <w:rPr>
                <w:noProof/>
                <w:webHidden/>
              </w:rPr>
              <w:fldChar w:fldCharType="end"/>
            </w:r>
          </w:hyperlink>
        </w:p>
        <w:p w14:paraId="748F0D4B" w14:textId="304C7648" w:rsidR="00A55779" w:rsidRDefault="00A55779">
          <w:pPr>
            <w:pStyle w:val="TDC1"/>
            <w:tabs>
              <w:tab w:val="right" w:leader="dot" w:pos="9530"/>
            </w:tabs>
            <w:rPr>
              <w:rFonts w:asciiTheme="minorHAnsi" w:eastAsiaTheme="minorEastAsia" w:hAnsiTheme="minorHAnsi" w:cstheme="minorBidi"/>
              <w:noProof/>
              <w:color w:val="auto"/>
            </w:rPr>
          </w:pPr>
          <w:hyperlink w:anchor="_Toc235022600" w:history="1">
            <w:r w:rsidRPr="00F605FF">
              <w:rPr>
                <w:rStyle w:val="Hipervnculo"/>
                <w:b/>
                <w:bCs/>
                <w:noProof/>
              </w:rPr>
              <w:t>14. Modelo Estrella y Power BI</w:t>
            </w:r>
            <w:r>
              <w:rPr>
                <w:noProof/>
                <w:webHidden/>
              </w:rPr>
              <w:tab/>
            </w:r>
            <w:r>
              <w:rPr>
                <w:noProof/>
                <w:webHidden/>
              </w:rPr>
              <w:fldChar w:fldCharType="begin"/>
            </w:r>
            <w:r>
              <w:rPr>
                <w:noProof/>
                <w:webHidden/>
              </w:rPr>
              <w:instrText xml:space="preserve"> PAGEREF _Toc235022600 \h </w:instrText>
            </w:r>
            <w:r>
              <w:rPr>
                <w:noProof/>
                <w:webHidden/>
              </w:rPr>
            </w:r>
            <w:r>
              <w:rPr>
                <w:noProof/>
                <w:webHidden/>
              </w:rPr>
              <w:fldChar w:fldCharType="separate"/>
            </w:r>
            <w:r>
              <w:rPr>
                <w:noProof/>
                <w:webHidden/>
              </w:rPr>
              <w:t>15</w:t>
            </w:r>
            <w:r>
              <w:rPr>
                <w:noProof/>
                <w:webHidden/>
              </w:rPr>
              <w:fldChar w:fldCharType="end"/>
            </w:r>
          </w:hyperlink>
        </w:p>
        <w:p w14:paraId="2EFDDC3A" w14:textId="52D55087" w:rsidR="00A55779" w:rsidRDefault="00A55779">
          <w:pPr>
            <w:pStyle w:val="TDC1"/>
            <w:tabs>
              <w:tab w:val="right" w:leader="dot" w:pos="9530"/>
            </w:tabs>
            <w:rPr>
              <w:rFonts w:asciiTheme="minorHAnsi" w:eastAsiaTheme="minorEastAsia" w:hAnsiTheme="minorHAnsi" w:cstheme="minorBidi"/>
              <w:noProof/>
              <w:color w:val="auto"/>
            </w:rPr>
          </w:pPr>
          <w:hyperlink w:anchor="_Toc235022601" w:history="1">
            <w:r w:rsidRPr="00F605FF">
              <w:rPr>
                <w:rStyle w:val="Hipervnculo"/>
                <w:b/>
                <w:bCs/>
                <w:noProof/>
              </w:rPr>
              <w:t>15. Resultado Final: Dashboard y KPIs</w:t>
            </w:r>
            <w:r>
              <w:rPr>
                <w:noProof/>
                <w:webHidden/>
              </w:rPr>
              <w:tab/>
            </w:r>
            <w:r>
              <w:rPr>
                <w:noProof/>
                <w:webHidden/>
              </w:rPr>
              <w:fldChar w:fldCharType="begin"/>
            </w:r>
            <w:r>
              <w:rPr>
                <w:noProof/>
                <w:webHidden/>
              </w:rPr>
              <w:instrText xml:space="preserve"> PAGEREF _Toc235022601 \h </w:instrText>
            </w:r>
            <w:r>
              <w:rPr>
                <w:noProof/>
                <w:webHidden/>
              </w:rPr>
            </w:r>
            <w:r>
              <w:rPr>
                <w:noProof/>
                <w:webHidden/>
              </w:rPr>
              <w:fldChar w:fldCharType="separate"/>
            </w:r>
            <w:r>
              <w:rPr>
                <w:noProof/>
                <w:webHidden/>
              </w:rPr>
              <w:t>16</w:t>
            </w:r>
            <w:r>
              <w:rPr>
                <w:noProof/>
                <w:webHidden/>
              </w:rPr>
              <w:fldChar w:fldCharType="end"/>
            </w:r>
          </w:hyperlink>
        </w:p>
        <w:p w14:paraId="5BF658C9" w14:textId="20EE10E9" w:rsidR="00A55779" w:rsidRDefault="00A55779">
          <w:pPr>
            <w:pStyle w:val="TDC2"/>
            <w:tabs>
              <w:tab w:val="right" w:leader="dot" w:pos="9530"/>
            </w:tabs>
            <w:rPr>
              <w:rFonts w:asciiTheme="minorHAnsi" w:eastAsiaTheme="minorEastAsia" w:hAnsiTheme="minorHAnsi" w:cstheme="minorBidi"/>
              <w:noProof/>
              <w:color w:val="auto"/>
            </w:rPr>
          </w:pPr>
          <w:hyperlink w:anchor="_Toc235022602" w:history="1">
            <w:r w:rsidRPr="00F605FF">
              <w:rPr>
                <w:rStyle w:val="Hipervnculo"/>
                <w:b/>
                <w:bCs/>
                <w:noProof/>
              </w:rPr>
              <w:t>15.1. KPIs Ejecutivos</w:t>
            </w:r>
            <w:r>
              <w:rPr>
                <w:noProof/>
                <w:webHidden/>
              </w:rPr>
              <w:tab/>
            </w:r>
            <w:r>
              <w:rPr>
                <w:noProof/>
                <w:webHidden/>
              </w:rPr>
              <w:fldChar w:fldCharType="begin"/>
            </w:r>
            <w:r>
              <w:rPr>
                <w:noProof/>
                <w:webHidden/>
              </w:rPr>
              <w:instrText xml:space="preserve"> PAGEREF _Toc235022602 \h </w:instrText>
            </w:r>
            <w:r>
              <w:rPr>
                <w:noProof/>
                <w:webHidden/>
              </w:rPr>
            </w:r>
            <w:r>
              <w:rPr>
                <w:noProof/>
                <w:webHidden/>
              </w:rPr>
              <w:fldChar w:fldCharType="separate"/>
            </w:r>
            <w:r>
              <w:rPr>
                <w:noProof/>
                <w:webHidden/>
              </w:rPr>
              <w:t>17</w:t>
            </w:r>
            <w:r>
              <w:rPr>
                <w:noProof/>
                <w:webHidden/>
              </w:rPr>
              <w:fldChar w:fldCharType="end"/>
            </w:r>
          </w:hyperlink>
        </w:p>
        <w:p w14:paraId="14B90E4F" w14:textId="28C40DB8" w:rsidR="00A55779" w:rsidRDefault="00A55779">
          <w:pPr>
            <w:pStyle w:val="TDC2"/>
            <w:tabs>
              <w:tab w:val="right" w:leader="dot" w:pos="9530"/>
            </w:tabs>
            <w:rPr>
              <w:rFonts w:asciiTheme="minorHAnsi" w:eastAsiaTheme="minorEastAsia" w:hAnsiTheme="minorHAnsi" w:cstheme="minorBidi"/>
              <w:noProof/>
              <w:color w:val="auto"/>
            </w:rPr>
          </w:pPr>
          <w:hyperlink w:anchor="_Toc235022603" w:history="1">
            <w:r w:rsidRPr="00F605FF">
              <w:rPr>
                <w:rStyle w:val="Hipervnculo"/>
                <w:b/>
                <w:bCs/>
                <w:noProof/>
              </w:rPr>
              <w:t>15.2. Carga por Locales</w:t>
            </w:r>
            <w:r>
              <w:rPr>
                <w:noProof/>
                <w:webHidden/>
              </w:rPr>
              <w:tab/>
            </w:r>
            <w:r>
              <w:rPr>
                <w:noProof/>
                <w:webHidden/>
              </w:rPr>
              <w:fldChar w:fldCharType="begin"/>
            </w:r>
            <w:r>
              <w:rPr>
                <w:noProof/>
                <w:webHidden/>
              </w:rPr>
              <w:instrText xml:space="preserve"> PAGEREF _Toc235022603 \h </w:instrText>
            </w:r>
            <w:r>
              <w:rPr>
                <w:noProof/>
                <w:webHidden/>
              </w:rPr>
            </w:r>
            <w:r>
              <w:rPr>
                <w:noProof/>
                <w:webHidden/>
              </w:rPr>
              <w:fldChar w:fldCharType="separate"/>
            </w:r>
            <w:r>
              <w:rPr>
                <w:noProof/>
                <w:webHidden/>
              </w:rPr>
              <w:t>18</w:t>
            </w:r>
            <w:r>
              <w:rPr>
                <w:noProof/>
                <w:webHidden/>
              </w:rPr>
              <w:fldChar w:fldCharType="end"/>
            </w:r>
          </w:hyperlink>
        </w:p>
        <w:p w14:paraId="1A66A6C5" w14:textId="2D8E4D9F" w:rsidR="00A55779" w:rsidRDefault="00A55779">
          <w:pPr>
            <w:pStyle w:val="TDC2"/>
            <w:tabs>
              <w:tab w:val="right" w:leader="dot" w:pos="9530"/>
            </w:tabs>
            <w:rPr>
              <w:rFonts w:asciiTheme="minorHAnsi" w:eastAsiaTheme="minorEastAsia" w:hAnsiTheme="minorHAnsi" w:cstheme="minorBidi"/>
              <w:noProof/>
              <w:color w:val="auto"/>
            </w:rPr>
          </w:pPr>
          <w:hyperlink w:anchor="_Toc235022604" w:history="1">
            <w:r w:rsidRPr="00F605FF">
              <w:rPr>
                <w:rStyle w:val="Hipervnculo"/>
                <w:b/>
                <w:bCs/>
                <w:noProof/>
              </w:rPr>
              <w:t>15.3. Tendencias</w:t>
            </w:r>
            <w:r>
              <w:rPr>
                <w:noProof/>
                <w:webHidden/>
              </w:rPr>
              <w:tab/>
            </w:r>
            <w:r>
              <w:rPr>
                <w:noProof/>
                <w:webHidden/>
              </w:rPr>
              <w:fldChar w:fldCharType="begin"/>
            </w:r>
            <w:r>
              <w:rPr>
                <w:noProof/>
                <w:webHidden/>
              </w:rPr>
              <w:instrText xml:space="preserve"> PAGEREF _Toc235022604 \h </w:instrText>
            </w:r>
            <w:r>
              <w:rPr>
                <w:noProof/>
                <w:webHidden/>
              </w:rPr>
            </w:r>
            <w:r>
              <w:rPr>
                <w:noProof/>
                <w:webHidden/>
              </w:rPr>
              <w:fldChar w:fldCharType="separate"/>
            </w:r>
            <w:r>
              <w:rPr>
                <w:noProof/>
                <w:webHidden/>
              </w:rPr>
              <w:t>18</w:t>
            </w:r>
            <w:r>
              <w:rPr>
                <w:noProof/>
                <w:webHidden/>
              </w:rPr>
              <w:fldChar w:fldCharType="end"/>
            </w:r>
          </w:hyperlink>
        </w:p>
        <w:p w14:paraId="6F18A4A3" w14:textId="0B5536BF" w:rsidR="00A55779" w:rsidRDefault="00A55779">
          <w:pPr>
            <w:pStyle w:val="TDC1"/>
            <w:tabs>
              <w:tab w:val="right" w:leader="dot" w:pos="9530"/>
            </w:tabs>
            <w:rPr>
              <w:rFonts w:asciiTheme="minorHAnsi" w:eastAsiaTheme="minorEastAsia" w:hAnsiTheme="minorHAnsi" w:cstheme="minorBidi"/>
              <w:noProof/>
              <w:color w:val="auto"/>
            </w:rPr>
          </w:pPr>
          <w:hyperlink w:anchor="_Toc235022605" w:history="1">
            <w:r w:rsidRPr="00F605FF">
              <w:rPr>
                <w:rStyle w:val="Hipervnculo"/>
                <w:noProof/>
              </w:rPr>
              <w:t>15.5. Consola Conversacional (Chatbot Integrado)</w:t>
            </w:r>
            <w:r>
              <w:rPr>
                <w:noProof/>
                <w:webHidden/>
              </w:rPr>
              <w:tab/>
            </w:r>
            <w:r>
              <w:rPr>
                <w:noProof/>
                <w:webHidden/>
              </w:rPr>
              <w:fldChar w:fldCharType="begin"/>
            </w:r>
            <w:r>
              <w:rPr>
                <w:noProof/>
                <w:webHidden/>
              </w:rPr>
              <w:instrText xml:space="preserve"> PAGEREF _Toc235022605 \h </w:instrText>
            </w:r>
            <w:r>
              <w:rPr>
                <w:noProof/>
                <w:webHidden/>
              </w:rPr>
            </w:r>
            <w:r>
              <w:rPr>
                <w:noProof/>
                <w:webHidden/>
              </w:rPr>
              <w:fldChar w:fldCharType="separate"/>
            </w:r>
            <w:r>
              <w:rPr>
                <w:noProof/>
                <w:webHidden/>
              </w:rPr>
              <w:t>19</w:t>
            </w:r>
            <w:r>
              <w:rPr>
                <w:noProof/>
                <w:webHidden/>
              </w:rPr>
              <w:fldChar w:fldCharType="end"/>
            </w:r>
          </w:hyperlink>
        </w:p>
        <w:p w14:paraId="1F70EF96" w14:textId="034A945A" w:rsidR="00A55779" w:rsidRDefault="00A55779">
          <w:pPr>
            <w:pStyle w:val="TDC1"/>
            <w:tabs>
              <w:tab w:val="right" w:leader="dot" w:pos="9530"/>
            </w:tabs>
            <w:rPr>
              <w:rFonts w:asciiTheme="minorHAnsi" w:eastAsiaTheme="minorEastAsia" w:hAnsiTheme="minorHAnsi" w:cstheme="minorBidi"/>
              <w:noProof/>
              <w:color w:val="auto"/>
            </w:rPr>
          </w:pPr>
          <w:hyperlink w:anchor="_Toc235022606" w:history="1">
            <w:r w:rsidRPr="00F605FF">
              <w:rPr>
                <w:rStyle w:val="Hipervnculo"/>
                <w:noProof/>
              </w:rPr>
              <w:t>15.4. Portal Cliente y Score de Riesgo (KYC Tax Shield)</w:t>
            </w:r>
            <w:r>
              <w:rPr>
                <w:noProof/>
                <w:webHidden/>
              </w:rPr>
              <w:tab/>
            </w:r>
            <w:r>
              <w:rPr>
                <w:noProof/>
                <w:webHidden/>
              </w:rPr>
              <w:fldChar w:fldCharType="begin"/>
            </w:r>
            <w:r>
              <w:rPr>
                <w:noProof/>
                <w:webHidden/>
              </w:rPr>
              <w:instrText xml:space="preserve"> PAGEREF _Toc235022606 \h </w:instrText>
            </w:r>
            <w:r>
              <w:rPr>
                <w:noProof/>
                <w:webHidden/>
              </w:rPr>
            </w:r>
            <w:r>
              <w:rPr>
                <w:noProof/>
                <w:webHidden/>
              </w:rPr>
              <w:fldChar w:fldCharType="separate"/>
            </w:r>
            <w:r>
              <w:rPr>
                <w:noProof/>
                <w:webHidden/>
              </w:rPr>
              <w:t>19</w:t>
            </w:r>
            <w:r>
              <w:rPr>
                <w:noProof/>
                <w:webHidden/>
              </w:rPr>
              <w:fldChar w:fldCharType="end"/>
            </w:r>
          </w:hyperlink>
        </w:p>
        <w:p w14:paraId="4AA41666" w14:textId="437DF91A" w:rsidR="00A55779" w:rsidRDefault="00A55779">
          <w:pPr>
            <w:pStyle w:val="TDC1"/>
            <w:tabs>
              <w:tab w:val="right" w:leader="dot" w:pos="9530"/>
            </w:tabs>
            <w:rPr>
              <w:rFonts w:asciiTheme="minorHAnsi" w:eastAsiaTheme="minorEastAsia" w:hAnsiTheme="minorHAnsi" w:cstheme="minorBidi"/>
              <w:noProof/>
              <w:color w:val="auto"/>
            </w:rPr>
          </w:pPr>
          <w:hyperlink w:anchor="_Toc235022607" w:history="1">
            <w:r w:rsidRPr="00F605FF">
              <w:rPr>
                <w:rStyle w:val="Hipervnculo"/>
                <w:b/>
                <w:bCs/>
                <w:noProof/>
              </w:rPr>
              <w:t>16. Beneficios Obtenidos</w:t>
            </w:r>
            <w:r>
              <w:rPr>
                <w:noProof/>
                <w:webHidden/>
              </w:rPr>
              <w:tab/>
            </w:r>
            <w:r>
              <w:rPr>
                <w:noProof/>
                <w:webHidden/>
              </w:rPr>
              <w:fldChar w:fldCharType="begin"/>
            </w:r>
            <w:r>
              <w:rPr>
                <w:noProof/>
                <w:webHidden/>
              </w:rPr>
              <w:instrText xml:space="preserve"> PAGEREF _Toc235022607 \h </w:instrText>
            </w:r>
            <w:r>
              <w:rPr>
                <w:noProof/>
                <w:webHidden/>
              </w:rPr>
            </w:r>
            <w:r>
              <w:rPr>
                <w:noProof/>
                <w:webHidden/>
              </w:rPr>
              <w:fldChar w:fldCharType="separate"/>
            </w:r>
            <w:r>
              <w:rPr>
                <w:noProof/>
                <w:webHidden/>
              </w:rPr>
              <w:t>19</w:t>
            </w:r>
            <w:r>
              <w:rPr>
                <w:noProof/>
                <w:webHidden/>
              </w:rPr>
              <w:fldChar w:fldCharType="end"/>
            </w:r>
          </w:hyperlink>
        </w:p>
        <w:p w14:paraId="13FC16C8" w14:textId="27641006" w:rsidR="00A55779" w:rsidRDefault="00A55779">
          <w:pPr>
            <w:pStyle w:val="TDC1"/>
            <w:tabs>
              <w:tab w:val="right" w:leader="dot" w:pos="9530"/>
            </w:tabs>
            <w:rPr>
              <w:rFonts w:asciiTheme="minorHAnsi" w:eastAsiaTheme="minorEastAsia" w:hAnsiTheme="minorHAnsi" w:cstheme="minorBidi"/>
              <w:noProof/>
              <w:color w:val="auto"/>
            </w:rPr>
          </w:pPr>
          <w:hyperlink w:anchor="_Toc235022608" w:history="1">
            <w:r w:rsidRPr="00F605FF">
              <w:rPr>
                <w:rStyle w:val="Hipervnculo"/>
                <w:b/>
                <w:bCs/>
                <w:noProof/>
              </w:rPr>
              <w:t>17. Limitaciones</w:t>
            </w:r>
            <w:r>
              <w:rPr>
                <w:noProof/>
                <w:webHidden/>
              </w:rPr>
              <w:tab/>
            </w:r>
            <w:r>
              <w:rPr>
                <w:noProof/>
                <w:webHidden/>
              </w:rPr>
              <w:fldChar w:fldCharType="begin"/>
            </w:r>
            <w:r>
              <w:rPr>
                <w:noProof/>
                <w:webHidden/>
              </w:rPr>
              <w:instrText xml:space="preserve"> PAGEREF _Toc235022608 \h </w:instrText>
            </w:r>
            <w:r>
              <w:rPr>
                <w:noProof/>
                <w:webHidden/>
              </w:rPr>
            </w:r>
            <w:r>
              <w:rPr>
                <w:noProof/>
                <w:webHidden/>
              </w:rPr>
              <w:fldChar w:fldCharType="separate"/>
            </w:r>
            <w:r>
              <w:rPr>
                <w:noProof/>
                <w:webHidden/>
              </w:rPr>
              <w:t>20</w:t>
            </w:r>
            <w:r>
              <w:rPr>
                <w:noProof/>
                <w:webHidden/>
              </w:rPr>
              <w:fldChar w:fldCharType="end"/>
            </w:r>
          </w:hyperlink>
        </w:p>
        <w:p w14:paraId="4902B452" w14:textId="7F2FA03C" w:rsidR="00A55779" w:rsidRDefault="00A55779">
          <w:pPr>
            <w:pStyle w:val="TDC1"/>
            <w:tabs>
              <w:tab w:val="right" w:leader="dot" w:pos="9530"/>
            </w:tabs>
            <w:rPr>
              <w:rFonts w:asciiTheme="minorHAnsi" w:eastAsiaTheme="minorEastAsia" w:hAnsiTheme="minorHAnsi" w:cstheme="minorBidi"/>
              <w:noProof/>
              <w:color w:val="auto"/>
            </w:rPr>
          </w:pPr>
          <w:hyperlink w:anchor="_Toc235022609" w:history="1">
            <w:r w:rsidRPr="00F605FF">
              <w:rPr>
                <w:rStyle w:val="Hipervnculo"/>
                <w:b/>
                <w:bCs/>
                <w:noProof/>
              </w:rPr>
              <w:t>18. Trabajos Futuros</w:t>
            </w:r>
            <w:r>
              <w:rPr>
                <w:noProof/>
                <w:webHidden/>
              </w:rPr>
              <w:tab/>
            </w:r>
            <w:r>
              <w:rPr>
                <w:noProof/>
                <w:webHidden/>
              </w:rPr>
              <w:fldChar w:fldCharType="begin"/>
            </w:r>
            <w:r>
              <w:rPr>
                <w:noProof/>
                <w:webHidden/>
              </w:rPr>
              <w:instrText xml:space="preserve"> PAGEREF _Toc235022609 \h </w:instrText>
            </w:r>
            <w:r>
              <w:rPr>
                <w:noProof/>
                <w:webHidden/>
              </w:rPr>
            </w:r>
            <w:r>
              <w:rPr>
                <w:noProof/>
                <w:webHidden/>
              </w:rPr>
              <w:fldChar w:fldCharType="separate"/>
            </w:r>
            <w:r>
              <w:rPr>
                <w:noProof/>
                <w:webHidden/>
              </w:rPr>
              <w:t>21</w:t>
            </w:r>
            <w:r>
              <w:rPr>
                <w:noProof/>
                <w:webHidden/>
              </w:rPr>
              <w:fldChar w:fldCharType="end"/>
            </w:r>
          </w:hyperlink>
        </w:p>
        <w:p w14:paraId="07CC9A70" w14:textId="06A19E40" w:rsidR="00A55779" w:rsidRDefault="00A55779">
          <w:pPr>
            <w:pStyle w:val="TDC1"/>
            <w:tabs>
              <w:tab w:val="right" w:leader="dot" w:pos="9530"/>
            </w:tabs>
            <w:rPr>
              <w:rFonts w:asciiTheme="minorHAnsi" w:eastAsiaTheme="minorEastAsia" w:hAnsiTheme="minorHAnsi" w:cstheme="minorBidi"/>
              <w:noProof/>
              <w:color w:val="auto"/>
            </w:rPr>
          </w:pPr>
          <w:hyperlink w:anchor="_Toc235022610" w:history="1">
            <w:r w:rsidRPr="00F605FF">
              <w:rPr>
                <w:rStyle w:val="Hipervnculo"/>
                <w:b/>
                <w:bCs/>
                <w:noProof/>
              </w:rPr>
              <w:t>19. Conclusiones</w:t>
            </w:r>
            <w:r>
              <w:rPr>
                <w:noProof/>
                <w:webHidden/>
              </w:rPr>
              <w:tab/>
            </w:r>
            <w:r>
              <w:rPr>
                <w:noProof/>
                <w:webHidden/>
              </w:rPr>
              <w:fldChar w:fldCharType="begin"/>
            </w:r>
            <w:r>
              <w:rPr>
                <w:noProof/>
                <w:webHidden/>
              </w:rPr>
              <w:instrText xml:space="preserve"> PAGEREF _Toc235022610 \h </w:instrText>
            </w:r>
            <w:r>
              <w:rPr>
                <w:noProof/>
                <w:webHidden/>
              </w:rPr>
            </w:r>
            <w:r>
              <w:rPr>
                <w:noProof/>
                <w:webHidden/>
              </w:rPr>
              <w:fldChar w:fldCharType="separate"/>
            </w:r>
            <w:r>
              <w:rPr>
                <w:noProof/>
                <w:webHidden/>
              </w:rPr>
              <w:t>22</w:t>
            </w:r>
            <w:r>
              <w:rPr>
                <w:noProof/>
                <w:webHidden/>
              </w:rPr>
              <w:fldChar w:fldCharType="end"/>
            </w:r>
          </w:hyperlink>
        </w:p>
        <w:p w14:paraId="4F4D7CB3" w14:textId="2C69A3EF" w:rsidR="00A55779" w:rsidRDefault="00A55779">
          <w:pPr>
            <w:pStyle w:val="TDC1"/>
            <w:tabs>
              <w:tab w:val="right" w:leader="dot" w:pos="9530"/>
            </w:tabs>
            <w:rPr>
              <w:rFonts w:asciiTheme="minorHAnsi" w:eastAsiaTheme="minorEastAsia" w:hAnsiTheme="minorHAnsi" w:cstheme="minorBidi"/>
              <w:noProof/>
              <w:color w:val="auto"/>
            </w:rPr>
          </w:pPr>
          <w:hyperlink w:anchor="_Toc235022611" w:history="1">
            <w:r w:rsidRPr="00F605FF">
              <w:rPr>
                <w:rStyle w:val="Hipervnculo"/>
                <w:b/>
                <w:bCs/>
                <w:noProof/>
              </w:rPr>
              <w:t>20. Anexos</w:t>
            </w:r>
            <w:r>
              <w:rPr>
                <w:noProof/>
                <w:webHidden/>
              </w:rPr>
              <w:tab/>
            </w:r>
            <w:r>
              <w:rPr>
                <w:noProof/>
                <w:webHidden/>
              </w:rPr>
              <w:fldChar w:fldCharType="begin"/>
            </w:r>
            <w:r>
              <w:rPr>
                <w:noProof/>
                <w:webHidden/>
              </w:rPr>
              <w:instrText xml:space="preserve"> PAGEREF _Toc235022611 \h </w:instrText>
            </w:r>
            <w:r>
              <w:rPr>
                <w:noProof/>
                <w:webHidden/>
              </w:rPr>
            </w:r>
            <w:r>
              <w:rPr>
                <w:noProof/>
                <w:webHidden/>
              </w:rPr>
              <w:fldChar w:fldCharType="separate"/>
            </w:r>
            <w:r>
              <w:rPr>
                <w:noProof/>
                <w:webHidden/>
              </w:rPr>
              <w:t>22</w:t>
            </w:r>
            <w:r>
              <w:rPr>
                <w:noProof/>
                <w:webHidden/>
              </w:rPr>
              <w:fldChar w:fldCharType="end"/>
            </w:r>
          </w:hyperlink>
        </w:p>
        <w:p w14:paraId="3F4CDD77" w14:textId="6AB5B9D7" w:rsidR="00A72B38" w:rsidRDefault="00A72B38" w:rsidP="00FE1DD9">
          <w:pPr>
            <w:spacing w:line="360" w:lineRule="auto"/>
          </w:pPr>
          <w:r w:rsidRPr="00A72B38">
            <w:rPr>
              <w:b/>
              <w:bCs/>
              <w:sz w:val="24"/>
              <w:szCs w:val="24"/>
            </w:rPr>
            <w:fldChar w:fldCharType="end"/>
          </w:r>
        </w:p>
      </w:sdtContent>
    </w:sdt>
    <w:p w14:paraId="09D9B450" w14:textId="77777777" w:rsidR="00FE1DD9" w:rsidRDefault="00FE1DD9">
      <w:pPr>
        <w:rPr>
          <w:b/>
          <w:bCs/>
          <w:color w:val="auto"/>
          <w:sz w:val="32"/>
          <w:szCs w:val="32"/>
          <w:u w:val="single"/>
        </w:rPr>
      </w:pPr>
      <w:r>
        <w:rPr>
          <w:b/>
          <w:bCs/>
          <w:color w:val="auto"/>
          <w:u w:val="single"/>
        </w:rPr>
        <w:br w:type="page"/>
      </w:r>
    </w:p>
    <w:p w14:paraId="43E2752D" w14:textId="379C7FA5" w:rsidR="00A72B38" w:rsidRPr="00A72B38" w:rsidRDefault="00A72B38" w:rsidP="00A72B38">
      <w:pPr>
        <w:pStyle w:val="Ttulo1"/>
        <w:jc w:val="center"/>
        <w:rPr>
          <w:b/>
          <w:bCs/>
          <w:color w:val="auto"/>
          <w:u w:val="single"/>
        </w:rPr>
      </w:pPr>
      <w:bookmarkStart w:id="0" w:name="_Toc235022570"/>
      <w:r w:rsidRPr="00A72B38">
        <w:rPr>
          <w:b/>
          <w:bCs/>
          <w:color w:val="auto"/>
          <w:u w:val="single"/>
        </w:rPr>
        <w:lastRenderedPageBreak/>
        <w:t>Inteligencia de Negocios para la Optimización de Servicios en RENIEC</w:t>
      </w:r>
      <w:bookmarkEnd w:id="0"/>
    </w:p>
    <w:p w14:paraId="21F4F0FF" w14:textId="77777777" w:rsidR="003A401F" w:rsidRDefault="00B038DC" w:rsidP="00A72B38">
      <w:pPr>
        <w:pStyle w:val="Ttulo2"/>
        <w:spacing w:before="280" w:after="140" w:line="360" w:lineRule="auto"/>
      </w:pPr>
      <w:bookmarkStart w:id="1" w:name="_Toc235022571"/>
      <w:r>
        <w:rPr>
          <w:b/>
          <w:bCs/>
          <w:color w:val="000000"/>
          <w:sz w:val="24"/>
          <w:szCs w:val="24"/>
        </w:rPr>
        <w:t>Problema</w:t>
      </w:r>
      <w:bookmarkEnd w:id="1"/>
    </w:p>
    <w:p w14:paraId="4CCE3BE8" w14:textId="77777777" w:rsidR="003A401F" w:rsidRDefault="00B038DC" w:rsidP="00A72B38">
      <w:pPr>
        <w:spacing w:after="160" w:line="360" w:lineRule="auto"/>
        <w:jc w:val="both"/>
      </w:pPr>
      <w:r>
        <w:t>RENIEC enfrenta saturación operativa en sus centros de atención de mayor demanda, baja adopción de trámites digitales y una asignación de recursos que no responde a patrones reales de demanda, lo que se traduce en tiempos de espera excesivos y un acceso menos oportuno a servicios de identidad.</w:t>
      </w:r>
    </w:p>
    <w:p w14:paraId="1EDD01E2" w14:textId="77777777" w:rsidR="003A401F" w:rsidRDefault="00B038DC" w:rsidP="00A72B38">
      <w:pPr>
        <w:pStyle w:val="Ttulo2"/>
        <w:spacing w:before="280" w:after="140" w:line="360" w:lineRule="auto"/>
      </w:pPr>
      <w:bookmarkStart w:id="2" w:name="_Toc235022572"/>
      <w:r>
        <w:rPr>
          <w:b/>
          <w:bCs/>
          <w:color w:val="000000"/>
          <w:sz w:val="24"/>
          <w:szCs w:val="24"/>
        </w:rPr>
        <w:t>Objetivo</w:t>
      </w:r>
      <w:bookmarkEnd w:id="2"/>
    </w:p>
    <w:p w14:paraId="1F9E0356" w14:textId="77777777" w:rsidR="003A401F" w:rsidRDefault="00B038DC" w:rsidP="00A72B38">
      <w:pPr>
        <w:spacing w:after="160" w:line="360" w:lineRule="auto"/>
        <w:jc w:val="both"/>
      </w:pPr>
      <w:r>
        <w:t>Implementar una solución de Inteligencia de Negocios que integre, procese y visualice los datos operativos de RENIEC, para anticipar la demanda ciudadana y apoyar decisiones estratégicas preventivas.</w:t>
      </w:r>
    </w:p>
    <w:p w14:paraId="0BF2B19E" w14:textId="77777777" w:rsidR="003A401F" w:rsidRDefault="00B038DC" w:rsidP="00A72B38">
      <w:pPr>
        <w:pStyle w:val="Ttulo2"/>
        <w:spacing w:before="280" w:after="140" w:line="360" w:lineRule="auto"/>
      </w:pPr>
      <w:bookmarkStart w:id="3" w:name="_Toc235022573"/>
      <w:r>
        <w:rPr>
          <w:b/>
          <w:bCs/>
          <w:color w:val="000000"/>
          <w:sz w:val="24"/>
          <w:szCs w:val="24"/>
        </w:rPr>
        <w:t>Solución Propuesta</w:t>
      </w:r>
      <w:bookmarkEnd w:id="3"/>
    </w:p>
    <w:p w14:paraId="7894B6CA" w14:textId="77777777" w:rsidR="003A401F" w:rsidRDefault="00B038DC" w:rsidP="00A72B38">
      <w:pPr>
        <w:spacing w:after="160" w:line="360" w:lineRule="auto"/>
        <w:jc w:val="both"/>
      </w:pPr>
      <w:r>
        <w:t>Un Data Warehouse en modelo estrella, alimentado por cuatro fuentes de datos abiertos de RENIEC, construido sobre una arquitectura Medallón (Bronze - Silver - Gold) en contenedores Docker, con MinIO como Data Lake, Apache Airflow como orquestador del pipeline y Power BI como capa de visualización de KPIs.</w:t>
      </w:r>
    </w:p>
    <w:p w14:paraId="7C354CA7" w14:textId="77777777" w:rsidR="003A401F" w:rsidRDefault="00B038DC" w:rsidP="00A72B38">
      <w:pPr>
        <w:pStyle w:val="Ttulo2"/>
        <w:spacing w:before="280" w:after="140" w:line="360" w:lineRule="auto"/>
      </w:pPr>
      <w:bookmarkStart w:id="4" w:name="_Toc235022574"/>
      <w:r>
        <w:rPr>
          <w:b/>
          <w:bCs/>
          <w:color w:val="000000"/>
          <w:sz w:val="24"/>
          <w:szCs w:val="24"/>
        </w:rPr>
        <w:t>Resultados Esperados (estimaciones referenciales)</w:t>
      </w:r>
      <w:bookmarkEnd w:id="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3A401F" w14:paraId="12B8C93F" w14:textId="77777777">
        <w:trPr>
          <w:tblHeader/>
        </w:trPr>
        <w:tc>
          <w:tcPr>
            <w:tcW w:w="4675" w:type="dxa"/>
            <w:shd w:val="clear" w:color="auto" w:fill="404040"/>
            <w:tcMar>
              <w:top w:w="80" w:type="dxa"/>
              <w:left w:w="100" w:type="dxa"/>
              <w:bottom w:w="80" w:type="dxa"/>
              <w:right w:w="100" w:type="dxa"/>
            </w:tcMar>
            <w:vAlign w:val="center"/>
          </w:tcPr>
          <w:p w14:paraId="23CAAAD1" w14:textId="77777777" w:rsidR="003A401F" w:rsidRDefault="00B038DC" w:rsidP="00A72B38">
            <w:pPr>
              <w:spacing w:line="360" w:lineRule="auto"/>
            </w:pPr>
            <w:r>
              <w:rPr>
                <w:b/>
                <w:bCs/>
                <w:color w:val="FFFFFF"/>
                <w:sz w:val="20"/>
                <w:szCs w:val="20"/>
              </w:rPr>
              <w:t>Indicador</w:t>
            </w:r>
          </w:p>
        </w:tc>
        <w:tc>
          <w:tcPr>
            <w:tcW w:w="4675" w:type="dxa"/>
            <w:shd w:val="clear" w:color="auto" w:fill="404040"/>
            <w:tcMar>
              <w:top w:w="80" w:type="dxa"/>
              <w:left w:w="100" w:type="dxa"/>
              <w:bottom w:w="80" w:type="dxa"/>
              <w:right w:w="100" w:type="dxa"/>
            </w:tcMar>
            <w:vAlign w:val="center"/>
          </w:tcPr>
          <w:p w14:paraId="3107C90D" w14:textId="77777777" w:rsidR="003A401F" w:rsidRDefault="00B038DC" w:rsidP="00A72B38">
            <w:pPr>
              <w:spacing w:line="360" w:lineRule="auto"/>
            </w:pPr>
            <w:r>
              <w:rPr>
                <w:b/>
                <w:bCs/>
                <w:color w:val="FFFFFF"/>
                <w:sz w:val="20"/>
                <w:szCs w:val="20"/>
              </w:rPr>
              <w:t>Estimación referencial</w:t>
            </w:r>
          </w:p>
        </w:tc>
      </w:tr>
      <w:tr w:rsidR="003A401F" w14:paraId="231B0CE8" w14:textId="77777777">
        <w:tc>
          <w:tcPr>
            <w:tcW w:w="4675" w:type="dxa"/>
            <w:shd w:val="clear" w:color="auto" w:fill="F2F2F2"/>
            <w:tcMar>
              <w:top w:w="80" w:type="dxa"/>
              <w:left w:w="100" w:type="dxa"/>
              <w:bottom w:w="80" w:type="dxa"/>
              <w:right w:w="100" w:type="dxa"/>
            </w:tcMar>
            <w:vAlign w:val="center"/>
          </w:tcPr>
          <w:p w14:paraId="560D4157" w14:textId="77777777" w:rsidR="003A401F" w:rsidRDefault="00B038DC" w:rsidP="00A72B38">
            <w:pPr>
              <w:spacing w:line="360" w:lineRule="auto"/>
            </w:pPr>
            <w:r>
              <w:rPr>
                <w:sz w:val="20"/>
                <w:szCs w:val="20"/>
              </w:rPr>
              <w:t>Reducción de tiempos de espera en sedes de alta demanda</w:t>
            </w:r>
          </w:p>
        </w:tc>
        <w:tc>
          <w:tcPr>
            <w:tcW w:w="4675" w:type="dxa"/>
            <w:shd w:val="clear" w:color="auto" w:fill="F2F2F2"/>
            <w:tcMar>
              <w:top w:w="80" w:type="dxa"/>
              <w:left w:w="100" w:type="dxa"/>
              <w:bottom w:w="80" w:type="dxa"/>
              <w:right w:w="100" w:type="dxa"/>
            </w:tcMar>
            <w:vAlign w:val="center"/>
          </w:tcPr>
          <w:p w14:paraId="55907D12" w14:textId="77777777" w:rsidR="003A401F" w:rsidRDefault="00B038DC" w:rsidP="00A72B38">
            <w:pPr>
              <w:spacing w:line="360" w:lineRule="auto"/>
            </w:pPr>
            <w:r>
              <w:rPr>
                <w:sz w:val="20"/>
                <w:szCs w:val="20"/>
              </w:rPr>
              <w:t>15% - 20%, al redistribuir personal de forma preventiva</w:t>
            </w:r>
          </w:p>
        </w:tc>
      </w:tr>
      <w:tr w:rsidR="003A401F" w14:paraId="6BF52E29" w14:textId="77777777">
        <w:tc>
          <w:tcPr>
            <w:tcW w:w="4675" w:type="dxa"/>
            <w:shd w:val="clear" w:color="auto" w:fill="FFFFFF"/>
            <w:tcMar>
              <w:top w:w="80" w:type="dxa"/>
              <w:left w:w="100" w:type="dxa"/>
              <w:bottom w:w="80" w:type="dxa"/>
              <w:right w:w="100" w:type="dxa"/>
            </w:tcMar>
            <w:vAlign w:val="center"/>
          </w:tcPr>
          <w:p w14:paraId="5FCAF34D" w14:textId="77777777" w:rsidR="003A401F" w:rsidRDefault="00B038DC" w:rsidP="00A72B38">
            <w:pPr>
              <w:spacing w:line="360" w:lineRule="auto"/>
            </w:pPr>
            <w:r>
              <w:rPr>
                <w:sz w:val="20"/>
                <w:szCs w:val="20"/>
              </w:rPr>
              <w:t>Incremento en la adopción de canales digitales</w:t>
            </w:r>
          </w:p>
        </w:tc>
        <w:tc>
          <w:tcPr>
            <w:tcW w:w="4675" w:type="dxa"/>
            <w:shd w:val="clear" w:color="auto" w:fill="FFFFFF"/>
            <w:tcMar>
              <w:top w:w="80" w:type="dxa"/>
              <w:left w:w="100" w:type="dxa"/>
              <w:bottom w:w="80" w:type="dxa"/>
              <w:right w:w="100" w:type="dxa"/>
            </w:tcMar>
            <w:vAlign w:val="center"/>
          </w:tcPr>
          <w:p w14:paraId="07E4B4B5" w14:textId="77777777" w:rsidR="003A401F" w:rsidRDefault="00B038DC" w:rsidP="00A72B38">
            <w:pPr>
              <w:spacing w:line="360" w:lineRule="auto"/>
            </w:pPr>
            <w:r>
              <w:rPr>
                <w:sz w:val="20"/>
                <w:szCs w:val="20"/>
              </w:rPr>
              <w:t>10% - 15% en sedes con campañas de digitalización focalizadas</w:t>
            </w:r>
          </w:p>
        </w:tc>
      </w:tr>
      <w:tr w:rsidR="003A401F" w14:paraId="3FAF5F17" w14:textId="77777777">
        <w:tc>
          <w:tcPr>
            <w:tcW w:w="4675" w:type="dxa"/>
            <w:shd w:val="clear" w:color="auto" w:fill="F2F2F2"/>
            <w:tcMar>
              <w:top w:w="80" w:type="dxa"/>
              <w:left w:w="100" w:type="dxa"/>
              <w:bottom w:w="80" w:type="dxa"/>
              <w:right w:w="100" w:type="dxa"/>
            </w:tcMar>
            <w:vAlign w:val="center"/>
          </w:tcPr>
          <w:p w14:paraId="37F8D3C1" w14:textId="77777777" w:rsidR="003A401F" w:rsidRDefault="00B038DC" w:rsidP="00A72B38">
            <w:pPr>
              <w:spacing w:line="360" w:lineRule="auto"/>
            </w:pPr>
            <w:r>
              <w:rPr>
                <w:sz w:val="20"/>
                <w:szCs w:val="20"/>
              </w:rPr>
              <w:t>Reducción de horas-persona en tareas de reporting manual</w:t>
            </w:r>
          </w:p>
        </w:tc>
        <w:tc>
          <w:tcPr>
            <w:tcW w:w="4675" w:type="dxa"/>
            <w:shd w:val="clear" w:color="auto" w:fill="F2F2F2"/>
            <w:tcMar>
              <w:top w:w="80" w:type="dxa"/>
              <w:left w:w="100" w:type="dxa"/>
              <w:bottom w:w="80" w:type="dxa"/>
              <w:right w:w="100" w:type="dxa"/>
            </w:tcMar>
            <w:vAlign w:val="center"/>
          </w:tcPr>
          <w:p w14:paraId="5FE06C80" w14:textId="77777777" w:rsidR="003A401F" w:rsidRDefault="00B038DC" w:rsidP="00A72B38">
            <w:pPr>
              <w:spacing w:line="360" w:lineRule="auto"/>
            </w:pPr>
            <w:r>
              <w:rPr>
                <w:sz w:val="20"/>
                <w:szCs w:val="20"/>
              </w:rPr>
              <w:t>Estimado de 8 a 12 horas/mes por sede, al centralizar KPIs en Power BI</w:t>
            </w:r>
          </w:p>
        </w:tc>
      </w:tr>
    </w:tbl>
    <w:p w14:paraId="45DFC11C" w14:textId="77777777" w:rsidR="003A401F" w:rsidRDefault="00B038DC" w:rsidP="00A72B38">
      <w:pPr>
        <w:spacing w:before="100" w:after="200" w:line="360" w:lineRule="auto"/>
      </w:pPr>
      <w:r>
        <w:rPr>
          <w:i/>
          <w:iCs/>
          <w:color w:val="595959"/>
          <w:sz w:val="18"/>
          <w:szCs w:val="18"/>
        </w:rPr>
        <w:t>Nota: cifras estimadas de forma razonada a partir del diseño de la solución; no provienen de una medición piloto y deben validarse en una fase de implementación real.</w:t>
      </w:r>
    </w:p>
    <w:p w14:paraId="34001B26" w14:textId="77777777" w:rsidR="003A401F" w:rsidRDefault="00B038DC" w:rsidP="00A72B38">
      <w:pPr>
        <w:pStyle w:val="Ttulo2"/>
        <w:spacing w:before="280" w:after="140" w:line="360" w:lineRule="auto"/>
      </w:pPr>
      <w:bookmarkStart w:id="5" w:name="_Toc235022575"/>
      <w:r>
        <w:rPr>
          <w:b/>
          <w:bCs/>
          <w:color w:val="000000"/>
          <w:sz w:val="24"/>
          <w:szCs w:val="24"/>
        </w:rPr>
        <w:t>5 Recomendaciones Prioritarias</w:t>
      </w:r>
      <w:bookmarkEnd w:id="5"/>
    </w:p>
    <w:p w14:paraId="031E61B1" w14:textId="77777777" w:rsidR="003A401F" w:rsidRDefault="00B038DC" w:rsidP="00A72B38">
      <w:pPr>
        <w:pStyle w:val="Prrafodelista"/>
        <w:numPr>
          <w:ilvl w:val="0"/>
          <w:numId w:val="1"/>
        </w:numPr>
        <w:spacing w:after="100" w:line="360" w:lineRule="auto"/>
        <w:jc w:val="both"/>
      </w:pPr>
      <w:r>
        <w:rPr>
          <w:b/>
          <w:bCs/>
        </w:rPr>
        <w:t xml:space="preserve">1. Validar KPIs con datos reales: </w:t>
      </w:r>
      <w:r>
        <w:t>ejecutar el pipeline sobre un periodo piloto y contrastar las estimaciones de este documento con datos observados.</w:t>
      </w:r>
    </w:p>
    <w:p w14:paraId="3F967175" w14:textId="77777777" w:rsidR="003A401F" w:rsidRDefault="00B038DC" w:rsidP="00A72B38">
      <w:pPr>
        <w:pStyle w:val="Prrafodelista"/>
        <w:numPr>
          <w:ilvl w:val="0"/>
          <w:numId w:val="1"/>
        </w:numPr>
        <w:spacing w:after="100" w:line="360" w:lineRule="auto"/>
        <w:jc w:val="both"/>
      </w:pPr>
      <w:r>
        <w:rPr>
          <w:b/>
          <w:bCs/>
        </w:rPr>
        <w:lastRenderedPageBreak/>
        <w:t xml:space="preserve">2. Priorizar la integración incremental: </w:t>
      </w:r>
      <w:r>
        <w:t>avanzar hacia una ingesta más frecuente que el batch mensual actual, como paso previo a un esquema de streaming.</w:t>
      </w:r>
    </w:p>
    <w:p w14:paraId="098B6B27" w14:textId="77777777" w:rsidR="003A401F" w:rsidRDefault="00B038DC" w:rsidP="00A72B38">
      <w:pPr>
        <w:pStyle w:val="Prrafodelista"/>
        <w:numPr>
          <w:ilvl w:val="0"/>
          <w:numId w:val="1"/>
        </w:numPr>
        <w:spacing w:after="100" w:line="360" w:lineRule="auto"/>
        <w:jc w:val="both"/>
      </w:pPr>
      <w:r>
        <w:rPr>
          <w:b/>
          <w:bCs/>
        </w:rPr>
        <w:t xml:space="preserve">3. Formalizar el gobierno de datos: </w:t>
      </w:r>
      <w:r>
        <w:t>definir en detalle los controles de acceso por rol (RBAC) y las reglas de enmascaramiento antes de un despliegue con datos más sensibles.</w:t>
      </w:r>
    </w:p>
    <w:p w14:paraId="449A72E3" w14:textId="77777777" w:rsidR="003A401F" w:rsidRDefault="00B038DC" w:rsidP="00A72B38">
      <w:pPr>
        <w:pStyle w:val="Prrafodelista"/>
        <w:numPr>
          <w:ilvl w:val="0"/>
          <w:numId w:val="1"/>
        </w:numPr>
        <w:spacing w:after="100" w:line="360" w:lineRule="auto"/>
        <w:jc w:val="both"/>
      </w:pPr>
      <w:r>
        <w:rPr>
          <w:b/>
          <w:bCs/>
        </w:rPr>
        <w:t xml:space="preserve">4. Migrar a infraestructura administrada: </w:t>
      </w:r>
      <w:r>
        <w:t>planificar el paso del entorno local de Docker hacia servicios en la nube para soportar volúmenes y usuarios concurrentes reales.</w:t>
      </w:r>
    </w:p>
    <w:p w14:paraId="74363F62" w14:textId="77777777" w:rsidR="003A401F" w:rsidRDefault="00B038DC" w:rsidP="00A72B38">
      <w:pPr>
        <w:pStyle w:val="Prrafodelista"/>
        <w:numPr>
          <w:ilvl w:val="0"/>
          <w:numId w:val="1"/>
        </w:numPr>
        <w:spacing w:after="100" w:line="360" w:lineRule="auto"/>
        <w:jc w:val="both"/>
      </w:pPr>
      <w:r>
        <w:rPr>
          <w:b/>
          <w:bCs/>
        </w:rPr>
        <w:t xml:space="preserve">5. Ampliar el alcance de trámites cubiertos: </w:t>
      </w:r>
      <w:r>
        <w:t>incorporar progresivamente servicios de menor volumen para lograr una vista integral de la operación de RENIEC.</w:t>
      </w:r>
    </w:p>
    <w:p w14:paraId="5D4BAF33" w14:textId="77777777" w:rsidR="003A401F" w:rsidRDefault="00B038DC" w:rsidP="00A72B38">
      <w:pPr>
        <w:pStyle w:val="Ttulo1"/>
        <w:pBdr>
          <w:bottom w:val="single" w:sz="8" w:space="4" w:color="000000"/>
        </w:pBdr>
        <w:spacing w:before="400" w:after="200" w:line="360" w:lineRule="auto"/>
      </w:pPr>
      <w:bookmarkStart w:id="6" w:name="_Toc235022576"/>
      <w:r>
        <w:rPr>
          <w:b/>
          <w:bCs/>
          <w:color w:val="000000"/>
          <w:sz w:val="30"/>
          <w:szCs w:val="30"/>
        </w:rPr>
        <w:t>Resumen General del Proyecto</w:t>
      </w:r>
      <w:bookmarkEnd w:id="6"/>
    </w:p>
    <w:p w14:paraId="3B8D2CDE" w14:textId="77777777" w:rsidR="003A401F" w:rsidRDefault="00B038DC" w:rsidP="00A72B38">
      <w:pPr>
        <w:spacing w:after="160" w:line="360" w:lineRule="auto"/>
        <w:jc w:val="both"/>
      </w:pPr>
      <w:r>
        <w:t>Este proyecto de Inteligencia de Negocios aborda la congestión operativa y la baja adopción digital que enfrenta el Registro Nacional de Identificación y Estado Civil (RENIEC) en trámites de alto volumen: el DNI, el Certificado de Inscripción (C4) y las Copias Certificadas.</w:t>
      </w:r>
    </w:p>
    <w:p w14:paraId="31FF055C" w14:textId="77777777" w:rsidR="003A401F" w:rsidRDefault="00B038DC" w:rsidP="00A72B38">
      <w:pPr>
        <w:spacing w:after="160" w:line="360" w:lineRule="auto"/>
        <w:jc w:val="both"/>
      </w:pPr>
      <w:r>
        <w:t>A partir de cuatro fuentes de datos abiertos, se construyó un Data Warehouse en modelo estrella que permite analizar la demanda ciudadana por sede, tipo de trámite y ubicación geográfica.</w:t>
      </w:r>
    </w:p>
    <w:p w14:paraId="1F7D638E" w14:textId="77777777" w:rsidR="003A401F" w:rsidRDefault="00B038DC" w:rsidP="00A72B38">
      <w:pPr>
        <w:spacing w:after="160" w:line="360" w:lineRule="auto"/>
        <w:jc w:val="both"/>
      </w:pPr>
      <w:r>
        <w:t>La solución se apoya en una arquitectura Medallón (Bronze - Silver - Gold) desplegada en contenedores Docker. MinIO actúa como Data Lake para los datos crudos, Apache Airflow orquesta el pipeline de transformación de forma automatizada, y Power BI conecta con la capa Gold para exponer los indicadores clave (KPIs) mediante un dashboard interactivo.</w:t>
      </w:r>
    </w:p>
    <w:p w14:paraId="2860FCDA" w14:textId="77777777" w:rsidR="003A401F" w:rsidRDefault="00B038DC" w:rsidP="00A72B38">
      <w:pPr>
        <w:spacing w:after="160" w:line="360" w:lineRule="auto"/>
        <w:jc w:val="both"/>
      </w:pPr>
      <w:r>
        <w:t>Con base en el diseño de la solución, se estima de forma referencial una reducción de 15% a 20% en los tiempos de espera de las sedes más saturadas y un ahorro de entre 8 y 12 horas-persona al mes por sede en tareas de reporte manual; ambas cifras deberán confirmarse con datos reales en una fase piloto.</w:t>
      </w:r>
    </w:p>
    <w:p w14:paraId="2BD10EDD" w14:textId="77777777" w:rsidR="003A401F" w:rsidRDefault="00B038DC" w:rsidP="00A72B38">
      <w:pPr>
        <w:spacing w:after="160" w:line="360" w:lineRule="auto"/>
        <w:jc w:val="both"/>
      </w:pPr>
      <w:r>
        <w:t>Las secciones siguientes desarrollan, en el orden del índice, el contexto institucional, el problema identificado, la propuesta de solución, la gestión de la información, la arquitectura técnica implementada, el resultado final del dashboard, los beneficios y limitaciones del proyecto, y las líneas de trabajo futuro.</w:t>
      </w:r>
    </w:p>
    <w:p w14:paraId="0E33FBB2" w14:textId="77777777" w:rsidR="003A401F" w:rsidRDefault="00B038DC" w:rsidP="00A72B38">
      <w:pPr>
        <w:spacing w:line="360" w:lineRule="auto"/>
      </w:pPr>
      <w:r>
        <w:br w:type="page"/>
      </w:r>
    </w:p>
    <w:p w14:paraId="7B4B931C" w14:textId="77777777" w:rsidR="003A401F" w:rsidRDefault="00B038DC" w:rsidP="00A72B38">
      <w:pPr>
        <w:pStyle w:val="Ttulo1"/>
        <w:pBdr>
          <w:bottom w:val="single" w:sz="8" w:space="4" w:color="000000"/>
        </w:pBdr>
        <w:spacing w:before="400" w:after="200" w:line="360" w:lineRule="auto"/>
      </w:pPr>
      <w:bookmarkStart w:id="7" w:name="_Toc235022577"/>
      <w:r>
        <w:rPr>
          <w:b/>
          <w:bCs/>
          <w:color w:val="000000"/>
          <w:sz w:val="30"/>
          <w:szCs w:val="30"/>
        </w:rPr>
        <w:lastRenderedPageBreak/>
        <w:t>1. ¿Qué es RENIEC?</w:t>
      </w:r>
      <w:bookmarkEnd w:id="7"/>
    </w:p>
    <w:p w14:paraId="1D5782E6" w14:textId="77777777" w:rsidR="003A401F" w:rsidRDefault="00B038DC" w:rsidP="00A72B38">
      <w:pPr>
        <w:spacing w:after="160" w:line="360" w:lineRule="auto"/>
        <w:jc w:val="both"/>
      </w:pPr>
      <w:r>
        <w:t>El Registro Nacional de Identificación y Estado Civil (RENIEC) es el pilar de la infraestructura de identidad en el Perú. Como organismo autónomo, su misión va más allá del registro civil: garantiza el derecho a la identidad de los ciudadanos y sostiene la confiabilidad de la información que respalda al sistema democrático y a los servicios públicos y privados. En el marco de la transformación digital, RENIEC funciona como el "hub" de validación de identidad, con la base de datos más crítica y consultada del país.</w:t>
      </w:r>
    </w:p>
    <w:p w14:paraId="1FF6A1EC" w14:textId="77777777" w:rsidR="003A401F" w:rsidRDefault="00B038DC" w:rsidP="00A72B38">
      <w:pPr>
        <w:pStyle w:val="Ttulo1"/>
        <w:pBdr>
          <w:bottom w:val="single" w:sz="8" w:space="4" w:color="000000"/>
        </w:pBdr>
        <w:spacing w:before="400" w:after="200" w:line="360" w:lineRule="auto"/>
      </w:pPr>
      <w:bookmarkStart w:id="8" w:name="_Toc235022578"/>
      <w:r>
        <w:rPr>
          <w:b/>
          <w:bCs/>
          <w:color w:val="000000"/>
          <w:sz w:val="30"/>
          <w:szCs w:val="30"/>
        </w:rPr>
        <w:t>2. Justificación del Proyecto</w:t>
      </w:r>
      <w:bookmarkEnd w:id="8"/>
    </w:p>
    <w:p w14:paraId="53AEA789" w14:textId="77777777" w:rsidR="003A401F" w:rsidRDefault="00B038DC" w:rsidP="00A72B38">
      <w:pPr>
        <w:spacing w:after="160" w:line="360" w:lineRule="auto"/>
        <w:jc w:val="both"/>
      </w:pPr>
      <w:r>
        <w:t>RENIEC es un caso de estudio idóneo para Big Data: gestiona información de más de 33 millones de ciudadanos, procesa millones de transacciones anuales y combina datos estructurados y geoespaciales. Optimizar sus procesos impacta directamente en la eficiencia del Estado y permite avanzar de una gestión reactiva a una gestión proactiva basada en datos.</w:t>
      </w:r>
    </w:p>
    <w:p w14:paraId="2A21E251" w14:textId="77777777" w:rsidR="003A401F" w:rsidRDefault="00B038DC" w:rsidP="00A72B38">
      <w:pPr>
        <w:pStyle w:val="Ttulo1"/>
        <w:pBdr>
          <w:bottom w:val="single" w:sz="8" w:space="4" w:color="000000"/>
        </w:pBdr>
        <w:spacing w:before="400" w:after="200" w:line="360" w:lineRule="auto"/>
      </w:pPr>
      <w:bookmarkStart w:id="9" w:name="_Toc235022579"/>
      <w:r>
        <w:rPr>
          <w:b/>
          <w:bCs/>
          <w:color w:val="000000"/>
          <w:sz w:val="30"/>
          <w:szCs w:val="30"/>
        </w:rPr>
        <w:t>3. Alcance del Proyecto</w:t>
      </w:r>
      <w:bookmarkEnd w:id="9"/>
    </w:p>
    <w:p w14:paraId="70F41743" w14:textId="77777777" w:rsidR="003A401F" w:rsidRDefault="00B038DC" w:rsidP="00A72B38">
      <w:pPr>
        <w:spacing w:after="160" w:line="360" w:lineRule="auto"/>
        <w:jc w:val="both"/>
      </w:pPr>
      <w:r>
        <w:t>Para garantizar la viabilidad y profundidad del análisis en este ciclo, el proyecto se centra en los servicios de mayor demanda ciudadana y volumen transaccional:</w:t>
      </w:r>
    </w:p>
    <w:p w14:paraId="5F2D5D60" w14:textId="77777777" w:rsidR="003A401F" w:rsidRDefault="00B038DC" w:rsidP="00A72B38">
      <w:pPr>
        <w:pStyle w:val="Prrafodelista"/>
        <w:numPr>
          <w:ilvl w:val="0"/>
          <w:numId w:val="1"/>
        </w:numPr>
        <w:spacing w:after="100" w:line="360" w:lineRule="auto"/>
        <w:jc w:val="both"/>
      </w:pPr>
      <w:r>
        <w:t>Emisión, renovación y rectificación del DNI (amarillo, azul y electrónico).</w:t>
      </w:r>
    </w:p>
    <w:p w14:paraId="6A640569" w14:textId="77777777" w:rsidR="003A401F" w:rsidRDefault="00B038DC" w:rsidP="00A72B38">
      <w:pPr>
        <w:pStyle w:val="Prrafodelista"/>
        <w:numPr>
          <w:ilvl w:val="0"/>
          <w:numId w:val="1"/>
        </w:numPr>
        <w:spacing w:after="100" w:line="360" w:lineRule="auto"/>
        <w:jc w:val="both"/>
      </w:pPr>
      <w:r>
        <w:t>Emisión del Certificado de Inscripción (C4).</w:t>
      </w:r>
    </w:p>
    <w:p w14:paraId="1A308FAC" w14:textId="77777777" w:rsidR="003A401F" w:rsidRDefault="00B038DC" w:rsidP="00A72B38">
      <w:pPr>
        <w:pStyle w:val="Prrafodelista"/>
        <w:numPr>
          <w:ilvl w:val="0"/>
          <w:numId w:val="1"/>
        </w:numPr>
        <w:spacing w:after="100" w:line="360" w:lineRule="auto"/>
        <w:jc w:val="both"/>
      </w:pPr>
      <w:r>
        <w:t>Copias Certificadas (actas de nacimiento, defunción y matrimonio).</w:t>
      </w:r>
    </w:p>
    <w:p w14:paraId="54047CFE" w14:textId="77777777" w:rsidR="003A401F" w:rsidRDefault="00B038DC" w:rsidP="00A72B38">
      <w:pPr>
        <w:spacing w:after="160" w:line="360" w:lineRule="auto"/>
        <w:jc w:val="both"/>
      </w:pPr>
      <w:r>
        <w:t>Esta delimitación permite modelar el comportamiento del usuario tanto en canales presenciales como en plataformas virtuales.</w:t>
      </w:r>
    </w:p>
    <w:p w14:paraId="5763649D" w14:textId="5509016C" w:rsidR="00260688" w:rsidRDefault="00260688" w:rsidP="00260688">
      <w:pPr>
        <w:pStyle w:val="Ttulo1"/>
      </w:pPr>
      <w:bookmarkStart w:id="10" w:name="_Toc235022580"/>
      <w:r>
        <w:t>3.1. Expansi</w:t>
      </w:r>
      <w:r w:rsidR="00A55779">
        <w:t>ó</w:t>
      </w:r>
      <w:r>
        <w:t>n del Alcance: Capa KYC y Tax Shield para PYMEs</w:t>
      </w:r>
      <w:bookmarkEnd w:id="10"/>
    </w:p>
    <w:p w14:paraId="6AD6828E" w14:textId="705AB780" w:rsidR="00260688" w:rsidRDefault="00260688" w:rsidP="00260688">
      <w:r>
        <w:t>Como parte de las actualizaciones del proyecto y respondiendo a los nuevos modelos de negocio, se expande el alcance t</w:t>
      </w:r>
      <w:r w:rsidR="00A55779">
        <w:t>é</w:t>
      </w:r>
      <w:r>
        <w:t>cnico mediante la integraci</w:t>
      </w:r>
      <w:r w:rsidR="00A55779">
        <w:t>ó</w:t>
      </w:r>
      <w:r>
        <w:t>n de una capa B2B de blindaje fiscal y verificaci</w:t>
      </w:r>
      <w:r w:rsidR="00A55779">
        <w:t>ó</w:t>
      </w:r>
      <w:r>
        <w:t>n de identidad (KYC). Esta capa permite cruzar en tiempo real la base transaccional de RENIEC con la facturaci</w:t>
      </w:r>
      <w:r w:rsidR="00A55779">
        <w:t>ó</w:t>
      </w:r>
      <w:r>
        <w:t>n y el flujo de caja de las PYMEs asociadas. Mediante esta l</w:t>
      </w:r>
      <w:r w:rsidR="00A55779">
        <w:t>ó</w:t>
      </w:r>
      <w:r>
        <w:t>gica de negocio cruzada, el sistema identifica de forma preventiva facturas emitidas por personas registradas como fallecidas en el padr</w:t>
      </w:r>
      <w:r w:rsidR="00A55779">
        <w:t>ó</w:t>
      </w:r>
      <w:r>
        <w:t>n nacional de la RENIEC, DNIs inv</w:t>
      </w:r>
      <w:r w:rsidR="00A55779">
        <w:t>á</w:t>
      </w:r>
      <w:r>
        <w:t>lidos o inexistentes, y desv</w:t>
      </w:r>
      <w:r w:rsidR="00A55779">
        <w:t>í</w:t>
      </w:r>
      <w:r>
        <w:t>os entre la ubicaci</w:t>
      </w:r>
      <w:r w:rsidR="00A55779">
        <w:t>ó</w:t>
      </w:r>
      <w:r>
        <w:t>n fiscal reportada y el ubigeo oficial, mitigando el riesgo de fraude tributario.</w:t>
      </w:r>
    </w:p>
    <w:p w14:paraId="54EC65AF" w14:textId="1417A9B7" w:rsidR="00260688" w:rsidRDefault="00260688" w:rsidP="00A72B38">
      <w:pPr>
        <w:pStyle w:val="Ttulo1"/>
        <w:pBdr>
          <w:bottom w:val="single" w:sz="8" w:space="4" w:color="000000"/>
        </w:pBdr>
        <w:spacing w:before="400" w:after="200" w:line="360" w:lineRule="auto"/>
        <w:rPr>
          <w:b/>
          <w:bCs/>
          <w:color w:val="000000"/>
          <w:sz w:val="30"/>
          <w:szCs w:val="30"/>
        </w:rPr>
      </w:pPr>
    </w:p>
    <w:p w14:paraId="5A263C9F" w14:textId="0E6BB431" w:rsidR="003A401F" w:rsidRDefault="00B038DC" w:rsidP="00A72B38">
      <w:pPr>
        <w:pStyle w:val="Ttulo1"/>
        <w:pBdr>
          <w:bottom w:val="single" w:sz="8" w:space="4" w:color="000000"/>
        </w:pBdr>
        <w:spacing w:before="400" w:after="200" w:line="360" w:lineRule="auto"/>
      </w:pPr>
      <w:bookmarkStart w:id="11" w:name="_Toc235022581"/>
      <w:r>
        <w:rPr>
          <w:b/>
          <w:bCs/>
          <w:color w:val="000000"/>
          <w:sz w:val="30"/>
          <w:szCs w:val="30"/>
        </w:rPr>
        <w:lastRenderedPageBreak/>
        <w:t>4. Definición del Problema</w:t>
      </w:r>
      <w:bookmarkEnd w:id="11"/>
    </w:p>
    <w:p w14:paraId="07F097CD" w14:textId="77777777" w:rsidR="003A401F" w:rsidRDefault="00B038DC" w:rsidP="00A72B38">
      <w:pPr>
        <w:pStyle w:val="Ttulo2"/>
        <w:spacing w:before="280" w:after="140" w:line="360" w:lineRule="auto"/>
      </w:pPr>
      <w:bookmarkStart w:id="12" w:name="_Toc235022582"/>
      <w:r>
        <w:rPr>
          <w:b/>
          <w:bCs/>
          <w:color w:val="000000"/>
          <w:sz w:val="24"/>
          <w:szCs w:val="24"/>
        </w:rPr>
        <w:t>4.1. Problemáticas Principales</w:t>
      </w:r>
      <w:bookmarkEnd w:id="12"/>
    </w:p>
    <w:p w14:paraId="33FC4680" w14:textId="77777777" w:rsidR="003A401F" w:rsidRDefault="00B038DC" w:rsidP="00A72B38">
      <w:pPr>
        <w:spacing w:after="160" w:line="360" w:lineRule="auto"/>
        <w:jc w:val="both"/>
      </w:pPr>
      <w:r>
        <w:t>El análisis preliminar de la situación operativa de la entidad identificó tres ejes problemáticos:</w:t>
      </w:r>
    </w:p>
    <w:p w14:paraId="70296AB9" w14:textId="77777777" w:rsidR="003A401F" w:rsidRDefault="00B038DC" w:rsidP="00A72B38">
      <w:pPr>
        <w:pStyle w:val="Prrafodelista"/>
        <w:numPr>
          <w:ilvl w:val="0"/>
          <w:numId w:val="1"/>
        </w:numPr>
        <w:spacing w:after="100" w:line="360" w:lineRule="auto"/>
        <w:jc w:val="both"/>
      </w:pPr>
      <w:r>
        <w:rPr>
          <w:b/>
          <w:bCs/>
        </w:rPr>
        <w:t xml:space="preserve">Saturación operativa en centros de alta demanda: </w:t>
      </w:r>
      <w:r>
        <w:t>existe una distribución asimétrica de la carga prestacional. Las agencias de Lima Metropolitana y las capitales de región reciben una demanda que excede su capacidad instalada, generando cuellos de botella operativos.</w:t>
      </w:r>
    </w:p>
    <w:p w14:paraId="7FF02D52" w14:textId="77777777" w:rsidR="003A401F" w:rsidRDefault="00B038DC" w:rsidP="00A72B38">
      <w:pPr>
        <w:pStyle w:val="Prrafodelista"/>
        <w:numPr>
          <w:ilvl w:val="0"/>
          <w:numId w:val="1"/>
        </w:numPr>
        <w:spacing w:after="100" w:line="360" w:lineRule="auto"/>
        <w:jc w:val="both"/>
      </w:pPr>
      <w:r>
        <w:rPr>
          <w:b/>
          <w:bCs/>
        </w:rPr>
        <w:t xml:space="preserve">Brecha en la adopción de trámites digitales: </w:t>
      </w:r>
      <w:r>
        <w:t>pese a existir plataformas web, una parte considerable de la población sigue optando por el canal presencial en trámites que podrían resolverse digitalmente, lo que evidencia una subutilización de la infraestructura tecnológica.</w:t>
      </w:r>
    </w:p>
    <w:p w14:paraId="3C079535" w14:textId="77777777" w:rsidR="003A401F" w:rsidRDefault="00B038DC" w:rsidP="00A72B38">
      <w:pPr>
        <w:pStyle w:val="Prrafodelista"/>
        <w:numPr>
          <w:ilvl w:val="0"/>
          <w:numId w:val="1"/>
        </w:numPr>
        <w:spacing w:after="100" w:line="360" w:lineRule="auto"/>
        <w:jc w:val="both"/>
      </w:pPr>
      <w:r>
        <w:rPr>
          <w:b/>
          <w:bCs/>
        </w:rPr>
        <w:t xml:space="preserve">Ineficiencia en la distribución de recursos: </w:t>
      </w:r>
      <w:r>
        <w:t>la falta de un análisis predictivo de la demanda impide asignar personal y brigadas itinerantes de forma dinámica, lo que deriva en oficinas colapsadas.</w:t>
      </w:r>
    </w:p>
    <w:p w14:paraId="09F3D3D2" w14:textId="77777777" w:rsidR="003A401F" w:rsidRDefault="00B038DC" w:rsidP="00A72B38">
      <w:pPr>
        <w:pStyle w:val="Ttulo2"/>
        <w:spacing w:before="280" w:after="140" w:line="360" w:lineRule="auto"/>
      </w:pPr>
      <w:bookmarkStart w:id="13" w:name="_Toc235022583"/>
      <w:r>
        <w:rPr>
          <w:b/>
          <w:bCs/>
          <w:color w:val="000000"/>
          <w:sz w:val="24"/>
          <w:szCs w:val="24"/>
        </w:rPr>
        <w:t>4.2. Impacto en el Ciudadano</w:t>
      </w:r>
      <w:bookmarkEnd w:id="13"/>
    </w:p>
    <w:p w14:paraId="6A11D04A" w14:textId="77777777" w:rsidR="003A401F" w:rsidRDefault="00B038DC" w:rsidP="00A72B38">
      <w:pPr>
        <w:spacing w:after="160" w:line="360" w:lineRule="auto"/>
        <w:jc w:val="both"/>
      </w:pPr>
      <w:r>
        <w:t>Estas ineficiencias técnicas se traducen en un impacto social negativo:</w:t>
      </w:r>
    </w:p>
    <w:p w14:paraId="48709F24" w14:textId="77777777" w:rsidR="003A401F" w:rsidRDefault="00B038DC" w:rsidP="00A72B38">
      <w:pPr>
        <w:pStyle w:val="Prrafodelista"/>
        <w:numPr>
          <w:ilvl w:val="0"/>
          <w:numId w:val="1"/>
        </w:numPr>
        <w:spacing w:after="100" w:line="360" w:lineRule="auto"/>
        <w:jc w:val="both"/>
      </w:pPr>
      <w:r>
        <w:rPr>
          <w:b/>
          <w:bCs/>
        </w:rPr>
        <w:t xml:space="preserve">Tiempos de espera excesivos: </w:t>
      </w:r>
      <w:r>
        <w:t>colas prolongadas que afectan la productividad del ciudadano.</w:t>
      </w:r>
    </w:p>
    <w:p w14:paraId="23961660" w14:textId="77777777" w:rsidR="003A401F" w:rsidRDefault="00B038DC" w:rsidP="00A72B38">
      <w:pPr>
        <w:pStyle w:val="Prrafodelista"/>
        <w:numPr>
          <w:ilvl w:val="0"/>
          <w:numId w:val="1"/>
        </w:numPr>
        <w:spacing w:after="100" w:line="360" w:lineRule="auto"/>
        <w:jc w:val="both"/>
      </w:pPr>
      <w:r>
        <w:rPr>
          <w:b/>
          <w:bCs/>
        </w:rPr>
        <w:t xml:space="preserve">Centralismo administrativo: </w:t>
      </w:r>
      <w:r>
        <w:t>la percepción de que ciertos trámites "solo se resuelven rápido en la sede principal" incentiva desplazamientos innecesarios y sobrecarga el sistema central.</w:t>
      </w:r>
    </w:p>
    <w:p w14:paraId="4FE522BC" w14:textId="77777777" w:rsidR="003A401F" w:rsidRDefault="00B038DC" w:rsidP="00A72B38">
      <w:pPr>
        <w:pStyle w:val="Prrafodelista"/>
        <w:numPr>
          <w:ilvl w:val="0"/>
          <w:numId w:val="1"/>
        </w:numPr>
        <w:spacing w:after="100" w:line="360" w:lineRule="auto"/>
        <w:jc w:val="both"/>
      </w:pPr>
      <w:r>
        <w:rPr>
          <w:b/>
          <w:bCs/>
        </w:rPr>
        <w:t xml:space="preserve">Costo de oportunidad: </w:t>
      </w:r>
      <w:r>
        <w:t>el retraso en la obtención de documentos de identidad limita el acceso oportuno a programas sociales y derechos civiles.</w:t>
      </w:r>
    </w:p>
    <w:p w14:paraId="56AD648B" w14:textId="77777777" w:rsidR="003A401F" w:rsidRDefault="00B038DC" w:rsidP="00A72B38">
      <w:pPr>
        <w:pStyle w:val="Ttulo1"/>
        <w:pBdr>
          <w:bottom w:val="single" w:sz="8" w:space="4" w:color="000000"/>
        </w:pBdr>
        <w:spacing w:before="400" w:after="200" w:line="360" w:lineRule="auto"/>
      </w:pPr>
      <w:bookmarkStart w:id="14" w:name="_Toc235022584"/>
      <w:r>
        <w:rPr>
          <w:b/>
          <w:bCs/>
          <w:color w:val="000000"/>
          <w:sz w:val="30"/>
          <w:szCs w:val="30"/>
        </w:rPr>
        <w:t>5. Objetivo General</w:t>
      </w:r>
      <w:bookmarkEnd w:id="14"/>
    </w:p>
    <w:p w14:paraId="54F7184A" w14:textId="77777777" w:rsidR="003A401F" w:rsidRDefault="00B038DC" w:rsidP="00A72B38">
      <w:pPr>
        <w:spacing w:after="160" w:line="360" w:lineRule="auto"/>
        <w:jc w:val="both"/>
      </w:pPr>
      <w:r>
        <w:t>Implementar una solución de Inteligencia de Negocios que integre, procese y visualice los datos operativos de RENIEC, facilitando la optimización de la capacidad de respuesta institucional y la toma de decisiones estratégicas preventivas ante fluctuaciones en la demanda ciudadana.</w:t>
      </w:r>
    </w:p>
    <w:p w14:paraId="0B40125D" w14:textId="77777777" w:rsidR="003A401F" w:rsidRDefault="00B038DC" w:rsidP="00A72B38">
      <w:pPr>
        <w:pStyle w:val="Ttulo1"/>
        <w:pBdr>
          <w:bottom w:val="single" w:sz="8" w:space="4" w:color="000000"/>
        </w:pBdr>
        <w:spacing w:before="400" w:after="200" w:line="360" w:lineRule="auto"/>
      </w:pPr>
      <w:bookmarkStart w:id="15" w:name="_Toc235022585"/>
      <w:r>
        <w:rPr>
          <w:b/>
          <w:bCs/>
          <w:color w:val="000000"/>
          <w:sz w:val="30"/>
          <w:szCs w:val="30"/>
        </w:rPr>
        <w:t>6. Objetivos Específicos</w:t>
      </w:r>
      <w:bookmarkEnd w:id="15"/>
    </w:p>
    <w:p w14:paraId="340D42B1" w14:textId="77777777" w:rsidR="003A401F" w:rsidRDefault="00B038DC" w:rsidP="00A72B38">
      <w:pPr>
        <w:pStyle w:val="Prrafodelista"/>
        <w:numPr>
          <w:ilvl w:val="0"/>
          <w:numId w:val="1"/>
        </w:numPr>
        <w:spacing w:after="100" w:line="360" w:lineRule="auto"/>
        <w:jc w:val="both"/>
      </w:pPr>
      <w:r>
        <w:rPr>
          <w:b/>
          <w:bCs/>
        </w:rPr>
        <w:lastRenderedPageBreak/>
        <w:t xml:space="preserve">Diseñar un Data Warehouse: </w:t>
      </w:r>
      <w:r>
        <w:t>estructurar un almacén de datos bajo un modelo estrella que consolide los datasets de trámites, consultas y geografía, garantizando la integridad y disponibilidad de la información para consultas complejas.</w:t>
      </w:r>
    </w:p>
    <w:p w14:paraId="7BC45005" w14:textId="77777777" w:rsidR="003A401F" w:rsidRDefault="00B038DC" w:rsidP="00A72B38">
      <w:pPr>
        <w:pStyle w:val="Prrafodelista"/>
        <w:numPr>
          <w:ilvl w:val="0"/>
          <w:numId w:val="1"/>
        </w:numPr>
        <w:spacing w:after="100" w:line="360" w:lineRule="auto"/>
        <w:jc w:val="both"/>
      </w:pPr>
      <w:r>
        <w:rPr>
          <w:b/>
          <w:bCs/>
        </w:rPr>
        <w:t xml:space="preserve">Desarrollar una herramienta visual de monitoreo: </w:t>
      </w:r>
      <w:r>
        <w:t>implementar un dashboard interactivo que permita monitorear indicadores clave de rendimiento, como la tasa de digitalización y la saturación geográfica.</w:t>
      </w:r>
    </w:p>
    <w:p w14:paraId="47460FFA" w14:textId="77777777" w:rsidR="003A401F" w:rsidRDefault="00B038DC" w:rsidP="00A72B38">
      <w:pPr>
        <w:pStyle w:val="Ttulo1"/>
        <w:pBdr>
          <w:bottom w:val="single" w:sz="8" w:space="4" w:color="000000"/>
        </w:pBdr>
        <w:spacing w:before="400" w:after="200" w:line="360" w:lineRule="auto"/>
      </w:pPr>
      <w:bookmarkStart w:id="16" w:name="_Toc235022586"/>
      <w:r>
        <w:rPr>
          <w:b/>
          <w:bCs/>
          <w:color w:val="000000"/>
          <w:sz w:val="30"/>
          <w:szCs w:val="30"/>
        </w:rPr>
        <w:t>7. Fuentes de Datos</w:t>
      </w:r>
      <w:bookmarkEnd w:id="16"/>
    </w:p>
    <w:p w14:paraId="65DFB2CC" w14:textId="77777777" w:rsidR="003A401F" w:rsidRDefault="00B038DC" w:rsidP="00A72B38">
      <w:pPr>
        <w:spacing w:after="160" w:line="360" w:lineRule="auto"/>
        <w:jc w:val="both"/>
      </w:pPr>
      <w:r>
        <w:t>El proyecto utiliza cuatro fuentes de datos oficiales de RENIEC, provenientes de la Plataforma Nacional de Datos Abiertos, que actúan como base transaccional y dimensional de la solución: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0"/>
      </w:tblGrid>
      <w:tr w:rsidR="003A401F" w14:paraId="6EA09847" w14:textId="77777777">
        <w:trPr>
          <w:tblHeader/>
        </w:trPr>
        <w:tc>
          <w:tcPr>
            <w:tcW w:w="2800" w:type="dxa"/>
            <w:shd w:val="clear" w:color="auto" w:fill="404040"/>
            <w:tcMar>
              <w:top w:w="80" w:type="dxa"/>
              <w:left w:w="100" w:type="dxa"/>
              <w:bottom w:w="80" w:type="dxa"/>
              <w:right w:w="100" w:type="dxa"/>
            </w:tcMar>
            <w:vAlign w:val="center"/>
          </w:tcPr>
          <w:p w14:paraId="51DB392A" w14:textId="77777777" w:rsidR="003A401F" w:rsidRDefault="00B038DC" w:rsidP="00A72B38">
            <w:pPr>
              <w:spacing w:line="360" w:lineRule="auto"/>
            </w:pPr>
            <w:r>
              <w:rPr>
                <w:b/>
                <w:bCs/>
                <w:color w:val="FFFFFF"/>
                <w:sz w:val="20"/>
                <w:szCs w:val="20"/>
              </w:rPr>
              <w:t>Dataset</w:t>
            </w:r>
          </w:p>
        </w:tc>
        <w:tc>
          <w:tcPr>
            <w:tcW w:w="6550" w:type="dxa"/>
            <w:shd w:val="clear" w:color="auto" w:fill="404040"/>
            <w:tcMar>
              <w:top w:w="80" w:type="dxa"/>
              <w:left w:w="100" w:type="dxa"/>
              <w:bottom w:w="80" w:type="dxa"/>
              <w:right w:w="100" w:type="dxa"/>
            </w:tcMar>
            <w:vAlign w:val="center"/>
          </w:tcPr>
          <w:p w14:paraId="622CE02A" w14:textId="77777777" w:rsidR="003A401F" w:rsidRDefault="00B038DC" w:rsidP="00A72B38">
            <w:pPr>
              <w:spacing w:line="360" w:lineRule="auto"/>
            </w:pPr>
            <w:r>
              <w:rPr>
                <w:b/>
                <w:bCs/>
                <w:color w:val="FFFFFF"/>
                <w:sz w:val="20"/>
                <w:szCs w:val="20"/>
              </w:rPr>
              <w:t>Aporte al análisis</w:t>
            </w:r>
          </w:p>
        </w:tc>
      </w:tr>
      <w:tr w:rsidR="003A401F" w14:paraId="133C50BE" w14:textId="77777777">
        <w:tc>
          <w:tcPr>
            <w:tcW w:w="2800" w:type="dxa"/>
            <w:shd w:val="clear" w:color="auto" w:fill="F2F2F2"/>
            <w:tcMar>
              <w:top w:w="80" w:type="dxa"/>
              <w:left w:w="100" w:type="dxa"/>
              <w:bottom w:w="80" w:type="dxa"/>
              <w:right w:w="100" w:type="dxa"/>
            </w:tcMar>
            <w:vAlign w:val="center"/>
          </w:tcPr>
          <w:p w14:paraId="21FEC0A6" w14:textId="77777777" w:rsidR="003A401F" w:rsidRDefault="00B038DC" w:rsidP="00A72B38">
            <w:pPr>
              <w:spacing w:line="360" w:lineRule="auto"/>
            </w:pPr>
            <w:r>
              <w:rPr>
                <w:sz w:val="20"/>
                <w:szCs w:val="20"/>
              </w:rPr>
              <w:t>1. Trámites por oficina de atención</w:t>
            </w:r>
          </w:p>
        </w:tc>
        <w:tc>
          <w:tcPr>
            <w:tcW w:w="6550" w:type="dxa"/>
            <w:shd w:val="clear" w:color="auto" w:fill="F2F2F2"/>
            <w:tcMar>
              <w:top w:w="80" w:type="dxa"/>
              <w:left w:w="100" w:type="dxa"/>
              <w:bottom w:w="80" w:type="dxa"/>
              <w:right w:w="100" w:type="dxa"/>
            </w:tcMar>
            <w:vAlign w:val="center"/>
          </w:tcPr>
          <w:p w14:paraId="453166AA" w14:textId="77777777" w:rsidR="003A401F" w:rsidRDefault="00B038DC" w:rsidP="00A72B38">
            <w:pPr>
              <w:spacing w:line="360" w:lineRule="auto"/>
            </w:pPr>
            <w:r>
              <w:rPr>
                <w:sz w:val="20"/>
                <w:szCs w:val="20"/>
              </w:rPr>
              <w:t>Registro histórico de la carga operativa por sede; clave para identificar patrones de demanda estacional.</w:t>
            </w:r>
          </w:p>
        </w:tc>
      </w:tr>
      <w:tr w:rsidR="003A401F" w14:paraId="19A32DF8" w14:textId="77777777">
        <w:tc>
          <w:tcPr>
            <w:tcW w:w="2800" w:type="dxa"/>
            <w:shd w:val="clear" w:color="auto" w:fill="FFFFFF"/>
            <w:tcMar>
              <w:top w:w="80" w:type="dxa"/>
              <w:left w:w="100" w:type="dxa"/>
              <w:bottom w:w="80" w:type="dxa"/>
              <w:right w:w="100" w:type="dxa"/>
            </w:tcMar>
            <w:vAlign w:val="center"/>
          </w:tcPr>
          <w:p w14:paraId="0BF2395B" w14:textId="77777777" w:rsidR="003A401F" w:rsidRDefault="00B038DC" w:rsidP="00A72B38">
            <w:pPr>
              <w:spacing w:line="360" w:lineRule="auto"/>
            </w:pPr>
            <w:r>
              <w:rPr>
                <w:sz w:val="20"/>
                <w:szCs w:val="20"/>
              </w:rPr>
              <w:t>2. Emisión de Copias Certificadas</w:t>
            </w:r>
          </w:p>
        </w:tc>
        <w:tc>
          <w:tcPr>
            <w:tcW w:w="6550" w:type="dxa"/>
            <w:shd w:val="clear" w:color="auto" w:fill="FFFFFF"/>
            <w:tcMar>
              <w:top w:w="80" w:type="dxa"/>
              <w:left w:w="100" w:type="dxa"/>
              <w:bottom w:w="80" w:type="dxa"/>
              <w:right w:w="100" w:type="dxa"/>
            </w:tcMar>
            <w:vAlign w:val="center"/>
          </w:tcPr>
          <w:p w14:paraId="668F119A" w14:textId="77777777" w:rsidR="003A401F" w:rsidRDefault="00B038DC" w:rsidP="00A72B38">
            <w:pPr>
              <w:spacing w:line="360" w:lineRule="auto"/>
            </w:pPr>
            <w:r>
              <w:rPr>
                <w:sz w:val="20"/>
                <w:szCs w:val="20"/>
              </w:rPr>
              <w:t>Datos demográficos de los solicitantes, que permiten segmentar el comportamiento del ciudadano.</w:t>
            </w:r>
          </w:p>
        </w:tc>
      </w:tr>
      <w:tr w:rsidR="003A401F" w14:paraId="0F44FD70" w14:textId="77777777">
        <w:tc>
          <w:tcPr>
            <w:tcW w:w="2800" w:type="dxa"/>
            <w:shd w:val="clear" w:color="auto" w:fill="F2F2F2"/>
            <w:tcMar>
              <w:top w:w="80" w:type="dxa"/>
              <w:left w:w="100" w:type="dxa"/>
              <w:bottom w:w="80" w:type="dxa"/>
              <w:right w:w="100" w:type="dxa"/>
            </w:tcMar>
            <w:vAlign w:val="center"/>
          </w:tcPr>
          <w:p w14:paraId="24274196" w14:textId="77777777" w:rsidR="003A401F" w:rsidRDefault="00B038DC" w:rsidP="00A72B38">
            <w:pPr>
              <w:spacing w:line="360" w:lineRule="auto"/>
            </w:pPr>
            <w:r>
              <w:rPr>
                <w:sz w:val="20"/>
                <w:szCs w:val="20"/>
              </w:rPr>
              <w:t>3. Emisión de Certificados de Inscripción (C4)</w:t>
            </w:r>
          </w:p>
        </w:tc>
        <w:tc>
          <w:tcPr>
            <w:tcW w:w="6550" w:type="dxa"/>
            <w:shd w:val="clear" w:color="auto" w:fill="F2F2F2"/>
            <w:tcMar>
              <w:top w:w="80" w:type="dxa"/>
              <w:left w:w="100" w:type="dxa"/>
              <w:bottom w:w="80" w:type="dxa"/>
              <w:right w:w="100" w:type="dxa"/>
            </w:tcMar>
            <w:vAlign w:val="center"/>
          </w:tcPr>
          <w:p w14:paraId="110BDDB4" w14:textId="77777777" w:rsidR="003A401F" w:rsidRDefault="00B038DC" w:rsidP="00A72B38">
            <w:pPr>
              <w:spacing w:line="360" w:lineRule="auto"/>
            </w:pPr>
            <w:r>
              <w:rPr>
                <w:sz w:val="20"/>
                <w:szCs w:val="20"/>
              </w:rPr>
              <w:t>Demanda de uno de los servicios más críticos y su transición hacia canales digitales.</w:t>
            </w:r>
          </w:p>
        </w:tc>
      </w:tr>
      <w:tr w:rsidR="003A401F" w14:paraId="5DB11D6A" w14:textId="77777777">
        <w:tc>
          <w:tcPr>
            <w:tcW w:w="2800" w:type="dxa"/>
            <w:shd w:val="clear" w:color="auto" w:fill="FFFFFF"/>
            <w:tcMar>
              <w:top w:w="80" w:type="dxa"/>
              <w:left w:w="100" w:type="dxa"/>
              <w:bottom w:w="80" w:type="dxa"/>
              <w:right w:w="100" w:type="dxa"/>
            </w:tcMar>
            <w:vAlign w:val="center"/>
          </w:tcPr>
          <w:p w14:paraId="64BB6A42" w14:textId="77777777" w:rsidR="003A401F" w:rsidRDefault="00B038DC" w:rsidP="00A72B38">
            <w:pPr>
              <w:spacing w:line="360" w:lineRule="auto"/>
            </w:pPr>
            <w:r>
              <w:rPr>
                <w:sz w:val="20"/>
                <w:szCs w:val="20"/>
              </w:rPr>
              <w:t>4. Directorio de Centros de Atención</w:t>
            </w:r>
          </w:p>
        </w:tc>
        <w:tc>
          <w:tcPr>
            <w:tcW w:w="6550" w:type="dxa"/>
            <w:shd w:val="clear" w:color="auto" w:fill="FFFFFF"/>
            <w:tcMar>
              <w:top w:w="80" w:type="dxa"/>
              <w:left w:w="100" w:type="dxa"/>
              <w:bottom w:w="80" w:type="dxa"/>
              <w:right w:w="100" w:type="dxa"/>
            </w:tcMar>
            <w:vAlign w:val="center"/>
          </w:tcPr>
          <w:p w14:paraId="04E84524" w14:textId="77777777" w:rsidR="003A401F" w:rsidRDefault="00B038DC" w:rsidP="00A72B38">
            <w:pPr>
              <w:spacing w:line="360" w:lineRule="auto"/>
            </w:pPr>
            <w:r>
              <w:rPr>
                <w:sz w:val="20"/>
                <w:szCs w:val="20"/>
              </w:rPr>
              <w:t>Tabla maestra de geografía; jerarquiza los datos por Departamento, Provincia y Distrito.</w:t>
            </w:r>
          </w:p>
        </w:tc>
      </w:tr>
    </w:tbl>
    <w:p w14:paraId="64D93A99" w14:textId="77777777" w:rsidR="003A401F" w:rsidRDefault="00B038DC" w:rsidP="00A72B38">
      <w:pPr>
        <w:pStyle w:val="Ttulo1"/>
        <w:pBdr>
          <w:bottom w:val="single" w:sz="8" w:space="4" w:color="000000"/>
        </w:pBdr>
        <w:spacing w:before="400" w:after="200" w:line="360" w:lineRule="auto"/>
      </w:pPr>
      <w:bookmarkStart w:id="17" w:name="_Toc235022587"/>
      <w:r>
        <w:rPr>
          <w:b/>
          <w:bCs/>
          <w:color w:val="000000"/>
          <w:sz w:val="30"/>
          <w:szCs w:val="30"/>
        </w:rPr>
        <w:t>8. Calidad de Datos</w:t>
      </w:r>
      <w:bookmarkEnd w:id="17"/>
    </w:p>
    <w:p w14:paraId="7CA9F3B8" w14:textId="77777777" w:rsidR="003A401F" w:rsidRDefault="00B038DC" w:rsidP="00A72B38">
      <w:pPr>
        <w:spacing w:after="160" w:line="360" w:lineRule="auto"/>
        <w:jc w:val="both"/>
      </w:pPr>
      <w:r>
        <w:t>El análisis preliminar detectó desafíos técnicos que se resolvieron en la fase de ingeniería de datos:</w:t>
      </w:r>
    </w:p>
    <w:p w14:paraId="1EF7C884" w14:textId="77777777" w:rsidR="003A401F" w:rsidRDefault="00B038DC" w:rsidP="00A72B38">
      <w:pPr>
        <w:pStyle w:val="Prrafodelista"/>
        <w:numPr>
          <w:ilvl w:val="0"/>
          <w:numId w:val="1"/>
        </w:numPr>
        <w:spacing w:after="100" w:line="360" w:lineRule="auto"/>
        <w:jc w:val="both"/>
      </w:pPr>
      <w:r>
        <w:rPr>
          <w:b/>
          <w:bCs/>
        </w:rPr>
        <w:t xml:space="preserve">Estandarización de ubigeos: </w:t>
      </w:r>
      <w:r>
        <w:t>corrección de inconsistencias en nombres de distritos y provincias (tildes, mayúsculas y caracteres especiales).</w:t>
      </w:r>
    </w:p>
    <w:p w14:paraId="22D42E5F" w14:textId="77777777" w:rsidR="003A401F" w:rsidRDefault="00B038DC" w:rsidP="00A72B38">
      <w:pPr>
        <w:pStyle w:val="Prrafodelista"/>
        <w:numPr>
          <w:ilvl w:val="0"/>
          <w:numId w:val="1"/>
        </w:numPr>
        <w:spacing w:after="100" w:line="360" w:lineRule="auto"/>
        <w:jc w:val="both"/>
      </w:pPr>
      <w:r>
        <w:rPr>
          <w:b/>
          <w:bCs/>
        </w:rPr>
        <w:t xml:space="preserve">Tratamiento de valores nulos: </w:t>
      </w:r>
      <w:r>
        <w:t>aplicación de técnicas de imputación o eliminación de registros incompletos que afectaran los KPIs de productividad.</w:t>
      </w:r>
    </w:p>
    <w:p w14:paraId="4103B1C0" w14:textId="77777777" w:rsidR="003A401F" w:rsidRDefault="00B038DC" w:rsidP="00A72B38">
      <w:pPr>
        <w:pStyle w:val="Prrafodelista"/>
        <w:numPr>
          <w:ilvl w:val="0"/>
          <w:numId w:val="1"/>
        </w:numPr>
        <w:spacing w:after="100" w:line="360" w:lineRule="auto"/>
        <w:jc w:val="both"/>
      </w:pPr>
      <w:r>
        <w:rPr>
          <w:b/>
          <w:bCs/>
        </w:rPr>
        <w:t xml:space="preserve">Deduplicación: </w:t>
      </w:r>
      <w:r>
        <w:t>verificación de registros duplicados en la consolidación de archivos mensuales.</w:t>
      </w:r>
    </w:p>
    <w:p w14:paraId="7D2F9A59" w14:textId="77777777" w:rsidR="003A401F" w:rsidRDefault="00B038DC" w:rsidP="00A72B38">
      <w:pPr>
        <w:pStyle w:val="Ttulo1"/>
        <w:pBdr>
          <w:bottom w:val="single" w:sz="8" w:space="4" w:color="000000"/>
        </w:pBdr>
        <w:spacing w:before="400" w:after="200" w:line="360" w:lineRule="auto"/>
      </w:pPr>
      <w:bookmarkStart w:id="18" w:name="_Toc235022588"/>
      <w:r>
        <w:rPr>
          <w:b/>
          <w:bCs/>
          <w:color w:val="000000"/>
          <w:sz w:val="30"/>
          <w:szCs w:val="30"/>
        </w:rPr>
        <w:lastRenderedPageBreak/>
        <w:t>9. Arquitectura Completa</w:t>
      </w:r>
      <w:bookmarkEnd w:id="18"/>
    </w:p>
    <w:p w14:paraId="26415161" w14:textId="77777777" w:rsidR="003A401F" w:rsidRDefault="00B038DC" w:rsidP="00A72B38">
      <w:pPr>
        <w:pStyle w:val="Ttulo2"/>
        <w:spacing w:before="280" w:after="140" w:line="360" w:lineRule="auto"/>
      </w:pPr>
      <w:bookmarkStart w:id="19" w:name="_Toc235022589"/>
      <w:r>
        <w:rPr>
          <w:b/>
          <w:bCs/>
          <w:color w:val="000000"/>
          <w:sz w:val="24"/>
          <w:szCs w:val="24"/>
        </w:rPr>
        <w:t>9.1. Arquitectura Medallón (Bronze - Silver - Gold)</w:t>
      </w:r>
      <w:bookmarkEnd w:id="19"/>
    </w:p>
    <w:p w14:paraId="32DBB242" w14:textId="2B2E5EC7" w:rsidR="003A401F" w:rsidRDefault="00B038DC" w:rsidP="00A72B38">
      <w:pPr>
        <w:spacing w:after="160" w:line="360" w:lineRule="auto"/>
        <w:jc w:val="both"/>
      </w:pPr>
      <w:r>
        <w:t xml:space="preserve">La solución adopta el patrón de arquitectura Medallón, que organiza el flujo de datos en tres capas progresivas de calidad: Bronze conserva los datos crudos tal como llegan de la Plataforma Nacional de Datos Abiertos; Silver aplica limpieza, estandarización y normalización; y Gold deja los datos modelados en esquema estrella, </w:t>
      </w:r>
      <w:r>
        <w:lastRenderedPageBreak/>
        <w:t xml:space="preserve">listos para el consumo analítico desde Power BI. Todo el flujo se orquesta de forma automatizada con Apache </w:t>
      </w:r>
      <w:r w:rsidR="00FE1DD9">
        <w:rPr>
          <w:noProof/>
        </w:rPr>
        <w:drawing>
          <wp:anchor distT="0" distB="0" distL="114300" distR="114300" simplePos="0" relativeHeight="251660288" behindDoc="0" locked="0" layoutInCell="1" allowOverlap="1" wp14:anchorId="53196033" wp14:editId="3F13F76C">
            <wp:simplePos x="0" y="0"/>
            <wp:positionH relativeFrom="margin">
              <wp:align>center</wp:align>
            </wp:positionH>
            <wp:positionV relativeFrom="paragraph">
              <wp:posOffset>647065</wp:posOffset>
            </wp:positionV>
            <wp:extent cx="4525645" cy="6602095"/>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25645" cy="6602095"/>
                    </a:xfrm>
                    <a:prstGeom prst="rect">
                      <a:avLst/>
                    </a:prstGeom>
                  </pic:spPr>
                </pic:pic>
              </a:graphicData>
            </a:graphic>
            <wp14:sizeRelH relativeFrom="page">
              <wp14:pctWidth>0</wp14:pctWidth>
            </wp14:sizeRelH>
            <wp14:sizeRelV relativeFrom="page">
              <wp14:pctHeight>0</wp14:pctHeight>
            </wp14:sizeRelV>
          </wp:anchor>
        </w:drawing>
      </w:r>
      <w:r>
        <w:t>Airflow.</w:t>
      </w:r>
    </w:p>
    <w:p w14:paraId="31525469" w14:textId="47AF4D1E" w:rsidR="003A401F" w:rsidRDefault="003A401F" w:rsidP="00A72B38">
      <w:pPr>
        <w:spacing w:before="160" w:after="40" w:line="360" w:lineRule="auto"/>
        <w:jc w:val="center"/>
      </w:pPr>
    </w:p>
    <w:p w14:paraId="3E7D1018" w14:textId="5161075F" w:rsidR="003A401F" w:rsidRDefault="00B038DC" w:rsidP="00A72B38">
      <w:pPr>
        <w:spacing w:before="80" w:after="260" w:line="360" w:lineRule="auto"/>
        <w:jc w:val="center"/>
      </w:pPr>
      <w:r>
        <w:rPr>
          <w:i/>
          <w:iCs/>
          <w:color w:val="595959"/>
          <w:sz w:val="20"/>
          <w:szCs w:val="20"/>
        </w:rPr>
        <w:t>Figura 1. Arquitectura Medallón implementada: flujo de datos desde las fuentes crudas (Bronze) hasta el modelo de consumo analítico (Gold), orquestado con Apache Airflow.</w:t>
      </w:r>
    </w:p>
    <w:p w14:paraId="5EDF3B4A" w14:textId="77777777" w:rsidR="003A401F" w:rsidRDefault="00B038DC" w:rsidP="00A72B38">
      <w:pPr>
        <w:pStyle w:val="Ttulo2"/>
        <w:spacing w:before="280" w:after="140" w:line="360" w:lineRule="auto"/>
      </w:pPr>
      <w:bookmarkStart w:id="20" w:name="_Toc235022590"/>
      <w:r>
        <w:rPr>
          <w:b/>
          <w:bCs/>
          <w:color w:val="000000"/>
          <w:sz w:val="24"/>
          <w:szCs w:val="24"/>
        </w:rPr>
        <w:lastRenderedPageBreak/>
        <w:t>9.2. Herramientas Utilizadas</w:t>
      </w:r>
      <w:bookmarkEnd w:id="2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50"/>
        <w:gridCol w:w="3600"/>
      </w:tblGrid>
      <w:tr w:rsidR="003A401F" w14:paraId="66CF93A6" w14:textId="77777777">
        <w:trPr>
          <w:tblHeader/>
        </w:trPr>
        <w:tc>
          <w:tcPr>
            <w:tcW w:w="2400" w:type="dxa"/>
            <w:shd w:val="clear" w:color="auto" w:fill="404040"/>
            <w:tcMar>
              <w:top w:w="80" w:type="dxa"/>
              <w:left w:w="100" w:type="dxa"/>
              <w:bottom w:w="80" w:type="dxa"/>
              <w:right w:w="100" w:type="dxa"/>
            </w:tcMar>
            <w:vAlign w:val="center"/>
          </w:tcPr>
          <w:p w14:paraId="34F2662B" w14:textId="77777777" w:rsidR="003A401F" w:rsidRDefault="00B038DC" w:rsidP="00A72B38">
            <w:pPr>
              <w:spacing w:line="360" w:lineRule="auto"/>
            </w:pPr>
            <w:r>
              <w:rPr>
                <w:b/>
                <w:bCs/>
                <w:color w:val="FFFFFF"/>
                <w:sz w:val="20"/>
                <w:szCs w:val="20"/>
              </w:rPr>
              <w:t>Componente</w:t>
            </w:r>
          </w:p>
        </w:tc>
        <w:tc>
          <w:tcPr>
            <w:tcW w:w="3350" w:type="dxa"/>
            <w:shd w:val="clear" w:color="auto" w:fill="404040"/>
            <w:tcMar>
              <w:top w:w="80" w:type="dxa"/>
              <w:left w:w="100" w:type="dxa"/>
              <w:bottom w:w="80" w:type="dxa"/>
              <w:right w:w="100" w:type="dxa"/>
            </w:tcMar>
            <w:vAlign w:val="center"/>
          </w:tcPr>
          <w:p w14:paraId="524642C2" w14:textId="77777777" w:rsidR="003A401F" w:rsidRDefault="00B038DC" w:rsidP="00A72B38">
            <w:pPr>
              <w:spacing w:line="360" w:lineRule="auto"/>
            </w:pPr>
            <w:r>
              <w:rPr>
                <w:b/>
                <w:bCs/>
                <w:color w:val="FFFFFF"/>
                <w:sz w:val="20"/>
                <w:szCs w:val="20"/>
              </w:rPr>
              <w:t>Función</w:t>
            </w:r>
          </w:p>
        </w:tc>
        <w:tc>
          <w:tcPr>
            <w:tcW w:w="3600" w:type="dxa"/>
            <w:shd w:val="clear" w:color="auto" w:fill="404040"/>
            <w:tcMar>
              <w:top w:w="80" w:type="dxa"/>
              <w:left w:w="100" w:type="dxa"/>
              <w:bottom w:w="80" w:type="dxa"/>
              <w:right w:w="100" w:type="dxa"/>
            </w:tcMar>
            <w:vAlign w:val="center"/>
          </w:tcPr>
          <w:p w14:paraId="6C7BDCB9" w14:textId="77777777" w:rsidR="003A401F" w:rsidRDefault="00B038DC" w:rsidP="00A72B38">
            <w:pPr>
              <w:spacing w:line="360" w:lineRule="auto"/>
            </w:pPr>
            <w:r>
              <w:rPr>
                <w:b/>
                <w:bCs/>
                <w:color w:val="FFFFFF"/>
                <w:sz w:val="20"/>
                <w:szCs w:val="20"/>
              </w:rPr>
              <w:t>Beneficio</w:t>
            </w:r>
          </w:p>
        </w:tc>
      </w:tr>
      <w:tr w:rsidR="003A401F" w14:paraId="38B8D660" w14:textId="77777777">
        <w:tc>
          <w:tcPr>
            <w:tcW w:w="2400" w:type="dxa"/>
            <w:shd w:val="clear" w:color="auto" w:fill="F2F2F2"/>
            <w:tcMar>
              <w:top w:w="80" w:type="dxa"/>
              <w:left w:w="100" w:type="dxa"/>
              <w:bottom w:w="80" w:type="dxa"/>
              <w:right w:w="100" w:type="dxa"/>
            </w:tcMar>
            <w:vAlign w:val="center"/>
          </w:tcPr>
          <w:p w14:paraId="44603D9E" w14:textId="77777777" w:rsidR="003A401F" w:rsidRDefault="00B038DC" w:rsidP="00A72B38">
            <w:pPr>
              <w:spacing w:line="360" w:lineRule="auto"/>
            </w:pPr>
            <w:r>
              <w:rPr>
                <w:sz w:val="20"/>
                <w:szCs w:val="20"/>
              </w:rPr>
              <w:t>SQL Server</w:t>
            </w:r>
          </w:p>
        </w:tc>
        <w:tc>
          <w:tcPr>
            <w:tcW w:w="3350" w:type="dxa"/>
            <w:shd w:val="clear" w:color="auto" w:fill="F2F2F2"/>
            <w:tcMar>
              <w:top w:w="80" w:type="dxa"/>
              <w:left w:w="100" w:type="dxa"/>
              <w:bottom w:w="80" w:type="dxa"/>
              <w:right w:w="100" w:type="dxa"/>
            </w:tcMar>
            <w:vAlign w:val="center"/>
          </w:tcPr>
          <w:p w14:paraId="3B28A8F8" w14:textId="77777777" w:rsidR="003A401F" w:rsidRDefault="00B038DC" w:rsidP="00A72B38">
            <w:pPr>
              <w:spacing w:line="360" w:lineRule="auto"/>
            </w:pPr>
            <w:r>
              <w:rPr>
                <w:sz w:val="20"/>
                <w:szCs w:val="20"/>
              </w:rPr>
              <w:t>Motor de base de datos relacional para el Data Warehouse.</w:t>
            </w:r>
          </w:p>
        </w:tc>
        <w:tc>
          <w:tcPr>
            <w:tcW w:w="3600" w:type="dxa"/>
            <w:shd w:val="clear" w:color="auto" w:fill="F2F2F2"/>
            <w:tcMar>
              <w:top w:w="80" w:type="dxa"/>
              <w:left w:w="100" w:type="dxa"/>
              <w:bottom w:w="80" w:type="dxa"/>
              <w:right w:w="100" w:type="dxa"/>
            </w:tcMar>
            <w:vAlign w:val="center"/>
          </w:tcPr>
          <w:p w14:paraId="21E71261" w14:textId="77777777" w:rsidR="003A401F" w:rsidRDefault="00B038DC" w:rsidP="00A72B38">
            <w:pPr>
              <w:spacing w:line="360" w:lineRule="auto"/>
            </w:pPr>
            <w:r>
              <w:rPr>
                <w:sz w:val="20"/>
                <w:szCs w:val="20"/>
              </w:rPr>
              <w:t>Robustez para grandes volúmenes y procedimientos almacenados.</w:t>
            </w:r>
          </w:p>
        </w:tc>
      </w:tr>
      <w:tr w:rsidR="003A401F" w14:paraId="0AD1FF39" w14:textId="77777777">
        <w:tc>
          <w:tcPr>
            <w:tcW w:w="2400" w:type="dxa"/>
            <w:shd w:val="clear" w:color="auto" w:fill="FFFFFF"/>
            <w:tcMar>
              <w:top w:w="80" w:type="dxa"/>
              <w:left w:w="100" w:type="dxa"/>
              <w:bottom w:w="80" w:type="dxa"/>
              <w:right w:w="100" w:type="dxa"/>
            </w:tcMar>
            <w:vAlign w:val="center"/>
          </w:tcPr>
          <w:p w14:paraId="2604F120" w14:textId="77777777" w:rsidR="003A401F" w:rsidRDefault="00B038DC" w:rsidP="00A72B38">
            <w:pPr>
              <w:spacing w:line="360" w:lineRule="auto"/>
            </w:pPr>
            <w:r>
              <w:rPr>
                <w:sz w:val="20"/>
                <w:szCs w:val="20"/>
              </w:rPr>
              <w:t>Python</w:t>
            </w:r>
          </w:p>
        </w:tc>
        <w:tc>
          <w:tcPr>
            <w:tcW w:w="3350" w:type="dxa"/>
            <w:shd w:val="clear" w:color="auto" w:fill="FFFFFF"/>
            <w:tcMar>
              <w:top w:w="80" w:type="dxa"/>
              <w:left w:w="100" w:type="dxa"/>
              <w:bottom w:w="80" w:type="dxa"/>
              <w:right w:w="100" w:type="dxa"/>
            </w:tcMar>
            <w:vAlign w:val="center"/>
          </w:tcPr>
          <w:p w14:paraId="26A320B5" w14:textId="77777777" w:rsidR="003A401F" w:rsidRDefault="00B038DC" w:rsidP="00A72B38">
            <w:pPr>
              <w:spacing w:line="360" w:lineRule="auto"/>
            </w:pPr>
            <w:r>
              <w:rPr>
                <w:sz w:val="20"/>
                <w:szCs w:val="20"/>
              </w:rPr>
              <w:t>Proceso de ETL y generación del volumen de Big Data.</w:t>
            </w:r>
          </w:p>
        </w:tc>
        <w:tc>
          <w:tcPr>
            <w:tcW w:w="3600" w:type="dxa"/>
            <w:shd w:val="clear" w:color="auto" w:fill="FFFFFF"/>
            <w:tcMar>
              <w:top w:w="80" w:type="dxa"/>
              <w:left w:w="100" w:type="dxa"/>
              <w:bottom w:w="80" w:type="dxa"/>
              <w:right w:w="100" w:type="dxa"/>
            </w:tcMar>
            <w:vAlign w:val="center"/>
          </w:tcPr>
          <w:p w14:paraId="5B2A8F8D" w14:textId="77777777" w:rsidR="003A401F" w:rsidRDefault="00B038DC" w:rsidP="00A72B38">
            <w:pPr>
              <w:spacing w:line="360" w:lineRule="auto"/>
            </w:pPr>
            <w:r>
              <w:rPr>
                <w:sz w:val="20"/>
                <w:szCs w:val="20"/>
              </w:rPr>
              <w:t>Automatización flexible mediante scripts.</w:t>
            </w:r>
          </w:p>
        </w:tc>
      </w:tr>
      <w:tr w:rsidR="003A401F" w14:paraId="2460C143" w14:textId="77777777">
        <w:tc>
          <w:tcPr>
            <w:tcW w:w="2400" w:type="dxa"/>
            <w:shd w:val="clear" w:color="auto" w:fill="F2F2F2"/>
            <w:tcMar>
              <w:top w:w="80" w:type="dxa"/>
              <w:left w:w="100" w:type="dxa"/>
              <w:bottom w:w="80" w:type="dxa"/>
              <w:right w:w="100" w:type="dxa"/>
            </w:tcMar>
            <w:vAlign w:val="center"/>
          </w:tcPr>
          <w:p w14:paraId="3538EFDF" w14:textId="77777777" w:rsidR="003A401F" w:rsidRDefault="00B038DC" w:rsidP="00A72B38">
            <w:pPr>
              <w:spacing w:line="360" w:lineRule="auto"/>
            </w:pPr>
            <w:r>
              <w:rPr>
                <w:sz w:val="20"/>
                <w:szCs w:val="20"/>
              </w:rPr>
              <w:t>Power BI</w:t>
            </w:r>
          </w:p>
        </w:tc>
        <w:tc>
          <w:tcPr>
            <w:tcW w:w="3350" w:type="dxa"/>
            <w:shd w:val="clear" w:color="auto" w:fill="F2F2F2"/>
            <w:tcMar>
              <w:top w:w="80" w:type="dxa"/>
              <w:left w:w="100" w:type="dxa"/>
              <w:bottom w:w="80" w:type="dxa"/>
              <w:right w:w="100" w:type="dxa"/>
            </w:tcMar>
            <w:vAlign w:val="center"/>
          </w:tcPr>
          <w:p w14:paraId="64570065" w14:textId="77777777" w:rsidR="003A401F" w:rsidRDefault="00B038DC" w:rsidP="00A72B38">
            <w:pPr>
              <w:spacing w:line="360" w:lineRule="auto"/>
            </w:pPr>
            <w:r>
              <w:rPr>
                <w:sz w:val="20"/>
                <w:szCs w:val="20"/>
              </w:rPr>
              <w:t>Diseño de dashboards interactivos y medidas DAX.</w:t>
            </w:r>
          </w:p>
        </w:tc>
        <w:tc>
          <w:tcPr>
            <w:tcW w:w="3600" w:type="dxa"/>
            <w:shd w:val="clear" w:color="auto" w:fill="F2F2F2"/>
            <w:tcMar>
              <w:top w:w="80" w:type="dxa"/>
              <w:left w:w="100" w:type="dxa"/>
              <w:bottom w:w="80" w:type="dxa"/>
              <w:right w:w="100" w:type="dxa"/>
            </w:tcMar>
            <w:vAlign w:val="center"/>
          </w:tcPr>
          <w:p w14:paraId="78B72058" w14:textId="77777777" w:rsidR="003A401F" w:rsidRDefault="00B038DC" w:rsidP="00A72B38">
            <w:pPr>
              <w:spacing w:line="360" w:lineRule="auto"/>
            </w:pPr>
            <w:r>
              <w:rPr>
                <w:sz w:val="20"/>
                <w:szCs w:val="20"/>
              </w:rPr>
              <w:t>Visualización analítica accesible para perfiles no técnicos.</w:t>
            </w:r>
          </w:p>
        </w:tc>
      </w:tr>
    </w:tbl>
    <w:p w14:paraId="245EE9E1" w14:textId="49FB8A7E" w:rsidR="00260688" w:rsidRDefault="00260688" w:rsidP="00260688">
      <w:pPr>
        <w:pStyle w:val="Ttulo1"/>
      </w:pPr>
      <w:bookmarkStart w:id="21" w:name="_Toc235022591"/>
      <w:r>
        <w:t>9.2.3. Portal Web de Clientes (Frontend de Gesti</w:t>
      </w:r>
      <w:r w:rsidR="00A55779">
        <w:t>ó</w:t>
      </w:r>
      <w:r>
        <w:t>n)</w:t>
      </w:r>
      <w:bookmarkEnd w:id="21"/>
    </w:p>
    <w:p w14:paraId="7361EA70" w14:textId="032957AB" w:rsidR="00260688" w:rsidRDefault="00260688" w:rsidP="00260688">
      <w:r>
        <w:t>Para la interacci</w:t>
      </w:r>
      <w:r w:rsidR="00A55779">
        <w:t>ó</w:t>
      </w:r>
      <w:r>
        <w:t>n directa de las PYMEs, se implementa una interfaz web desarrollada en HTML, Javascript y CSS (conectada al backend en FastAPI). Este portal proporciona un dashboard interactivo en tiempo real, un calendario din</w:t>
      </w:r>
      <w:r w:rsidR="00A55779">
        <w:t>á</w:t>
      </w:r>
      <w:r>
        <w:t>mico de vencimientos fiscales enriquecido con predicciones de flujo de caja y la consola de interacci</w:t>
      </w:r>
      <w:r w:rsidR="00A55779">
        <w:t>ó</w:t>
      </w:r>
      <w:r>
        <w:t>n del chatbot.</w:t>
      </w:r>
    </w:p>
    <w:p w14:paraId="5EAF347D" w14:textId="584F4048" w:rsidR="00260688" w:rsidRDefault="00260688" w:rsidP="00260688">
      <w:pPr>
        <w:pStyle w:val="Ttulo1"/>
      </w:pPr>
    </w:p>
    <w:p w14:paraId="4C8FEA87" w14:textId="23C88551" w:rsidR="00260688" w:rsidRDefault="00260688" w:rsidP="00260688">
      <w:pPr>
        <w:pStyle w:val="Ttulo1"/>
      </w:pPr>
      <w:bookmarkStart w:id="22" w:name="_Toc235022592"/>
      <w:r>
        <w:t>9.2.2. Chatbot de Consulta Fiscal Inteligente</w:t>
      </w:r>
      <w:bookmarkEnd w:id="22"/>
    </w:p>
    <w:p w14:paraId="5B5D4262" w14:textId="77777777" w:rsidR="00260688" w:rsidRDefault="00260688" w:rsidP="00260688">
      <w:r>
        <w:t>Se integra en el sistema un Chatbot conversacional privado. Este asistente virtual accede de manera segura a las tablas de hechos y dimensiones en la capa Gold del Data Warehouse para responder en lenguaje natural las consultas de los usuarios sobre obligaciones tributarias, fechas de vencimiento de impuestos y el score de riesgo proyectado.</w:t>
      </w:r>
    </w:p>
    <w:p w14:paraId="5F21C326" w14:textId="5253291E" w:rsidR="00260688" w:rsidRDefault="00260688" w:rsidP="00260688">
      <w:pPr>
        <w:pStyle w:val="Ttulo1"/>
      </w:pPr>
    </w:p>
    <w:p w14:paraId="2C72525E" w14:textId="7E535CF3" w:rsidR="00260688" w:rsidRDefault="00260688" w:rsidP="00260688">
      <w:pPr>
        <w:pStyle w:val="Ttulo1"/>
      </w:pPr>
      <w:bookmarkStart w:id="23" w:name="_Toc235022593"/>
      <w:r>
        <w:t>9.2.1. Modelos Predictivos y de Machine Learning (XGBoost &amp; Prophet)</w:t>
      </w:r>
      <w:bookmarkEnd w:id="23"/>
    </w:p>
    <w:p w14:paraId="0DBF48AA" w14:textId="76296E53" w:rsidR="00260688" w:rsidRDefault="00260688" w:rsidP="00260688">
      <w:r>
        <w:t>Para complementar el an</w:t>
      </w:r>
      <w:r w:rsidR="00A55779">
        <w:t>á</w:t>
      </w:r>
      <w:r>
        <w:t>lisis hist</w:t>
      </w:r>
      <w:r w:rsidR="00A55779">
        <w:t>ó</w:t>
      </w:r>
      <w:r>
        <w:t>rico del Data Warehouse en SQL Server, se incorporan modelos predictivos avanzados en la arquitectura de datos: (1) XGBoost (KYC Shield), un clasificador entrenado para estimar la probabilidad de riesgo fiscal bas</w:t>
      </w:r>
      <w:r w:rsidR="00A55779">
        <w:t>á</w:t>
      </w:r>
      <w:r>
        <w:t>ndose en variables como el porcentaje de proveedores fallecidos, firmas digitales suplantadas y desv</w:t>
      </w:r>
      <w:r w:rsidR="00A55779">
        <w:t>í</w:t>
      </w:r>
      <w:r>
        <w:t>os de ubicaci</w:t>
      </w:r>
      <w:r w:rsidR="00A55779">
        <w:t>ó</w:t>
      </w:r>
      <w:r>
        <w:t>n; y (2) Prophet, enfocado en proyectar la liquidez y flujo de caja futuro de las empresas frente a sus pr</w:t>
      </w:r>
      <w:r w:rsidR="00A55779">
        <w:t>ó</w:t>
      </w:r>
      <w:r>
        <w:t>ximos vencimientos tributarios.</w:t>
      </w:r>
    </w:p>
    <w:p w14:paraId="0C7D53CD" w14:textId="69BCDEE1" w:rsidR="00260688" w:rsidRDefault="00260688" w:rsidP="00A72B38">
      <w:pPr>
        <w:pStyle w:val="Ttulo2"/>
        <w:spacing w:before="280" w:after="140" w:line="360" w:lineRule="auto"/>
        <w:rPr>
          <w:b/>
          <w:bCs/>
          <w:color w:val="000000"/>
          <w:sz w:val="24"/>
          <w:szCs w:val="24"/>
        </w:rPr>
      </w:pPr>
    </w:p>
    <w:p w14:paraId="53A02B2E" w14:textId="6F3983AC" w:rsidR="003A401F" w:rsidRDefault="00B038DC" w:rsidP="00A72B38">
      <w:pPr>
        <w:pStyle w:val="Ttulo2"/>
        <w:spacing w:before="280" w:after="140" w:line="360" w:lineRule="auto"/>
      </w:pPr>
      <w:bookmarkStart w:id="24" w:name="_Toc235022594"/>
      <w:r>
        <w:rPr>
          <w:b/>
          <w:bCs/>
          <w:color w:val="000000"/>
          <w:sz w:val="24"/>
          <w:szCs w:val="24"/>
        </w:rPr>
        <w:t>9.3. Estrategia de Pruebas y Validación de Datos (QA)</w:t>
      </w:r>
      <w:bookmarkEnd w:id="24"/>
    </w:p>
    <w:p w14:paraId="42A5541C" w14:textId="77777777" w:rsidR="003A401F" w:rsidRDefault="00B038DC" w:rsidP="00A72B38">
      <w:pPr>
        <w:spacing w:after="160" w:line="360" w:lineRule="auto"/>
        <w:jc w:val="both"/>
      </w:pPr>
      <w:r>
        <w:t>Antes de validar los resultados del dashboard, se aplicó un control de calidad orientado a garantizar la consistencia numérica entre capas. La validación central consistió en cuadrar, para cada dataset, el conteo de registros y las sumas de las métricas clave entre la capa Bronze y la capa Gold. Cualquier diferencia detectada se trató como señal de una regla de transformación mal aplicada en la capa Silver, y se corrigió antes de continuar con la siguiente ejecución del pipeline.</w:t>
      </w:r>
    </w:p>
    <w:p w14:paraId="5B988C30" w14:textId="77777777" w:rsidR="003A401F" w:rsidRDefault="00B038DC" w:rsidP="00A72B38">
      <w:pPr>
        <w:spacing w:after="160" w:line="360" w:lineRule="auto"/>
        <w:jc w:val="both"/>
      </w:pPr>
      <w:r>
        <w:lastRenderedPageBreak/>
        <w:t>Adicionalmente, se revisó de forma puntual que los tres DAGs (dag_01_bronze_ingest, dag_02_silver_transform y dag_03_gold_build) terminaran en estado exitoso antes de refrescar el modelo de Power BI, evitando que el dashboard mostrara información parcial o inconsistente.</w:t>
      </w:r>
    </w:p>
    <w:p w14:paraId="0646FB5C" w14:textId="77777777" w:rsidR="003A401F" w:rsidRDefault="00B038DC" w:rsidP="00A72B38">
      <w:pPr>
        <w:pStyle w:val="Ttulo2"/>
        <w:spacing w:before="280" w:after="140" w:line="360" w:lineRule="auto"/>
      </w:pPr>
      <w:bookmarkStart w:id="25" w:name="_Toc235022595"/>
      <w:r>
        <w:rPr>
          <w:b/>
          <w:bCs/>
          <w:color w:val="000000"/>
          <w:sz w:val="24"/>
          <w:szCs w:val="24"/>
        </w:rPr>
        <w:t>9.4. Seguridad y Gobierno de Datos</w:t>
      </w:r>
      <w:bookmarkEnd w:id="25"/>
    </w:p>
    <w:p w14:paraId="6C25BDCE" w14:textId="77777777" w:rsidR="003A401F" w:rsidRDefault="00B038DC" w:rsidP="00A72B38">
      <w:pPr>
        <w:spacing w:after="160" w:line="360" w:lineRule="auto"/>
        <w:jc w:val="both"/>
      </w:pPr>
      <w:r>
        <w:t>Si bien las cuatro fuentes utilizadas son datos abiertos y agregados, sin información que identifique a un ciudadano en particular, el proyecto plantea, como buena práctica académica, cómo se gobernaría la información en un escenario de implementación real. Se recomienda aplicar controles de acceso basados en roles (RBAC) tanto en la base de datos como en Power BI, de modo que el personal de sede visualice solo los indicadores de su jurisdicción, mientras que la vista estratégica nacional quede reservada a perfiles directivos.</w:t>
      </w:r>
    </w:p>
    <w:p w14:paraId="7EEF6950" w14:textId="77777777" w:rsidR="003A401F" w:rsidRDefault="00B038DC" w:rsidP="00A72B38">
      <w:pPr>
        <w:spacing w:after="160" w:line="360" w:lineRule="auto"/>
        <w:jc w:val="both"/>
      </w:pPr>
      <w:r>
        <w:t>Ante una eventual incorporación de datos con mayor detalle personal, se propone aplicar enmascaramiento y seudonimización sobre los campos sensibles desde la capa Bronze, además de mantener un registro de auditoría de accesos y consultas al Data Warehouse, en línea con los principios de minimización y confidencialidad que exige el tratamiento de datos de una entidad de identidad como RENIEC.</w:t>
      </w:r>
    </w:p>
    <w:p w14:paraId="6C09077F" w14:textId="77777777" w:rsidR="003A401F" w:rsidRDefault="00B038DC" w:rsidP="00A72B38">
      <w:pPr>
        <w:pStyle w:val="Ttulo1"/>
        <w:pBdr>
          <w:bottom w:val="single" w:sz="8" w:space="4" w:color="000000"/>
        </w:pBdr>
        <w:spacing w:before="400" w:after="200" w:line="360" w:lineRule="auto"/>
      </w:pPr>
      <w:bookmarkStart w:id="26" w:name="_Toc235022596"/>
      <w:r>
        <w:rPr>
          <w:b/>
          <w:bCs/>
          <w:color w:val="000000"/>
          <w:sz w:val="30"/>
          <w:szCs w:val="30"/>
        </w:rPr>
        <w:t>10. Docker Desktop</w:t>
      </w:r>
      <w:bookmarkEnd w:id="26"/>
    </w:p>
    <w:p w14:paraId="6BD831AA" w14:textId="5AB97805" w:rsidR="003A401F" w:rsidRDefault="00FE1DD9" w:rsidP="00FE1DD9">
      <w:pPr>
        <w:spacing w:after="160" w:line="360" w:lineRule="auto"/>
        <w:jc w:val="both"/>
      </w:pPr>
      <w:r>
        <w:rPr>
          <w:noProof/>
        </w:rPr>
        <w:drawing>
          <wp:anchor distT="0" distB="0" distL="114300" distR="114300" simplePos="0" relativeHeight="251661312" behindDoc="0" locked="0" layoutInCell="1" allowOverlap="1" wp14:anchorId="186E9DEA" wp14:editId="183E42F7">
            <wp:simplePos x="0" y="0"/>
            <wp:positionH relativeFrom="margin">
              <wp:align>center</wp:align>
            </wp:positionH>
            <wp:positionV relativeFrom="paragraph">
              <wp:posOffset>1207135</wp:posOffset>
            </wp:positionV>
            <wp:extent cx="5761355" cy="3215640"/>
            <wp:effectExtent l="0" t="0" r="0" b="381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1355" cy="3215640"/>
                    </a:xfrm>
                    <a:prstGeom prst="rect">
                      <a:avLst/>
                    </a:prstGeom>
                  </pic:spPr>
                </pic:pic>
              </a:graphicData>
            </a:graphic>
            <wp14:sizeRelH relativeFrom="page">
              <wp14:pctWidth>0</wp14:pctWidth>
            </wp14:sizeRelH>
            <wp14:sizeRelV relativeFrom="page">
              <wp14:pctHeight>0</wp14:pctHeight>
            </wp14:sizeRelV>
          </wp:anchor>
        </w:drawing>
      </w:r>
      <w:r w:rsidR="00B038DC">
        <w:t xml:space="preserve">Todo el entorno de desarrollo corre sobre contenedores administrados con Docker Desktop, lo que garantiza aislamiento, portabilidad y reproducibilidad del pipeline. El pipeline de procesamiento, el servidor MinIO y </w:t>
      </w:r>
      <w:r w:rsidR="00B038DC">
        <w:lastRenderedPageBreak/>
        <w:t>los servicios de Apache Airflow (scheduler y webserver) corren cada uno en su propio contenedor, comunicados por una red interna, lo que permite levantar el entorno completo en cualquier máquina con un solo comando.</w:t>
      </w:r>
    </w:p>
    <w:p w14:paraId="5FF63E31" w14:textId="77777777" w:rsidR="003A401F" w:rsidRDefault="00B038DC" w:rsidP="00A72B38">
      <w:pPr>
        <w:spacing w:before="80" w:after="260" w:line="360" w:lineRule="auto"/>
        <w:jc w:val="center"/>
      </w:pPr>
      <w:r>
        <w:rPr>
          <w:i/>
          <w:iCs/>
          <w:color w:val="595959"/>
          <w:sz w:val="20"/>
          <w:szCs w:val="20"/>
        </w:rPr>
        <w:t>Figura 2. Contenedores Docker en ejecución: pipeline, MinIO y los servicios de Apache Airflow (scheduler y webserver) corriendo de forma aislada y reproducible.</w:t>
      </w:r>
    </w:p>
    <w:p w14:paraId="59F73C8E" w14:textId="77777777" w:rsidR="003A401F" w:rsidRDefault="00B038DC" w:rsidP="00A72B38">
      <w:pPr>
        <w:pStyle w:val="Ttulo1"/>
        <w:pBdr>
          <w:bottom w:val="single" w:sz="8" w:space="4" w:color="000000"/>
        </w:pBdr>
        <w:spacing w:before="400" w:after="200" w:line="360" w:lineRule="auto"/>
      </w:pPr>
      <w:bookmarkStart w:id="27" w:name="_Toc235022597"/>
      <w:r>
        <w:rPr>
          <w:b/>
          <w:bCs/>
          <w:color w:val="000000"/>
          <w:sz w:val="30"/>
          <w:szCs w:val="30"/>
        </w:rPr>
        <w:t>11. MinIO (Data Lake - Bronze)</w:t>
      </w:r>
      <w:bookmarkEnd w:id="27"/>
    </w:p>
    <w:p w14:paraId="7CDAFA76" w14:textId="77777777" w:rsidR="003A401F" w:rsidRDefault="00B038DC" w:rsidP="00A72B38">
      <w:pPr>
        <w:spacing w:after="160" w:line="360" w:lineRule="auto"/>
        <w:jc w:val="both"/>
      </w:pPr>
      <w:r>
        <w:t>MinIO se utiliza como servidor de almacenamiento de objetos compatible con S3 y cumple el rol de Data Lake del proyecto. En su capa Bronze recibe, sin transformar, los cuatro datasets fuente de RENIEC, organizados en un bucket dedicado que separa la información por dominio de negocio.</w:t>
      </w:r>
    </w:p>
    <w:p w14:paraId="77C769C4" w14:textId="01F1E366" w:rsidR="003A401F" w:rsidRDefault="00B038DC" w:rsidP="00A72B38">
      <w:pPr>
        <w:spacing w:before="160" w:after="40" w:line="360" w:lineRule="auto"/>
        <w:jc w:val="center"/>
      </w:pPr>
      <w:r>
        <w:rPr>
          <w:noProof/>
        </w:rPr>
        <w:drawing>
          <wp:anchor distT="0" distB="0" distL="114300" distR="114300" simplePos="0" relativeHeight="251662336" behindDoc="0" locked="0" layoutInCell="1" allowOverlap="1" wp14:anchorId="12C90C61" wp14:editId="1258CF8D">
            <wp:simplePos x="0" y="0"/>
            <wp:positionH relativeFrom="margin">
              <wp:align>center</wp:align>
            </wp:positionH>
            <wp:positionV relativeFrom="paragraph">
              <wp:posOffset>0</wp:posOffset>
            </wp:positionV>
            <wp:extent cx="5443855" cy="2667000"/>
            <wp:effectExtent l="0" t="0" r="4445"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43855" cy="2667000"/>
                    </a:xfrm>
                    <a:prstGeom prst="rect">
                      <a:avLst/>
                    </a:prstGeom>
                  </pic:spPr>
                </pic:pic>
              </a:graphicData>
            </a:graphic>
            <wp14:sizeRelH relativeFrom="page">
              <wp14:pctWidth>0</wp14:pctWidth>
            </wp14:sizeRelH>
            <wp14:sizeRelV relativeFrom="page">
              <wp14:pctHeight>0</wp14:pctHeight>
            </wp14:sizeRelV>
          </wp:anchor>
        </w:drawing>
      </w:r>
    </w:p>
    <w:p w14:paraId="3831696F" w14:textId="40BE4BB4" w:rsidR="003A401F" w:rsidRDefault="00FE1DD9" w:rsidP="00A72B38">
      <w:pPr>
        <w:spacing w:before="80" w:after="260" w:line="360" w:lineRule="auto"/>
        <w:jc w:val="center"/>
      </w:pPr>
      <w:r>
        <w:rPr>
          <w:noProof/>
        </w:rPr>
        <w:drawing>
          <wp:anchor distT="0" distB="0" distL="114300" distR="114300" simplePos="0" relativeHeight="251663360" behindDoc="0" locked="0" layoutInCell="1" allowOverlap="1" wp14:anchorId="22A27F86" wp14:editId="1728FECB">
            <wp:simplePos x="0" y="0"/>
            <wp:positionH relativeFrom="margin">
              <wp:align>center</wp:align>
            </wp:positionH>
            <wp:positionV relativeFrom="paragraph">
              <wp:posOffset>434975</wp:posOffset>
            </wp:positionV>
            <wp:extent cx="5437505" cy="1318260"/>
            <wp:effectExtent l="0" t="0" r="0" b="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37505" cy="1318260"/>
                    </a:xfrm>
                    <a:prstGeom prst="rect">
                      <a:avLst/>
                    </a:prstGeom>
                  </pic:spPr>
                </pic:pic>
              </a:graphicData>
            </a:graphic>
            <wp14:sizeRelH relativeFrom="page">
              <wp14:pctWidth>0</wp14:pctWidth>
            </wp14:sizeRelH>
            <wp14:sizeRelV relativeFrom="page">
              <wp14:pctHeight>0</wp14:pctHeight>
            </wp14:sizeRelV>
          </wp:anchor>
        </w:drawing>
      </w:r>
      <w:r w:rsidR="00B038DC">
        <w:rPr>
          <w:i/>
          <w:iCs/>
          <w:color w:val="595959"/>
          <w:sz w:val="20"/>
          <w:szCs w:val="20"/>
        </w:rPr>
        <w:t>Figura 3. Bucket reniec-bronze en MinIO, que almacena los 4 objetos correspondientes a las fuentes de datos crudas de RENIEC.</w:t>
      </w:r>
    </w:p>
    <w:p w14:paraId="5AA68A16" w14:textId="1AE47CEB" w:rsidR="003A401F" w:rsidRDefault="003A401F" w:rsidP="00A72B38">
      <w:pPr>
        <w:spacing w:before="160" w:after="40" w:line="360" w:lineRule="auto"/>
        <w:jc w:val="center"/>
      </w:pPr>
    </w:p>
    <w:p w14:paraId="420C41C3" w14:textId="756E07D2" w:rsidR="003A401F" w:rsidRDefault="00B038DC" w:rsidP="00A72B38">
      <w:pPr>
        <w:spacing w:before="80" w:after="260" w:line="360" w:lineRule="auto"/>
        <w:jc w:val="center"/>
      </w:pPr>
      <w:r>
        <w:rPr>
          <w:i/>
          <w:iCs/>
          <w:color w:val="595959"/>
          <w:sz w:val="20"/>
          <w:szCs w:val="20"/>
        </w:rPr>
        <w:t>Figura 4. Estructura interna del bucket reniec-bronze, organizada por dominio: actas, centros, certificados y transacciones.</w:t>
      </w:r>
    </w:p>
    <w:p w14:paraId="1F24B2F9" w14:textId="4E0EEE6A" w:rsidR="003A401F" w:rsidRDefault="00B038DC" w:rsidP="00A72B38">
      <w:pPr>
        <w:pStyle w:val="Ttulo1"/>
        <w:pBdr>
          <w:bottom w:val="single" w:sz="8" w:space="4" w:color="000000"/>
        </w:pBdr>
        <w:spacing w:before="400" w:after="200" w:line="360" w:lineRule="auto"/>
      </w:pPr>
      <w:bookmarkStart w:id="28" w:name="_Toc235022598"/>
      <w:r>
        <w:rPr>
          <w:b/>
          <w:bCs/>
          <w:color w:val="000000"/>
          <w:sz w:val="30"/>
          <w:szCs w:val="30"/>
        </w:rPr>
        <w:lastRenderedPageBreak/>
        <w:t>12. Apache Airflow (Automatización ETL)</w:t>
      </w:r>
      <w:bookmarkEnd w:id="28"/>
    </w:p>
    <w:p w14:paraId="5DF2AA56" w14:textId="6D007B34" w:rsidR="003A401F" w:rsidRDefault="00B038DC" w:rsidP="00A72B38">
      <w:pPr>
        <w:spacing w:after="160" w:line="360" w:lineRule="auto"/>
        <w:jc w:val="both"/>
      </w:pPr>
      <w:r>
        <w:t>La orquestación del pipeline se automatiza mediante Apache Airflow, donde cada etapa de la cadena Bronze - Silver - Gold se define como un DAG independiente: dag_01_bronze_ingest para la ingesta cruda, dag_02_silver_transform para la limpieza y estandarización, y dag_03_gold_build para la construcción del modelo dimensional final. Esta separación permite monitorear, reintentar y programar cada fase de manera independiente.</w:t>
      </w:r>
    </w:p>
    <w:p w14:paraId="468377FF" w14:textId="77777777" w:rsidR="00FE1DD9" w:rsidRDefault="00FE1DD9" w:rsidP="00A72B38">
      <w:pPr>
        <w:spacing w:after="160" w:line="360" w:lineRule="auto"/>
        <w:jc w:val="both"/>
      </w:pPr>
    </w:p>
    <w:p w14:paraId="417D81B4" w14:textId="01D13726" w:rsidR="003A401F" w:rsidRDefault="003A401F" w:rsidP="00A72B38">
      <w:pPr>
        <w:spacing w:before="160" w:after="40" w:line="360" w:lineRule="auto"/>
        <w:jc w:val="center"/>
      </w:pPr>
    </w:p>
    <w:p w14:paraId="06E5B5C7" w14:textId="457069FD" w:rsidR="003A401F" w:rsidRDefault="00FE1DD9" w:rsidP="00A72B38">
      <w:pPr>
        <w:spacing w:before="80" w:after="260" w:line="360" w:lineRule="auto"/>
        <w:jc w:val="center"/>
      </w:pPr>
      <w:r>
        <w:rPr>
          <w:noProof/>
        </w:rPr>
        <w:drawing>
          <wp:anchor distT="0" distB="0" distL="114300" distR="114300" simplePos="0" relativeHeight="251664384" behindDoc="0" locked="0" layoutInCell="1" allowOverlap="1" wp14:anchorId="3F1B02A9" wp14:editId="7CEE2039">
            <wp:simplePos x="0" y="0"/>
            <wp:positionH relativeFrom="margin">
              <wp:align>center</wp:align>
            </wp:positionH>
            <wp:positionV relativeFrom="paragraph">
              <wp:posOffset>0</wp:posOffset>
            </wp:positionV>
            <wp:extent cx="5450840" cy="2133600"/>
            <wp:effectExtent l="0" t="0" r="0" b="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50840" cy="2133600"/>
                    </a:xfrm>
                    <a:prstGeom prst="rect">
                      <a:avLst/>
                    </a:prstGeom>
                  </pic:spPr>
                </pic:pic>
              </a:graphicData>
            </a:graphic>
            <wp14:sizeRelH relativeFrom="page">
              <wp14:pctWidth>0</wp14:pctWidth>
            </wp14:sizeRelH>
            <wp14:sizeRelV relativeFrom="page">
              <wp14:pctHeight>0</wp14:pctHeight>
            </wp14:sizeRelV>
          </wp:anchor>
        </w:drawing>
      </w:r>
      <w:r w:rsidR="00B038DC">
        <w:rPr>
          <w:i/>
          <w:iCs/>
          <w:color w:val="595959"/>
          <w:sz w:val="20"/>
          <w:szCs w:val="20"/>
        </w:rPr>
        <w:t>Figura 5. Interfaz de Apache Airflow mostrando los tres DAGs del pipeline y su estado de ejecución.</w:t>
      </w:r>
    </w:p>
    <w:p w14:paraId="56A7161B" w14:textId="37DA1BFC" w:rsidR="003A401F" w:rsidRDefault="00B038DC" w:rsidP="00A72B38">
      <w:pPr>
        <w:pStyle w:val="Ttulo1"/>
        <w:pBdr>
          <w:bottom w:val="single" w:sz="8" w:space="4" w:color="000000"/>
        </w:pBdr>
        <w:spacing w:before="400" w:after="200" w:line="360" w:lineRule="auto"/>
      </w:pPr>
      <w:bookmarkStart w:id="29" w:name="_Toc235022599"/>
      <w:r>
        <w:rPr>
          <w:b/>
          <w:bCs/>
          <w:color w:val="000000"/>
          <w:sz w:val="30"/>
          <w:szCs w:val="30"/>
        </w:rPr>
        <w:t>13. Pipeline Bronze → Silver → Gold</w:t>
      </w:r>
      <w:bookmarkEnd w:id="29"/>
    </w:p>
    <w:p w14:paraId="6307F3C1" w14:textId="77777777" w:rsidR="003A401F" w:rsidRDefault="00B038DC" w:rsidP="00A72B38">
      <w:pPr>
        <w:spacing w:after="160" w:line="360" w:lineRule="auto"/>
        <w:jc w:val="both"/>
      </w:pPr>
      <w:r>
        <w:t>La cadena de datos completa recorre tres etapas, desde la ingesta cruda hasta el modelo listo para el consumo analítico: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900"/>
        <w:gridCol w:w="4450"/>
      </w:tblGrid>
      <w:tr w:rsidR="003A401F" w14:paraId="0F31D38F" w14:textId="77777777">
        <w:trPr>
          <w:tblHeader/>
        </w:trPr>
        <w:tc>
          <w:tcPr>
            <w:tcW w:w="2000" w:type="dxa"/>
            <w:shd w:val="clear" w:color="auto" w:fill="404040"/>
            <w:tcMar>
              <w:top w:w="80" w:type="dxa"/>
              <w:left w:w="100" w:type="dxa"/>
              <w:bottom w:w="80" w:type="dxa"/>
              <w:right w:w="100" w:type="dxa"/>
            </w:tcMar>
            <w:vAlign w:val="center"/>
          </w:tcPr>
          <w:p w14:paraId="431F2D2C" w14:textId="77777777" w:rsidR="003A401F" w:rsidRDefault="00B038DC" w:rsidP="00A72B38">
            <w:pPr>
              <w:spacing w:line="360" w:lineRule="auto"/>
            </w:pPr>
            <w:r>
              <w:rPr>
                <w:b/>
                <w:bCs/>
                <w:color w:val="FFFFFF"/>
                <w:sz w:val="20"/>
                <w:szCs w:val="20"/>
              </w:rPr>
              <w:t>Etapa</w:t>
            </w:r>
          </w:p>
        </w:tc>
        <w:tc>
          <w:tcPr>
            <w:tcW w:w="2900" w:type="dxa"/>
            <w:shd w:val="clear" w:color="auto" w:fill="404040"/>
            <w:tcMar>
              <w:top w:w="80" w:type="dxa"/>
              <w:left w:w="100" w:type="dxa"/>
              <w:bottom w:w="80" w:type="dxa"/>
              <w:right w:w="100" w:type="dxa"/>
            </w:tcMar>
            <w:vAlign w:val="center"/>
          </w:tcPr>
          <w:p w14:paraId="1E14C6B4" w14:textId="77777777" w:rsidR="003A401F" w:rsidRDefault="00B038DC" w:rsidP="00A72B38">
            <w:pPr>
              <w:spacing w:line="360" w:lineRule="auto"/>
            </w:pPr>
            <w:r>
              <w:rPr>
                <w:b/>
                <w:bCs/>
                <w:color w:val="FFFFFF"/>
                <w:sz w:val="20"/>
                <w:szCs w:val="20"/>
              </w:rPr>
              <w:t>Componente</w:t>
            </w:r>
          </w:p>
        </w:tc>
        <w:tc>
          <w:tcPr>
            <w:tcW w:w="4450" w:type="dxa"/>
            <w:shd w:val="clear" w:color="auto" w:fill="404040"/>
            <w:tcMar>
              <w:top w:w="80" w:type="dxa"/>
              <w:left w:w="100" w:type="dxa"/>
              <w:bottom w:w="80" w:type="dxa"/>
              <w:right w:w="100" w:type="dxa"/>
            </w:tcMar>
            <w:vAlign w:val="center"/>
          </w:tcPr>
          <w:p w14:paraId="1E17B971" w14:textId="77777777" w:rsidR="003A401F" w:rsidRDefault="00B038DC" w:rsidP="00A72B38">
            <w:pPr>
              <w:spacing w:line="360" w:lineRule="auto"/>
            </w:pPr>
            <w:r>
              <w:rPr>
                <w:b/>
                <w:bCs/>
                <w:color w:val="FFFFFF"/>
                <w:sz w:val="20"/>
                <w:szCs w:val="20"/>
              </w:rPr>
              <w:t>Descripción</w:t>
            </w:r>
          </w:p>
        </w:tc>
      </w:tr>
      <w:tr w:rsidR="003A401F" w14:paraId="12CFFE5C" w14:textId="77777777">
        <w:tc>
          <w:tcPr>
            <w:tcW w:w="2000" w:type="dxa"/>
            <w:shd w:val="clear" w:color="auto" w:fill="F2F2F2"/>
            <w:tcMar>
              <w:top w:w="80" w:type="dxa"/>
              <w:left w:w="100" w:type="dxa"/>
              <w:bottom w:w="80" w:type="dxa"/>
              <w:right w:w="100" w:type="dxa"/>
            </w:tcMar>
            <w:vAlign w:val="center"/>
          </w:tcPr>
          <w:p w14:paraId="058DCE93" w14:textId="77777777" w:rsidR="003A401F" w:rsidRDefault="00B038DC" w:rsidP="00A72B38">
            <w:pPr>
              <w:spacing w:line="360" w:lineRule="auto"/>
            </w:pPr>
            <w:r>
              <w:rPr>
                <w:sz w:val="20"/>
                <w:szCs w:val="20"/>
              </w:rPr>
              <w:t>Ingesta (Bronze)</w:t>
            </w:r>
          </w:p>
        </w:tc>
        <w:tc>
          <w:tcPr>
            <w:tcW w:w="2900" w:type="dxa"/>
            <w:shd w:val="clear" w:color="auto" w:fill="F2F2F2"/>
            <w:tcMar>
              <w:top w:w="80" w:type="dxa"/>
              <w:left w:w="100" w:type="dxa"/>
              <w:bottom w:w="80" w:type="dxa"/>
              <w:right w:w="100" w:type="dxa"/>
            </w:tcMar>
            <w:vAlign w:val="center"/>
          </w:tcPr>
          <w:p w14:paraId="2C3A84AB" w14:textId="77777777" w:rsidR="003A401F" w:rsidRDefault="00B038DC" w:rsidP="00A72B38">
            <w:pPr>
              <w:spacing w:line="360" w:lineRule="auto"/>
            </w:pPr>
            <w:r>
              <w:rPr>
                <w:sz w:val="20"/>
                <w:szCs w:val="20"/>
              </w:rPr>
              <w:t>Python</w:t>
            </w:r>
          </w:p>
        </w:tc>
        <w:tc>
          <w:tcPr>
            <w:tcW w:w="4450" w:type="dxa"/>
            <w:shd w:val="clear" w:color="auto" w:fill="F2F2F2"/>
            <w:tcMar>
              <w:top w:w="80" w:type="dxa"/>
              <w:left w:w="100" w:type="dxa"/>
              <w:bottom w:w="80" w:type="dxa"/>
              <w:right w:w="100" w:type="dxa"/>
            </w:tcMar>
            <w:vAlign w:val="center"/>
          </w:tcPr>
          <w:p w14:paraId="5C004E7D" w14:textId="77777777" w:rsidR="003A401F" w:rsidRDefault="00B038DC" w:rsidP="00A72B38">
            <w:pPr>
              <w:spacing w:line="360" w:lineRule="auto"/>
            </w:pPr>
            <w:r>
              <w:rPr>
                <w:sz w:val="20"/>
                <w:szCs w:val="20"/>
              </w:rPr>
              <w:t>Descarga y lectura de archivos CSV, sin transformar.</w:t>
            </w:r>
          </w:p>
        </w:tc>
      </w:tr>
      <w:tr w:rsidR="003A401F" w14:paraId="45F0A50B" w14:textId="77777777">
        <w:tc>
          <w:tcPr>
            <w:tcW w:w="2000" w:type="dxa"/>
            <w:shd w:val="clear" w:color="auto" w:fill="FFFFFF"/>
            <w:tcMar>
              <w:top w:w="80" w:type="dxa"/>
              <w:left w:w="100" w:type="dxa"/>
              <w:bottom w:w="80" w:type="dxa"/>
              <w:right w:w="100" w:type="dxa"/>
            </w:tcMar>
            <w:vAlign w:val="center"/>
          </w:tcPr>
          <w:p w14:paraId="505DC6F1" w14:textId="77777777" w:rsidR="003A401F" w:rsidRDefault="00B038DC" w:rsidP="00A72B38">
            <w:pPr>
              <w:spacing w:line="360" w:lineRule="auto"/>
            </w:pPr>
            <w:r>
              <w:rPr>
                <w:sz w:val="20"/>
                <w:szCs w:val="20"/>
              </w:rPr>
              <w:t>Procesamiento (Silver)</w:t>
            </w:r>
          </w:p>
        </w:tc>
        <w:tc>
          <w:tcPr>
            <w:tcW w:w="2900" w:type="dxa"/>
            <w:shd w:val="clear" w:color="auto" w:fill="FFFFFF"/>
            <w:tcMar>
              <w:top w:w="80" w:type="dxa"/>
              <w:left w:w="100" w:type="dxa"/>
              <w:bottom w:w="80" w:type="dxa"/>
              <w:right w:w="100" w:type="dxa"/>
            </w:tcMar>
            <w:vAlign w:val="center"/>
          </w:tcPr>
          <w:p w14:paraId="38A5FC3E" w14:textId="77777777" w:rsidR="003A401F" w:rsidRDefault="00B038DC" w:rsidP="00A72B38">
            <w:pPr>
              <w:spacing w:line="360" w:lineRule="auto"/>
            </w:pPr>
            <w:r>
              <w:rPr>
                <w:sz w:val="20"/>
                <w:szCs w:val="20"/>
              </w:rPr>
              <w:t>Limpieza y normalización</w:t>
            </w:r>
          </w:p>
        </w:tc>
        <w:tc>
          <w:tcPr>
            <w:tcW w:w="4450" w:type="dxa"/>
            <w:shd w:val="clear" w:color="auto" w:fill="FFFFFF"/>
            <w:tcMar>
              <w:top w:w="80" w:type="dxa"/>
              <w:left w:w="100" w:type="dxa"/>
              <w:bottom w:w="80" w:type="dxa"/>
              <w:right w:w="100" w:type="dxa"/>
            </w:tcMar>
            <w:vAlign w:val="center"/>
          </w:tcPr>
          <w:p w14:paraId="52CAB78E" w14:textId="77777777" w:rsidR="003A401F" w:rsidRDefault="00B038DC" w:rsidP="00A72B38">
            <w:pPr>
              <w:spacing w:line="360" w:lineRule="auto"/>
            </w:pPr>
            <w:r>
              <w:rPr>
                <w:sz w:val="20"/>
                <w:szCs w:val="20"/>
              </w:rPr>
              <w:t>Cálculo de medidas base y enriquecimiento de datos; carga en Staging Area para validación previa.</w:t>
            </w:r>
          </w:p>
        </w:tc>
      </w:tr>
      <w:tr w:rsidR="003A401F" w14:paraId="7F149E1E" w14:textId="77777777">
        <w:tc>
          <w:tcPr>
            <w:tcW w:w="2000" w:type="dxa"/>
            <w:shd w:val="clear" w:color="auto" w:fill="F2F2F2"/>
            <w:tcMar>
              <w:top w:w="80" w:type="dxa"/>
              <w:left w:w="100" w:type="dxa"/>
              <w:bottom w:w="80" w:type="dxa"/>
              <w:right w:w="100" w:type="dxa"/>
            </w:tcMar>
            <w:vAlign w:val="center"/>
          </w:tcPr>
          <w:p w14:paraId="3BF86466" w14:textId="77777777" w:rsidR="003A401F" w:rsidRDefault="00B038DC" w:rsidP="00A72B38">
            <w:pPr>
              <w:spacing w:line="360" w:lineRule="auto"/>
            </w:pPr>
            <w:r>
              <w:rPr>
                <w:sz w:val="20"/>
                <w:szCs w:val="20"/>
              </w:rPr>
              <w:lastRenderedPageBreak/>
              <w:t>Almacenamiento (Gold)</w:t>
            </w:r>
          </w:p>
        </w:tc>
        <w:tc>
          <w:tcPr>
            <w:tcW w:w="2900" w:type="dxa"/>
            <w:shd w:val="clear" w:color="auto" w:fill="F2F2F2"/>
            <w:tcMar>
              <w:top w:w="80" w:type="dxa"/>
              <w:left w:w="100" w:type="dxa"/>
              <w:bottom w:w="80" w:type="dxa"/>
              <w:right w:w="100" w:type="dxa"/>
            </w:tcMar>
            <w:vAlign w:val="center"/>
          </w:tcPr>
          <w:p w14:paraId="433068E2" w14:textId="77777777" w:rsidR="003A401F" w:rsidRDefault="00B038DC" w:rsidP="00A72B38">
            <w:pPr>
              <w:spacing w:line="360" w:lineRule="auto"/>
            </w:pPr>
            <w:r>
              <w:rPr>
                <w:sz w:val="20"/>
                <w:szCs w:val="20"/>
              </w:rPr>
              <w:t>Modelo Estrella</w:t>
            </w:r>
          </w:p>
        </w:tc>
        <w:tc>
          <w:tcPr>
            <w:tcW w:w="4450" w:type="dxa"/>
            <w:shd w:val="clear" w:color="auto" w:fill="F2F2F2"/>
            <w:tcMar>
              <w:top w:w="80" w:type="dxa"/>
              <w:left w:w="100" w:type="dxa"/>
              <w:bottom w:w="80" w:type="dxa"/>
              <w:right w:w="100" w:type="dxa"/>
            </w:tcMar>
            <w:vAlign w:val="center"/>
          </w:tcPr>
          <w:p w14:paraId="3334790C" w14:textId="77777777" w:rsidR="003A401F" w:rsidRDefault="00B038DC" w:rsidP="00A72B38">
            <w:pPr>
              <w:spacing w:line="360" w:lineRule="auto"/>
            </w:pPr>
            <w:r>
              <w:rPr>
                <w:sz w:val="20"/>
                <w:szCs w:val="20"/>
              </w:rPr>
              <w:t>Fact Tables con métricas de trámites y tiempos; Dimension Tables de Tiempo, Geografía, Tipo de Trámite y Sede.</w:t>
            </w:r>
          </w:p>
        </w:tc>
      </w:tr>
    </w:tbl>
    <w:p w14:paraId="5502E028" w14:textId="56572C1B" w:rsidR="003A401F" w:rsidRDefault="003A401F" w:rsidP="00A72B38">
      <w:pPr>
        <w:spacing w:before="240" w:line="360" w:lineRule="auto"/>
      </w:pPr>
    </w:p>
    <w:p w14:paraId="6943FC52" w14:textId="2FF7B075" w:rsidR="00FE1DD9" w:rsidRDefault="00FE1DD9" w:rsidP="00A72B38">
      <w:pPr>
        <w:spacing w:before="240" w:line="360" w:lineRule="auto"/>
      </w:pPr>
    </w:p>
    <w:p w14:paraId="4C393844" w14:textId="1E6B90C2" w:rsidR="00FE1DD9" w:rsidRDefault="00FE1DD9" w:rsidP="00A72B38">
      <w:pPr>
        <w:spacing w:before="240" w:line="360" w:lineRule="auto"/>
      </w:pPr>
    </w:p>
    <w:p w14:paraId="1F9D2C22" w14:textId="05BE0577" w:rsidR="00FE1DD9" w:rsidRDefault="00FE1DD9" w:rsidP="00A72B38">
      <w:pPr>
        <w:spacing w:before="240" w:line="360" w:lineRule="auto"/>
      </w:pPr>
    </w:p>
    <w:p w14:paraId="65E44BFE" w14:textId="77777777" w:rsidR="00FE1DD9" w:rsidRDefault="00FE1DD9" w:rsidP="00A72B38">
      <w:pPr>
        <w:spacing w:before="240" w:line="360" w:lineRule="auto"/>
      </w:pPr>
    </w:p>
    <w:p w14:paraId="3A803360" w14:textId="77777777" w:rsidR="003A401F" w:rsidRDefault="00B038DC" w:rsidP="00A72B38">
      <w:pPr>
        <w:pStyle w:val="Ttulo1"/>
        <w:pBdr>
          <w:bottom w:val="single" w:sz="8" w:space="4" w:color="000000"/>
        </w:pBdr>
        <w:spacing w:before="400" w:after="200" w:line="360" w:lineRule="auto"/>
      </w:pPr>
      <w:bookmarkStart w:id="30" w:name="_Toc235022600"/>
      <w:r>
        <w:rPr>
          <w:b/>
          <w:bCs/>
          <w:color w:val="000000"/>
          <w:sz w:val="30"/>
          <w:szCs w:val="30"/>
        </w:rPr>
        <w:t>14. Modelo Estrella y Power BI</w:t>
      </w:r>
      <w:bookmarkEnd w:id="30"/>
    </w:p>
    <w:p w14:paraId="633FC19D" w14:textId="1352AF91" w:rsidR="003A401F" w:rsidRDefault="00A72B38" w:rsidP="00A72B38">
      <w:pPr>
        <w:spacing w:after="160" w:line="360" w:lineRule="auto"/>
        <w:jc w:val="both"/>
      </w:pPr>
      <w:r>
        <w:rPr>
          <w:noProof/>
        </w:rPr>
        <w:lastRenderedPageBreak/>
        <w:drawing>
          <wp:anchor distT="0" distB="0" distL="114300" distR="114300" simplePos="0" relativeHeight="251659264" behindDoc="0" locked="0" layoutInCell="1" allowOverlap="1" wp14:anchorId="1AD5770D" wp14:editId="280C29E5">
            <wp:simplePos x="0" y="0"/>
            <wp:positionH relativeFrom="margin">
              <wp:align>right</wp:align>
            </wp:positionH>
            <wp:positionV relativeFrom="paragraph">
              <wp:posOffset>1080135</wp:posOffset>
            </wp:positionV>
            <wp:extent cx="6057900" cy="4860290"/>
            <wp:effectExtent l="0" t="0" r="0"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57900" cy="4860290"/>
                    </a:xfrm>
                    <a:prstGeom prst="rect">
                      <a:avLst/>
                    </a:prstGeom>
                  </pic:spPr>
                </pic:pic>
              </a:graphicData>
            </a:graphic>
            <wp14:sizeRelH relativeFrom="page">
              <wp14:pctWidth>0</wp14:pctWidth>
            </wp14:sizeRelH>
            <wp14:sizeRelV relativeFrom="page">
              <wp14:pctHeight>0</wp14:pctHeight>
            </wp14:sizeRelV>
          </wp:anchor>
        </w:drawing>
      </w:r>
      <w:r w:rsidR="00B038DC">
        <w:t>En la capa Gold, los datos limpios se consolidan en un modelo dimensional de esquema estrella, con tablas de hechos centradas en las métricas de trámites y tiempos, rodeadas de las dimensiones de Tiempo, Geografía, Tipo de Trámite y Sede. Este modelo alimenta directamente a Power BI, donde se construyen las medidas DAX del dashboard de indicadores.</w:t>
      </w:r>
    </w:p>
    <w:p w14:paraId="1FF398C7" w14:textId="271CB4D9" w:rsidR="003A401F" w:rsidRDefault="003A401F" w:rsidP="00A72B38">
      <w:pPr>
        <w:spacing w:before="160" w:after="40" w:line="360" w:lineRule="auto"/>
        <w:jc w:val="center"/>
      </w:pPr>
    </w:p>
    <w:p w14:paraId="5F38BD9E" w14:textId="75B0029E" w:rsidR="003A401F" w:rsidRDefault="00B038DC" w:rsidP="00A72B38">
      <w:pPr>
        <w:spacing w:before="80" w:after="260" w:line="360" w:lineRule="auto"/>
        <w:jc w:val="center"/>
        <w:rPr>
          <w:i/>
          <w:iCs/>
          <w:color w:val="595959"/>
          <w:sz w:val="20"/>
          <w:szCs w:val="20"/>
        </w:rPr>
      </w:pPr>
      <w:r>
        <w:rPr>
          <w:i/>
          <w:iCs/>
          <w:color w:val="595959"/>
          <w:sz w:val="20"/>
          <w:szCs w:val="20"/>
        </w:rPr>
        <w:t>Figura 6. Modelo dimensional (esquema estrella) de la capa Gold, con las tablas de hechos y dimensiones listas para su consumo desde Power BI.</w:t>
      </w:r>
    </w:p>
    <w:p w14:paraId="7C614BB9" w14:textId="1C574FF1" w:rsidR="00FE1DD9" w:rsidRDefault="00FE1DD9" w:rsidP="00A72B38">
      <w:pPr>
        <w:spacing w:before="80" w:after="260" w:line="360" w:lineRule="auto"/>
        <w:jc w:val="center"/>
        <w:rPr>
          <w:i/>
          <w:iCs/>
          <w:color w:val="595959"/>
          <w:sz w:val="20"/>
          <w:szCs w:val="20"/>
        </w:rPr>
      </w:pPr>
    </w:p>
    <w:p w14:paraId="5CA29E66" w14:textId="77777777" w:rsidR="00FE1DD9" w:rsidRDefault="00FE1DD9" w:rsidP="00A72B38">
      <w:pPr>
        <w:spacing w:before="80" w:after="260" w:line="360" w:lineRule="auto"/>
        <w:jc w:val="center"/>
      </w:pPr>
    </w:p>
    <w:p w14:paraId="0FEA29C6" w14:textId="77777777" w:rsidR="003A401F" w:rsidRDefault="00B038DC" w:rsidP="00A72B38">
      <w:pPr>
        <w:pStyle w:val="Ttulo1"/>
        <w:pBdr>
          <w:bottom w:val="single" w:sz="8" w:space="4" w:color="000000"/>
        </w:pBdr>
        <w:spacing w:before="400" w:after="200" w:line="360" w:lineRule="auto"/>
      </w:pPr>
      <w:bookmarkStart w:id="31" w:name="_Toc235022601"/>
      <w:r>
        <w:rPr>
          <w:b/>
          <w:bCs/>
          <w:color w:val="000000"/>
          <w:sz w:val="30"/>
          <w:szCs w:val="30"/>
        </w:rPr>
        <w:t>15. Resultado Final: Dashboard y KPIs</w:t>
      </w:r>
      <w:bookmarkEnd w:id="31"/>
    </w:p>
    <w:p w14:paraId="2551380B" w14:textId="77777777" w:rsidR="003A401F" w:rsidRDefault="00B038DC" w:rsidP="00A72B38">
      <w:pPr>
        <w:spacing w:after="160" w:line="360" w:lineRule="auto"/>
        <w:jc w:val="both"/>
      </w:pPr>
      <w:r>
        <w:lastRenderedPageBreak/>
        <w:t>Esta sección presenta el resultado final del dashboard implementado en Power BI, ya conectado al modelo dimensional de la capa Gold. Se muestran las tres vistas principales de la aplicación de analítica, que materializan en indicadores concretos todo el trabajo de arquitectura descrito en las secciones anteriores.</w:t>
      </w:r>
    </w:p>
    <w:p w14:paraId="37DFD0CB" w14:textId="77777777" w:rsidR="003A401F" w:rsidRDefault="00B038DC" w:rsidP="00A72B38">
      <w:pPr>
        <w:pStyle w:val="Ttulo2"/>
        <w:spacing w:before="280" w:after="140" w:line="360" w:lineRule="auto"/>
      </w:pPr>
      <w:bookmarkStart w:id="32" w:name="_Toc235022602"/>
      <w:r>
        <w:rPr>
          <w:b/>
          <w:bCs/>
          <w:color w:val="000000"/>
          <w:sz w:val="24"/>
          <w:szCs w:val="24"/>
        </w:rPr>
        <w:t>15.1. KPIs Ejecutivos</w:t>
      </w:r>
      <w:bookmarkEnd w:id="32"/>
    </w:p>
    <w:p w14:paraId="2059CA93" w14:textId="4EA2FE6F" w:rsidR="003A401F" w:rsidRDefault="00A72B38" w:rsidP="00A72B38">
      <w:pPr>
        <w:spacing w:after="160" w:line="360" w:lineRule="auto"/>
        <w:jc w:val="both"/>
      </w:pPr>
      <w:r>
        <w:rPr>
          <w:noProof/>
        </w:rPr>
        <w:drawing>
          <wp:anchor distT="0" distB="0" distL="114300" distR="114300" simplePos="0" relativeHeight="251658240" behindDoc="0" locked="0" layoutInCell="1" allowOverlap="1" wp14:anchorId="13B062F7" wp14:editId="3BBF61FF">
            <wp:simplePos x="0" y="0"/>
            <wp:positionH relativeFrom="margin">
              <wp:posOffset>590550</wp:posOffset>
            </wp:positionH>
            <wp:positionV relativeFrom="paragraph">
              <wp:posOffset>1652905</wp:posOffset>
            </wp:positionV>
            <wp:extent cx="4960620" cy="4911090"/>
            <wp:effectExtent l="0" t="0" r="0" b="381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60620" cy="4911090"/>
                    </a:xfrm>
                    <a:prstGeom prst="rect">
                      <a:avLst/>
                    </a:prstGeom>
                  </pic:spPr>
                </pic:pic>
              </a:graphicData>
            </a:graphic>
            <wp14:sizeRelH relativeFrom="page">
              <wp14:pctWidth>0</wp14:pctWidth>
            </wp14:sizeRelH>
            <wp14:sizeRelV relativeFrom="page">
              <wp14:pctHeight>0</wp14:pctHeight>
            </wp14:sizeRelV>
          </wp:anchor>
        </w:drawing>
      </w:r>
      <w:r w:rsidR="00B038DC">
        <w:t>La vista de KPIs Ejecutivos centraliza los indicadores de mayor nivel: transacciones totales, porcentaje de concentración en Lima, locales activos, certificados C4 y copias de actas emitidas, además de la cobertura por departamento. El hallazgo principal destacado en el propio dashboard es que Lima concentra el 41.1% de las transacciones nacionales con un solo departamento de 25, y que los locales OR Independencia, OR Miraflores y OR Jesús María registran picos superiores a 27,000 transacciones al mes, evidenciando una sobrecarga crítica en esas sedes.</w:t>
      </w:r>
    </w:p>
    <w:p w14:paraId="2FBD202D" w14:textId="044B0F9F" w:rsidR="003A401F" w:rsidRDefault="003A401F" w:rsidP="00A72B38">
      <w:pPr>
        <w:spacing w:before="160" w:after="40" w:line="360" w:lineRule="auto"/>
        <w:jc w:val="center"/>
      </w:pPr>
    </w:p>
    <w:p w14:paraId="05882FB9" w14:textId="77777777" w:rsidR="003A401F" w:rsidRDefault="00B038DC" w:rsidP="00A72B38">
      <w:pPr>
        <w:spacing w:before="80" w:after="260" w:line="360" w:lineRule="auto"/>
        <w:jc w:val="center"/>
      </w:pPr>
      <w:r>
        <w:rPr>
          <w:i/>
          <w:iCs/>
          <w:color w:val="595959"/>
          <w:sz w:val="20"/>
          <w:szCs w:val="20"/>
        </w:rPr>
        <w:lastRenderedPageBreak/>
        <w:t>Figura 7. Vista de KPIs Ejecutivos del dashboard: 62.9M de transacciones nacionales (2022-2026), 41.1% concentrado en Lima, 2K locales activos, 2.3M certificados C4 y 3.8M copias de actas.</w:t>
      </w:r>
    </w:p>
    <w:p w14:paraId="549B89B9" w14:textId="77777777" w:rsidR="003A401F" w:rsidRDefault="00B038DC" w:rsidP="00A72B38">
      <w:pPr>
        <w:pStyle w:val="Ttulo2"/>
        <w:spacing w:before="280" w:after="140" w:line="360" w:lineRule="auto"/>
      </w:pPr>
      <w:bookmarkStart w:id="33" w:name="_Toc235022603"/>
      <w:r>
        <w:rPr>
          <w:b/>
          <w:bCs/>
          <w:color w:val="000000"/>
          <w:sz w:val="24"/>
          <w:szCs w:val="24"/>
        </w:rPr>
        <w:t>15.2. Carga por Locales</w:t>
      </w:r>
      <w:bookmarkEnd w:id="33"/>
    </w:p>
    <w:p w14:paraId="6DFF5CEA" w14:textId="77777777" w:rsidR="003A401F" w:rsidRDefault="00B038DC" w:rsidP="00A72B38">
      <w:pPr>
        <w:spacing w:after="160" w:line="360" w:lineRule="auto"/>
        <w:jc w:val="both"/>
      </w:pPr>
      <w:r>
        <w:t>La vista de Carga por Locales identifica los 10 locales con mayor volumen de atención y clasifica el nivel de sobrecarga (alta, media, baja) de cada uno. La tabla de detalle asocia cada local con su departamento, el total de transacciones, el pico mensual y una recomendación operativa específica, por ejemplo redistribuir colas, habilitar un módulo móvil o escalar la infraestructura digital.</w:t>
      </w:r>
    </w:p>
    <w:p w14:paraId="789C6D9F" w14:textId="77777777" w:rsidR="003A401F" w:rsidRDefault="00B038DC" w:rsidP="00A72B38">
      <w:pPr>
        <w:spacing w:before="160" w:after="40" w:line="360" w:lineRule="auto"/>
        <w:jc w:val="center"/>
      </w:pPr>
      <w:r>
        <w:rPr>
          <w:noProof/>
        </w:rPr>
        <w:drawing>
          <wp:inline distT="0" distB="0" distL="0" distR="0" wp14:anchorId="28AF553B" wp14:editId="69657B0B">
            <wp:extent cx="3771900" cy="370522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771900" cy="3705225"/>
                    </a:xfrm>
                    <a:prstGeom prst="rect">
                      <a:avLst/>
                    </a:prstGeom>
                  </pic:spPr>
                </pic:pic>
              </a:graphicData>
            </a:graphic>
          </wp:inline>
        </w:drawing>
      </w:r>
    </w:p>
    <w:p w14:paraId="24266D44" w14:textId="77777777" w:rsidR="003A401F" w:rsidRDefault="00B038DC" w:rsidP="00A72B38">
      <w:pPr>
        <w:spacing w:before="80" w:after="260" w:line="360" w:lineRule="auto"/>
        <w:jc w:val="center"/>
      </w:pPr>
      <w:r>
        <w:rPr>
          <w:i/>
          <w:iCs/>
          <w:color w:val="595959"/>
          <w:sz w:val="20"/>
          <w:szCs w:val="20"/>
        </w:rPr>
        <w:t>Figura 8. Vista de Carga por Locales: top 10 locales con mayor carga, distribución de nivel de carga y tabla de detalle con recomendaciones por local.</w:t>
      </w:r>
    </w:p>
    <w:p w14:paraId="713A90F5" w14:textId="77777777" w:rsidR="003A401F" w:rsidRDefault="00B038DC" w:rsidP="00A72B38">
      <w:pPr>
        <w:pStyle w:val="Ttulo2"/>
        <w:spacing w:before="280" w:after="140" w:line="360" w:lineRule="auto"/>
      </w:pPr>
      <w:bookmarkStart w:id="34" w:name="_Toc235022604"/>
      <w:r>
        <w:rPr>
          <w:b/>
          <w:bCs/>
          <w:color w:val="000000"/>
          <w:sz w:val="24"/>
          <w:szCs w:val="24"/>
        </w:rPr>
        <w:t>15.3. Tendencias</w:t>
      </w:r>
      <w:bookmarkEnd w:id="34"/>
    </w:p>
    <w:p w14:paraId="6ED7FD3D" w14:textId="77777777" w:rsidR="003A401F" w:rsidRDefault="00B038DC" w:rsidP="00A72B38">
      <w:pPr>
        <w:spacing w:after="160" w:line="360" w:lineRule="auto"/>
        <w:jc w:val="both"/>
      </w:pPr>
      <w:r>
        <w:t>La vista de Tendencias compara la evolución mensual de Lima entre 2024, 2025 y la proyección de 2026, permitiendo observar la estacionalidad de la demanda a lo largo del año (por ejemplo, el incremento sostenido entre julio y agosto) y anticipar los meses de mayor saturación.</w:t>
      </w:r>
    </w:p>
    <w:p w14:paraId="6F1AFF46" w14:textId="77777777" w:rsidR="003A401F" w:rsidRDefault="00B038DC" w:rsidP="00A72B38">
      <w:pPr>
        <w:spacing w:before="160" w:after="40" w:line="360" w:lineRule="auto"/>
        <w:jc w:val="center"/>
      </w:pPr>
      <w:r>
        <w:rPr>
          <w:noProof/>
        </w:rPr>
        <w:lastRenderedPageBreak/>
        <w:drawing>
          <wp:inline distT="0" distB="0" distL="0" distR="0" wp14:anchorId="752E4131" wp14:editId="0A87D9BC">
            <wp:extent cx="3771900" cy="19621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771900" cy="1962150"/>
                    </a:xfrm>
                    <a:prstGeom prst="rect">
                      <a:avLst/>
                    </a:prstGeom>
                  </pic:spPr>
                </pic:pic>
              </a:graphicData>
            </a:graphic>
          </wp:inline>
        </w:drawing>
      </w:r>
    </w:p>
    <w:p w14:paraId="79C012D8" w14:textId="77777777" w:rsidR="003A401F" w:rsidRDefault="00B038DC" w:rsidP="00A72B38">
      <w:pPr>
        <w:spacing w:before="80" w:after="260" w:line="360" w:lineRule="auto"/>
        <w:jc w:val="center"/>
      </w:pPr>
      <w:r>
        <w:rPr>
          <w:i/>
          <w:iCs/>
          <w:color w:val="595959"/>
          <w:sz w:val="20"/>
          <w:szCs w:val="20"/>
        </w:rPr>
        <w:t>Figura 9. Vista de Tendencias: evolución mensual de la carga en Lima (2024-2026), usada para anticipar picos estacionales de demanda.</w:t>
      </w:r>
    </w:p>
    <w:p w14:paraId="589FD065" w14:textId="77777777" w:rsidR="003A401F" w:rsidRDefault="00B038DC" w:rsidP="00A72B38">
      <w:pPr>
        <w:spacing w:after="160" w:line="360" w:lineRule="auto"/>
        <w:jc w:val="both"/>
      </w:pPr>
      <w:r>
        <w:t>En conjunto, estas tres vistas cierran el ciclo de la solución: los datos crudos ingeridos en la capa Bronze y transformados a través de Silver llegan a un producto final navegable, que traduce la arquitectura técnica en decisiones operativas concretas para RENIEC.</w:t>
      </w:r>
    </w:p>
    <w:p w14:paraId="44BC7336" w14:textId="77777777" w:rsidR="00260688" w:rsidRDefault="00260688" w:rsidP="00260688">
      <w:pPr>
        <w:pStyle w:val="Ttulo1"/>
      </w:pPr>
      <w:bookmarkStart w:id="35" w:name="_Toc235022605"/>
      <w:r>
        <w:t>15.5. Consola Conversacional (Chatbot Integrado)</w:t>
      </w:r>
      <w:bookmarkEnd w:id="35"/>
    </w:p>
    <w:p w14:paraId="7883B166" w14:textId="1862DA41" w:rsidR="00260688" w:rsidRDefault="00260688" w:rsidP="00260688">
      <w:r>
        <w:t>La consola del Chatbot integrada en el portal permite a los empresarios realizar consultas directas mediante lenguaje natural. El chatbot interpreta preguntas como '</w:t>
      </w:r>
      <w:r w:rsidR="00A55779">
        <w:t>¿</w:t>
      </w:r>
      <w:r>
        <w:t>Cu</w:t>
      </w:r>
      <w:r w:rsidR="00A55779">
        <w:t>á</w:t>
      </w:r>
      <w:r>
        <w:t>l es nuestro riesgo de auditor</w:t>
      </w:r>
      <w:r w:rsidR="00A55779">
        <w:t>í</w:t>
      </w:r>
      <w:r>
        <w:t>a este mes?' o '</w:t>
      </w:r>
      <w:r w:rsidR="00A55779">
        <w:t>¿</w:t>
      </w:r>
      <w:r>
        <w:t>Contamos con caja suficiente para el vencimiento del IGV?', realizando consultas inmediatas a las APIs del backend para brindar una respuesta contextual y coherente basada en el an</w:t>
      </w:r>
      <w:r w:rsidR="00A55779">
        <w:t>á</w:t>
      </w:r>
      <w:r>
        <w:t>lisis relacional del Data Warehouse.</w:t>
      </w:r>
    </w:p>
    <w:p w14:paraId="56E707AE" w14:textId="7573DA1E" w:rsidR="00260688" w:rsidRDefault="00260688" w:rsidP="00260688">
      <w:pPr>
        <w:pStyle w:val="Ttulo1"/>
      </w:pPr>
    </w:p>
    <w:p w14:paraId="1122F4A1" w14:textId="59D4E1CB" w:rsidR="00260688" w:rsidRDefault="00260688" w:rsidP="00260688">
      <w:pPr>
        <w:pStyle w:val="Ttulo1"/>
      </w:pPr>
      <w:bookmarkStart w:id="36" w:name="_Toc235022606"/>
      <w:r>
        <w:t>15.4. Portal Cliente y Score de Riesgo (KYC Tax Shield)</w:t>
      </w:r>
      <w:bookmarkEnd w:id="36"/>
    </w:p>
    <w:p w14:paraId="2DC0D5C0" w14:textId="0A982742" w:rsidR="00260688" w:rsidRDefault="00260688" w:rsidP="00260688">
      <w:r>
        <w:t>El Portal de Clientes de Nexum Asesores materializa la integraci</w:t>
      </w:r>
      <w:r w:rsidR="00A55779">
        <w:t>ó</w:t>
      </w:r>
      <w:r>
        <w:t>n de la l</w:t>
      </w:r>
      <w:r w:rsidR="00A55779">
        <w:t>ó</w:t>
      </w:r>
      <w:r>
        <w:t>gica de negocio con la base de datos de la RENIEC. A trav</w:t>
      </w:r>
      <w:r w:rsidR="00A55779">
        <w:t>é</w:t>
      </w:r>
      <w:r>
        <w:t>s de este portal web, los usuarios visualizan el Score de Riesgo Fiscal calculado por el modelo predictivo XGBoost, alertas KYC activas, y acceden a una herramienta de validaci</w:t>
      </w:r>
      <w:r w:rsidR="00A55779">
        <w:t>ó</w:t>
      </w:r>
      <w:r>
        <w:t>n en tiempo real donde pueden ingresar un DNI para verificar si la persona figura en el padr</w:t>
      </w:r>
      <w:r w:rsidR="00A55779">
        <w:t>ó</w:t>
      </w:r>
      <w:r>
        <w:t>n nacional, si su estado de vida es activo y si coincide con su ubigeo oficial.</w:t>
      </w:r>
    </w:p>
    <w:p w14:paraId="0888C3F9" w14:textId="3E070112" w:rsidR="00260688" w:rsidRDefault="00260688" w:rsidP="00A72B38">
      <w:pPr>
        <w:pStyle w:val="Ttulo1"/>
        <w:pBdr>
          <w:bottom w:val="single" w:sz="8" w:space="4" w:color="000000"/>
        </w:pBdr>
        <w:spacing w:before="400" w:after="200" w:line="360" w:lineRule="auto"/>
        <w:rPr>
          <w:b/>
          <w:bCs/>
          <w:color w:val="000000"/>
          <w:sz w:val="30"/>
          <w:szCs w:val="30"/>
        </w:rPr>
      </w:pPr>
    </w:p>
    <w:p w14:paraId="5D621337" w14:textId="10683368" w:rsidR="003A401F" w:rsidRDefault="00B038DC" w:rsidP="00A72B38">
      <w:pPr>
        <w:pStyle w:val="Ttulo1"/>
        <w:pBdr>
          <w:bottom w:val="single" w:sz="8" w:space="4" w:color="000000"/>
        </w:pBdr>
        <w:spacing w:before="400" w:after="200" w:line="360" w:lineRule="auto"/>
      </w:pPr>
      <w:bookmarkStart w:id="37" w:name="_Toc235022607"/>
      <w:r>
        <w:rPr>
          <w:b/>
          <w:bCs/>
          <w:color w:val="000000"/>
          <w:sz w:val="30"/>
          <w:szCs w:val="30"/>
        </w:rPr>
        <w:t>16. Beneficios Obtenidos</w:t>
      </w:r>
      <w:bookmarkEnd w:id="37"/>
    </w:p>
    <w:p w14:paraId="16880F28" w14:textId="77777777" w:rsidR="003A401F" w:rsidRDefault="00B038DC" w:rsidP="00A72B38">
      <w:pPr>
        <w:spacing w:after="160" w:line="360" w:lineRule="auto"/>
        <w:jc w:val="both"/>
      </w:pPr>
      <w:r>
        <w:t>La solución de Inteligencia de Negocios genera beneficios concretos a nivel operativo y estratégico para RENIEC. La siguiente tabla resume cada beneficio como un KPI propuesto, con su definición y su frecuencia de reporte sugerida: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50"/>
        <w:gridCol w:w="2600"/>
      </w:tblGrid>
      <w:tr w:rsidR="003A401F" w14:paraId="551C1C74" w14:textId="77777777">
        <w:trPr>
          <w:tblHeader/>
        </w:trPr>
        <w:tc>
          <w:tcPr>
            <w:tcW w:w="2200" w:type="dxa"/>
            <w:shd w:val="clear" w:color="auto" w:fill="404040"/>
            <w:tcMar>
              <w:top w:w="80" w:type="dxa"/>
              <w:left w:w="100" w:type="dxa"/>
              <w:bottom w:w="80" w:type="dxa"/>
              <w:right w:w="100" w:type="dxa"/>
            </w:tcMar>
            <w:vAlign w:val="center"/>
          </w:tcPr>
          <w:p w14:paraId="7CBA33C4" w14:textId="77777777" w:rsidR="003A401F" w:rsidRDefault="00B038DC" w:rsidP="00A72B38">
            <w:pPr>
              <w:spacing w:line="360" w:lineRule="auto"/>
            </w:pPr>
            <w:r>
              <w:rPr>
                <w:b/>
                <w:bCs/>
                <w:color w:val="FFFFFF"/>
                <w:sz w:val="20"/>
                <w:szCs w:val="20"/>
              </w:rPr>
              <w:lastRenderedPageBreak/>
              <w:t>KPI</w:t>
            </w:r>
          </w:p>
        </w:tc>
        <w:tc>
          <w:tcPr>
            <w:tcW w:w="4550" w:type="dxa"/>
            <w:shd w:val="clear" w:color="auto" w:fill="404040"/>
            <w:tcMar>
              <w:top w:w="80" w:type="dxa"/>
              <w:left w:w="100" w:type="dxa"/>
              <w:bottom w:w="80" w:type="dxa"/>
              <w:right w:w="100" w:type="dxa"/>
            </w:tcMar>
            <w:vAlign w:val="center"/>
          </w:tcPr>
          <w:p w14:paraId="0E60D5ED" w14:textId="77777777" w:rsidR="003A401F" w:rsidRDefault="00B038DC" w:rsidP="00A72B38">
            <w:pPr>
              <w:spacing w:line="360" w:lineRule="auto"/>
            </w:pPr>
            <w:r>
              <w:rPr>
                <w:b/>
                <w:bCs/>
                <w:color w:val="FFFFFF"/>
                <w:sz w:val="20"/>
                <w:szCs w:val="20"/>
              </w:rPr>
              <w:t>Definición</w:t>
            </w:r>
          </w:p>
        </w:tc>
        <w:tc>
          <w:tcPr>
            <w:tcW w:w="2600" w:type="dxa"/>
            <w:shd w:val="clear" w:color="auto" w:fill="404040"/>
            <w:tcMar>
              <w:top w:w="80" w:type="dxa"/>
              <w:left w:w="100" w:type="dxa"/>
              <w:bottom w:w="80" w:type="dxa"/>
              <w:right w:w="100" w:type="dxa"/>
            </w:tcMar>
            <w:vAlign w:val="center"/>
          </w:tcPr>
          <w:p w14:paraId="33FB91FB" w14:textId="77777777" w:rsidR="003A401F" w:rsidRDefault="00B038DC" w:rsidP="00A72B38">
            <w:pPr>
              <w:spacing w:line="360" w:lineRule="auto"/>
            </w:pPr>
            <w:r>
              <w:rPr>
                <w:b/>
                <w:bCs/>
                <w:color w:val="FFFFFF"/>
                <w:sz w:val="20"/>
                <w:szCs w:val="20"/>
              </w:rPr>
              <w:t>Frecuencia</w:t>
            </w:r>
          </w:p>
        </w:tc>
      </w:tr>
      <w:tr w:rsidR="003A401F" w14:paraId="65172967" w14:textId="77777777">
        <w:tc>
          <w:tcPr>
            <w:tcW w:w="2200" w:type="dxa"/>
            <w:shd w:val="clear" w:color="auto" w:fill="F2F2F2"/>
            <w:tcMar>
              <w:top w:w="80" w:type="dxa"/>
              <w:left w:w="100" w:type="dxa"/>
              <w:bottom w:w="80" w:type="dxa"/>
              <w:right w:w="100" w:type="dxa"/>
            </w:tcMar>
            <w:vAlign w:val="center"/>
          </w:tcPr>
          <w:p w14:paraId="327C78EA" w14:textId="77777777" w:rsidR="003A401F" w:rsidRDefault="00B038DC" w:rsidP="00A72B38">
            <w:pPr>
              <w:spacing w:line="360" w:lineRule="auto"/>
            </w:pPr>
            <w:r>
              <w:rPr>
                <w:sz w:val="20"/>
                <w:szCs w:val="20"/>
              </w:rPr>
              <w:t>Reducción de tiempos de espera</w:t>
            </w:r>
          </w:p>
        </w:tc>
        <w:tc>
          <w:tcPr>
            <w:tcW w:w="4550" w:type="dxa"/>
            <w:shd w:val="clear" w:color="auto" w:fill="F2F2F2"/>
            <w:tcMar>
              <w:top w:w="80" w:type="dxa"/>
              <w:left w:w="100" w:type="dxa"/>
              <w:bottom w:w="80" w:type="dxa"/>
              <w:right w:w="100" w:type="dxa"/>
            </w:tcMar>
            <w:vAlign w:val="center"/>
          </w:tcPr>
          <w:p w14:paraId="6C377CA0" w14:textId="77777777" w:rsidR="003A401F" w:rsidRDefault="00B038DC" w:rsidP="00A72B38">
            <w:pPr>
              <w:spacing w:line="360" w:lineRule="auto"/>
            </w:pPr>
            <w:r>
              <w:rPr>
                <w:sz w:val="20"/>
                <w:szCs w:val="20"/>
              </w:rPr>
              <w:t>Variación del tiempo promedio de atención por sede, tras identificar patrones de saturación por día y horario y redistribuir personal de forma preventiva.</w:t>
            </w:r>
          </w:p>
        </w:tc>
        <w:tc>
          <w:tcPr>
            <w:tcW w:w="2600" w:type="dxa"/>
            <w:shd w:val="clear" w:color="auto" w:fill="F2F2F2"/>
            <w:tcMar>
              <w:top w:w="80" w:type="dxa"/>
              <w:left w:w="100" w:type="dxa"/>
              <w:bottom w:w="80" w:type="dxa"/>
              <w:right w:w="100" w:type="dxa"/>
            </w:tcMar>
            <w:vAlign w:val="center"/>
          </w:tcPr>
          <w:p w14:paraId="27B4FB3D" w14:textId="77777777" w:rsidR="003A401F" w:rsidRDefault="00B038DC" w:rsidP="00A72B38">
            <w:pPr>
              <w:spacing w:line="360" w:lineRule="auto"/>
            </w:pPr>
            <w:r>
              <w:rPr>
                <w:sz w:val="20"/>
                <w:szCs w:val="20"/>
              </w:rPr>
              <w:t>Mensual</w:t>
            </w:r>
          </w:p>
        </w:tc>
      </w:tr>
      <w:tr w:rsidR="003A401F" w14:paraId="5D32A9FC" w14:textId="77777777">
        <w:tc>
          <w:tcPr>
            <w:tcW w:w="2200" w:type="dxa"/>
            <w:shd w:val="clear" w:color="auto" w:fill="FFFFFF"/>
            <w:tcMar>
              <w:top w:w="80" w:type="dxa"/>
              <w:left w:w="100" w:type="dxa"/>
              <w:bottom w:w="80" w:type="dxa"/>
              <w:right w:w="100" w:type="dxa"/>
            </w:tcMar>
            <w:vAlign w:val="center"/>
          </w:tcPr>
          <w:p w14:paraId="449C30E1" w14:textId="77777777" w:rsidR="003A401F" w:rsidRDefault="00B038DC" w:rsidP="00A72B38">
            <w:pPr>
              <w:spacing w:line="360" w:lineRule="auto"/>
            </w:pPr>
            <w:r>
              <w:rPr>
                <w:sz w:val="20"/>
                <w:szCs w:val="20"/>
              </w:rPr>
              <w:t>Adopción digital por zona</w:t>
            </w:r>
          </w:p>
        </w:tc>
        <w:tc>
          <w:tcPr>
            <w:tcW w:w="4550" w:type="dxa"/>
            <w:shd w:val="clear" w:color="auto" w:fill="FFFFFF"/>
            <w:tcMar>
              <w:top w:w="80" w:type="dxa"/>
              <w:left w:w="100" w:type="dxa"/>
              <w:bottom w:w="80" w:type="dxa"/>
              <w:right w:w="100" w:type="dxa"/>
            </w:tcMar>
            <w:vAlign w:val="center"/>
          </w:tcPr>
          <w:p w14:paraId="370C071F" w14:textId="77777777" w:rsidR="003A401F" w:rsidRDefault="00B038DC" w:rsidP="00A72B38">
            <w:pPr>
              <w:spacing w:line="360" w:lineRule="auto"/>
            </w:pPr>
            <w:r>
              <w:rPr>
                <w:sz w:val="20"/>
                <w:szCs w:val="20"/>
              </w:rPr>
              <w:t>% de trámites resueltos por canal digital frente al total, por Departamento/Provincia/Distrito.</w:t>
            </w:r>
          </w:p>
        </w:tc>
        <w:tc>
          <w:tcPr>
            <w:tcW w:w="2600" w:type="dxa"/>
            <w:shd w:val="clear" w:color="auto" w:fill="FFFFFF"/>
            <w:tcMar>
              <w:top w:w="80" w:type="dxa"/>
              <w:left w:w="100" w:type="dxa"/>
              <w:bottom w:w="80" w:type="dxa"/>
              <w:right w:w="100" w:type="dxa"/>
            </w:tcMar>
            <w:vAlign w:val="center"/>
          </w:tcPr>
          <w:p w14:paraId="637A12DE" w14:textId="77777777" w:rsidR="003A401F" w:rsidRDefault="00B038DC" w:rsidP="00A72B38">
            <w:pPr>
              <w:spacing w:line="360" w:lineRule="auto"/>
            </w:pPr>
            <w:r>
              <w:rPr>
                <w:sz w:val="20"/>
                <w:szCs w:val="20"/>
              </w:rPr>
              <w:t>Mensual</w:t>
            </w:r>
          </w:p>
        </w:tc>
      </w:tr>
      <w:tr w:rsidR="003A401F" w14:paraId="232DDB00" w14:textId="77777777">
        <w:tc>
          <w:tcPr>
            <w:tcW w:w="2200" w:type="dxa"/>
            <w:shd w:val="clear" w:color="auto" w:fill="F2F2F2"/>
            <w:tcMar>
              <w:top w:w="80" w:type="dxa"/>
              <w:left w:w="100" w:type="dxa"/>
              <w:bottom w:w="80" w:type="dxa"/>
              <w:right w:w="100" w:type="dxa"/>
            </w:tcMar>
            <w:vAlign w:val="center"/>
          </w:tcPr>
          <w:p w14:paraId="7BB0127E" w14:textId="77777777" w:rsidR="003A401F" w:rsidRDefault="00B038DC" w:rsidP="00A72B38">
            <w:pPr>
              <w:spacing w:line="360" w:lineRule="auto"/>
            </w:pPr>
            <w:r>
              <w:rPr>
                <w:sz w:val="20"/>
                <w:szCs w:val="20"/>
              </w:rPr>
              <w:t>Disponibilidad del pipeline</w:t>
            </w:r>
          </w:p>
        </w:tc>
        <w:tc>
          <w:tcPr>
            <w:tcW w:w="4550" w:type="dxa"/>
            <w:shd w:val="clear" w:color="auto" w:fill="F2F2F2"/>
            <w:tcMar>
              <w:top w:w="80" w:type="dxa"/>
              <w:left w:w="100" w:type="dxa"/>
              <w:bottom w:w="80" w:type="dxa"/>
              <w:right w:w="100" w:type="dxa"/>
            </w:tcMar>
            <w:vAlign w:val="center"/>
          </w:tcPr>
          <w:p w14:paraId="2CC265D5" w14:textId="77777777" w:rsidR="003A401F" w:rsidRDefault="00B038DC" w:rsidP="00A72B38">
            <w:pPr>
              <w:spacing w:line="360" w:lineRule="auto"/>
            </w:pPr>
            <w:r>
              <w:rPr>
                <w:sz w:val="20"/>
                <w:szCs w:val="20"/>
              </w:rPr>
              <w:t>% de ejecuciones exitosas de los DAGs de Airflow (Bronze-Silver-Gold) sobre el total de ejecuciones.</w:t>
            </w:r>
          </w:p>
        </w:tc>
        <w:tc>
          <w:tcPr>
            <w:tcW w:w="2600" w:type="dxa"/>
            <w:shd w:val="clear" w:color="auto" w:fill="F2F2F2"/>
            <w:tcMar>
              <w:top w:w="80" w:type="dxa"/>
              <w:left w:w="100" w:type="dxa"/>
              <w:bottom w:w="80" w:type="dxa"/>
              <w:right w:w="100" w:type="dxa"/>
            </w:tcMar>
            <w:vAlign w:val="center"/>
          </w:tcPr>
          <w:p w14:paraId="38C9722C" w14:textId="77777777" w:rsidR="003A401F" w:rsidRDefault="00B038DC" w:rsidP="00A72B38">
            <w:pPr>
              <w:spacing w:line="360" w:lineRule="auto"/>
            </w:pPr>
            <w:r>
              <w:rPr>
                <w:sz w:val="20"/>
                <w:szCs w:val="20"/>
              </w:rPr>
              <w:t>Semanal</w:t>
            </w:r>
          </w:p>
        </w:tc>
      </w:tr>
      <w:tr w:rsidR="003A401F" w14:paraId="2F2D69E7" w14:textId="77777777">
        <w:tc>
          <w:tcPr>
            <w:tcW w:w="2200" w:type="dxa"/>
            <w:shd w:val="clear" w:color="auto" w:fill="FFFFFF"/>
            <w:tcMar>
              <w:top w:w="80" w:type="dxa"/>
              <w:left w:w="100" w:type="dxa"/>
              <w:bottom w:w="80" w:type="dxa"/>
              <w:right w:w="100" w:type="dxa"/>
            </w:tcMar>
            <w:vAlign w:val="center"/>
          </w:tcPr>
          <w:p w14:paraId="313760BF" w14:textId="77777777" w:rsidR="003A401F" w:rsidRDefault="00B038DC" w:rsidP="00A72B38">
            <w:pPr>
              <w:spacing w:line="360" w:lineRule="auto"/>
            </w:pPr>
            <w:r>
              <w:rPr>
                <w:sz w:val="20"/>
                <w:szCs w:val="20"/>
              </w:rPr>
              <w:t>Eficiencia en asignación de personal</w:t>
            </w:r>
          </w:p>
        </w:tc>
        <w:tc>
          <w:tcPr>
            <w:tcW w:w="4550" w:type="dxa"/>
            <w:shd w:val="clear" w:color="auto" w:fill="FFFFFF"/>
            <w:tcMar>
              <w:top w:w="80" w:type="dxa"/>
              <w:left w:w="100" w:type="dxa"/>
              <w:bottom w:w="80" w:type="dxa"/>
              <w:right w:w="100" w:type="dxa"/>
            </w:tcMar>
            <w:vAlign w:val="center"/>
          </w:tcPr>
          <w:p w14:paraId="34875FBF" w14:textId="77777777" w:rsidR="003A401F" w:rsidRDefault="00B038DC" w:rsidP="00A72B38">
            <w:pPr>
              <w:spacing w:line="360" w:lineRule="auto"/>
            </w:pPr>
            <w:r>
              <w:rPr>
                <w:sz w:val="20"/>
                <w:szCs w:val="20"/>
              </w:rPr>
              <w:t>Horas de personal reasignadas preventivamente a sedes con demanda proyectada alta.</w:t>
            </w:r>
          </w:p>
        </w:tc>
        <w:tc>
          <w:tcPr>
            <w:tcW w:w="2600" w:type="dxa"/>
            <w:shd w:val="clear" w:color="auto" w:fill="FFFFFF"/>
            <w:tcMar>
              <w:top w:w="80" w:type="dxa"/>
              <w:left w:w="100" w:type="dxa"/>
              <w:bottom w:w="80" w:type="dxa"/>
              <w:right w:w="100" w:type="dxa"/>
            </w:tcMar>
            <w:vAlign w:val="center"/>
          </w:tcPr>
          <w:p w14:paraId="4870EC7E" w14:textId="77777777" w:rsidR="003A401F" w:rsidRDefault="00B038DC" w:rsidP="00A72B38">
            <w:pPr>
              <w:spacing w:line="360" w:lineRule="auto"/>
            </w:pPr>
            <w:r>
              <w:rPr>
                <w:sz w:val="20"/>
                <w:szCs w:val="20"/>
              </w:rPr>
              <w:t>Mensual</w:t>
            </w:r>
          </w:p>
        </w:tc>
      </w:tr>
    </w:tbl>
    <w:p w14:paraId="7C448B5F" w14:textId="77777777" w:rsidR="003A401F" w:rsidRDefault="003A401F" w:rsidP="00A72B38">
      <w:pPr>
        <w:spacing w:before="240" w:line="360" w:lineRule="auto"/>
      </w:pPr>
    </w:p>
    <w:p w14:paraId="6CA3AE26" w14:textId="77777777" w:rsidR="003A401F" w:rsidRDefault="00B038DC" w:rsidP="00A72B38">
      <w:pPr>
        <w:spacing w:after="160" w:line="360" w:lineRule="auto"/>
        <w:jc w:val="both"/>
      </w:pPr>
      <w:r>
        <w:t>Además de estos KPIs, la solución aporta beneficios estructurales:</w:t>
      </w:r>
    </w:p>
    <w:p w14:paraId="5E5CE4B5" w14:textId="77777777" w:rsidR="003A401F" w:rsidRDefault="00B038DC" w:rsidP="00A72B38">
      <w:pPr>
        <w:pStyle w:val="Prrafodelista"/>
        <w:numPr>
          <w:ilvl w:val="0"/>
          <w:numId w:val="1"/>
        </w:numPr>
        <w:spacing w:after="100" w:line="360" w:lineRule="auto"/>
        <w:jc w:val="both"/>
      </w:pPr>
      <w:r>
        <w:rPr>
          <w:b/>
          <w:bCs/>
        </w:rPr>
        <w:t xml:space="preserve">Decisiones basadas en datos: </w:t>
      </w:r>
      <w:r>
        <w:t>el dashboard de Power BI centraliza los KPIs de productividad y digitalización, reemplazando el análisis manual de reportes dispersos y permitiendo a los directivos pasar de una gestión por percepciones a una gestión guiada por evidencia.</w:t>
      </w:r>
    </w:p>
    <w:p w14:paraId="2CBEEC2A" w14:textId="77777777" w:rsidR="003A401F" w:rsidRDefault="00B038DC" w:rsidP="00A72B38">
      <w:pPr>
        <w:pStyle w:val="Prrafodelista"/>
        <w:numPr>
          <w:ilvl w:val="0"/>
          <w:numId w:val="1"/>
        </w:numPr>
        <w:spacing w:after="100" w:line="360" w:lineRule="auto"/>
        <w:jc w:val="both"/>
      </w:pPr>
      <w:r>
        <w:rPr>
          <w:b/>
          <w:bCs/>
        </w:rPr>
        <w:t xml:space="preserve">Escalabilidad técnica: </w:t>
      </w:r>
      <w:r>
        <w:t>la arquitectura basada en contenedores, Data Lake y orquestación automatizada permite incorporar nuevas fuentes de datos sin rediseñar el pipeline, agregando un objeto en la capa Bronze y ajustando el DAG correspondiente.</w:t>
      </w:r>
    </w:p>
    <w:p w14:paraId="3376DD20" w14:textId="77777777" w:rsidR="003A401F" w:rsidRDefault="00B038DC" w:rsidP="00A72B38">
      <w:pPr>
        <w:pStyle w:val="Prrafodelista"/>
        <w:numPr>
          <w:ilvl w:val="0"/>
          <w:numId w:val="1"/>
        </w:numPr>
        <w:spacing w:after="100" w:line="360" w:lineRule="auto"/>
        <w:jc w:val="both"/>
      </w:pPr>
      <w:r>
        <w:rPr>
          <w:b/>
          <w:bCs/>
        </w:rPr>
        <w:t xml:space="preserve">Trazabilidad del proceso: </w:t>
      </w:r>
      <w:r>
        <w:t>Apache Airflow deja evidencia auditable de cada ejecución (hora de inicio, duración y estado), lo que facilita diagnosticar el origen de cualquier inconsistencia en el dashboard.</w:t>
      </w:r>
    </w:p>
    <w:p w14:paraId="720DF49B" w14:textId="77777777" w:rsidR="003A401F" w:rsidRDefault="00B038DC" w:rsidP="00A72B38">
      <w:pPr>
        <w:pStyle w:val="Prrafodelista"/>
        <w:numPr>
          <w:ilvl w:val="0"/>
          <w:numId w:val="1"/>
        </w:numPr>
        <w:spacing w:after="100" w:line="360" w:lineRule="auto"/>
        <w:jc w:val="both"/>
      </w:pPr>
      <w:r>
        <w:rPr>
          <w:b/>
          <w:bCs/>
        </w:rPr>
        <w:t xml:space="preserve">Impacto social y alineación con los ODS: </w:t>
      </w:r>
      <w:r>
        <w:t>menos tiempo en colas y un acceso más ágil a documentos de identidad conectan el proyecto con el ODS 16 (Paz, Justicia e Instituciones Sólidas), al contribuir a que RENIEC opere de forma más eficiente, transparente y basada en evidencia.</w:t>
      </w:r>
    </w:p>
    <w:p w14:paraId="3C298E58" w14:textId="77777777" w:rsidR="003A401F" w:rsidRDefault="00B038DC" w:rsidP="00A72B38">
      <w:pPr>
        <w:pStyle w:val="Ttulo1"/>
        <w:pBdr>
          <w:bottom w:val="single" w:sz="8" w:space="4" w:color="000000"/>
        </w:pBdr>
        <w:spacing w:before="400" w:after="200" w:line="360" w:lineRule="auto"/>
      </w:pPr>
      <w:bookmarkStart w:id="38" w:name="_Toc235022608"/>
      <w:r>
        <w:rPr>
          <w:b/>
          <w:bCs/>
          <w:color w:val="000000"/>
          <w:sz w:val="30"/>
          <w:szCs w:val="30"/>
        </w:rPr>
        <w:t>17. Limitaciones</w:t>
      </w:r>
      <w:bookmarkEnd w:id="38"/>
    </w:p>
    <w:p w14:paraId="21468C8E" w14:textId="77777777" w:rsidR="003A401F" w:rsidRDefault="00B038DC" w:rsidP="00A72B38">
      <w:pPr>
        <w:spacing w:after="160" w:line="360" w:lineRule="auto"/>
        <w:jc w:val="both"/>
      </w:pPr>
      <w:r>
        <w:t>Se priorizan cuatro limitaciones críticas del proyecto, cada una con una mitigación inmediata propuesta: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000"/>
        <w:gridCol w:w="2950"/>
      </w:tblGrid>
      <w:tr w:rsidR="003A401F" w14:paraId="5730D9DC" w14:textId="77777777">
        <w:trPr>
          <w:tblHeader/>
        </w:trPr>
        <w:tc>
          <w:tcPr>
            <w:tcW w:w="3400" w:type="dxa"/>
            <w:shd w:val="clear" w:color="auto" w:fill="404040"/>
            <w:tcMar>
              <w:top w:w="80" w:type="dxa"/>
              <w:left w:w="100" w:type="dxa"/>
              <w:bottom w:w="80" w:type="dxa"/>
              <w:right w:w="100" w:type="dxa"/>
            </w:tcMar>
            <w:vAlign w:val="center"/>
          </w:tcPr>
          <w:p w14:paraId="2A8ADB1C" w14:textId="77777777" w:rsidR="003A401F" w:rsidRDefault="00B038DC" w:rsidP="00A72B38">
            <w:pPr>
              <w:spacing w:line="360" w:lineRule="auto"/>
            </w:pPr>
            <w:r>
              <w:rPr>
                <w:b/>
                <w:bCs/>
                <w:color w:val="FFFFFF"/>
                <w:sz w:val="20"/>
                <w:szCs w:val="20"/>
              </w:rPr>
              <w:lastRenderedPageBreak/>
              <w:t>Limitación</w:t>
            </w:r>
          </w:p>
        </w:tc>
        <w:tc>
          <w:tcPr>
            <w:tcW w:w="3000" w:type="dxa"/>
            <w:shd w:val="clear" w:color="auto" w:fill="404040"/>
            <w:tcMar>
              <w:top w:w="80" w:type="dxa"/>
              <w:left w:w="100" w:type="dxa"/>
              <w:bottom w:w="80" w:type="dxa"/>
              <w:right w:w="100" w:type="dxa"/>
            </w:tcMar>
            <w:vAlign w:val="center"/>
          </w:tcPr>
          <w:p w14:paraId="2C048B81" w14:textId="77777777" w:rsidR="003A401F" w:rsidRDefault="00B038DC" w:rsidP="00A72B38">
            <w:pPr>
              <w:spacing w:line="360" w:lineRule="auto"/>
            </w:pPr>
            <w:r>
              <w:rPr>
                <w:b/>
                <w:bCs/>
                <w:color w:val="FFFFFF"/>
                <w:sz w:val="20"/>
                <w:szCs w:val="20"/>
              </w:rPr>
              <w:t>Efecto</w:t>
            </w:r>
          </w:p>
        </w:tc>
        <w:tc>
          <w:tcPr>
            <w:tcW w:w="2950" w:type="dxa"/>
            <w:shd w:val="clear" w:color="auto" w:fill="404040"/>
            <w:tcMar>
              <w:top w:w="80" w:type="dxa"/>
              <w:left w:w="100" w:type="dxa"/>
              <w:bottom w:w="80" w:type="dxa"/>
              <w:right w:w="100" w:type="dxa"/>
            </w:tcMar>
            <w:vAlign w:val="center"/>
          </w:tcPr>
          <w:p w14:paraId="45688E88" w14:textId="77777777" w:rsidR="003A401F" w:rsidRDefault="00B038DC" w:rsidP="00A72B38">
            <w:pPr>
              <w:spacing w:line="360" w:lineRule="auto"/>
            </w:pPr>
            <w:r>
              <w:rPr>
                <w:b/>
                <w:bCs/>
                <w:color w:val="FFFFFF"/>
                <w:sz w:val="20"/>
                <w:szCs w:val="20"/>
              </w:rPr>
              <w:t>Mitigación inmediata</w:t>
            </w:r>
          </w:p>
        </w:tc>
      </w:tr>
      <w:tr w:rsidR="003A401F" w14:paraId="1D003B92" w14:textId="77777777">
        <w:tc>
          <w:tcPr>
            <w:tcW w:w="3400" w:type="dxa"/>
            <w:shd w:val="clear" w:color="auto" w:fill="F2F2F2"/>
            <w:tcMar>
              <w:top w:w="80" w:type="dxa"/>
              <w:left w:w="100" w:type="dxa"/>
              <w:bottom w:w="80" w:type="dxa"/>
              <w:right w:w="100" w:type="dxa"/>
            </w:tcMar>
            <w:vAlign w:val="center"/>
          </w:tcPr>
          <w:p w14:paraId="0822C0B1" w14:textId="77777777" w:rsidR="003A401F" w:rsidRDefault="00B038DC" w:rsidP="00A72B38">
            <w:pPr>
              <w:spacing w:line="360" w:lineRule="auto"/>
            </w:pPr>
            <w:r>
              <w:rPr>
                <w:sz w:val="20"/>
                <w:szCs w:val="20"/>
              </w:rPr>
              <w:t>Ausencia de streaming: la ingesta es batch (CSV) vía Airflow.</w:t>
            </w:r>
          </w:p>
        </w:tc>
        <w:tc>
          <w:tcPr>
            <w:tcW w:w="3000" w:type="dxa"/>
            <w:shd w:val="clear" w:color="auto" w:fill="F2F2F2"/>
            <w:tcMar>
              <w:top w:w="80" w:type="dxa"/>
              <w:left w:w="100" w:type="dxa"/>
              <w:bottom w:w="80" w:type="dxa"/>
              <w:right w:w="100" w:type="dxa"/>
            </w:tcMar>
            <w:vAlign w:val="center"/>
          </w:tcPr>
          <w:p w14:paraId="3846EBC4" w14:textId="77777777" w:rsidR="003A401F" w:rsidRDefault="00B038DC" w:rsidP="00A72B38">
            <w:pPr>
              <w:spacing w:line="360" w:lineRule="auto"/>
            </w:pPr>
            <w:r>
              <w:rPr>
                <w:sz w:val="20"/>
                <w:szCs w:val="20"/>
              </w:rPr>
              <w:t>El dashboard nunca es estrictamente instantáneo, aunque el pipeline se ejecute con más frecuencia.</w:t>
            </w:r>
          </w:p>
        </w:tc>
        <w:tc>
          <w:tcPr>
            <w:tcW w:w="2950" w:type="dxa"/>
            <w:shd w:val="clear" w:color="auto" w:fill="F2F2F2"/>
            <w:tcMar>
              <w:top w:w="80" w:type="dxa"/>
              <w:left w:w="100" w:type="dxa"/>
              <w:bottom w:w="80" w:type="dxa"/>
              <w:right w:w="100" w:type="dxa"/>
            </w:tcMar>
            <w:vAlign w:val="center"/>
          </w:tcPr>
          <w:p w14:paraId="13CF9127" w14:textId="77777777" w:rsidR="003A401F" w:rsidRDefault="00B038DC" w:rsidP="00A72B38">
            <w:pPr>
              <w:spacing w:line="360" w:lineRule="auto"/>
            </w:pPr>
            <w:r>
              <w:rPr>
                <w:sz w:val="20"/>
                <w:szCs w:val="20"/>
              </w:rPr>
              <w:t>Aumentar la frecuencia de ejecución del batch mientras se evalúa una API oficial de RENIEC.</w:t>
            </w:r>
          </w:p>
        </w:tc>
      </w:tr>
      <w:tr w:rsidR="003A401F" w14:paraId="45EDBFCC" w14:textId="77777777">
        <w:tc>
          <w:tcPr>
            <w:tcW w:w="3400" w:type="dxa"/>
            <w:shd w:val="clear" w:color="auto" w:fill="FFFFFF"/>
            <w:tcMar>
              <w:top w:w="80" w:type="dxa"/>
              <w:left w:w="100" w:type="dxa"/>
              <w:bottom w:w="80" w:type="dxa"/>
              <w:right w:w="100" w:type="dxa"/>
            </w:tcMar>
            <w:vAlign w:val="center"/>
          </w:tcPr>
          <w:p w14:paraId="2CF9FE92" w14:textId="77777777" w:rsidR="003A401F" w:rsidRDefault="00B038DC" w:rsidP="00A72B38">
            <w:pPr>
              <w:spacing w:line="360" w:lineRule="auto"/>
            </w:pPr>
            <w:r>
              <w:rPr>
                <w:sz w:val="20"/>
                <w:szCs w:val="20"/>
              </w:rPr>
              <w:t>Periodicidad mensual de los datos abiertos.</w:t>
            </w:r>
          </w:p>
        </w:tc>
        <w:tc>
          <w:tcPr>
            <w:tcW w:w="3000" w:type="dxa"/>
            <w:shd w:val="clear" w:color="auto" w:fill="FFFFFF"/>
            <w:tcMar>
              <w:top w:w="80" w:type="dxa"/>
              <w:left w:w="100" w:type="dxa"/>
              <w:bottom w:w="80" w:type="dxa"/>
              <w:right w:w="100" w:type="dxa"/>
            </w:tcMar>
            <w:vAlign w:val="center"/>
          </w:tcPr>
          <w:p w14:paraId="0DA7F92A" w14:textId="77777777" w:rsidR="003A401F" w:rsidRDefault="00B038DC" w:rsidP="00A72B38">
            <w:pPr>
              <w:spacing w:line="360" w:lineRule="auto"/>
            </w:pPr>
            <w:r>
              <w:rPr>
                <w:sz w:val="20"/>
                <w:szCs w:val="20"/>
              </w:rPr>
              <w:t>El análisis refleja un desfase de al menos algunas semanas respecto a la operación real.</w:t>
            </w:r>
          </w:p>
        </w:tc>
        <w:tc>
          <w:tcPr>
            <w:tcW w:w="2950" w:type="dxa"/>
            <w:shd w:val="clear" w:color="auto" w:fill="FFFFFF"/>
            <w:tcMar>
              <w:top w:w="80" w:type="dxa"/>
              <w:left w:w="100" w:type="dxa"/>
              <w:bottom w:w="80" w:type="dxa"/>
              <w:right w:w="100" w:type="dxa"/>
            </w:tcMar>
            <w:vAlign w:val="center"/>
          </w:tcPr>
          <w:p w14:paraId="000E76BC" w14:textId="77777777" w:rsidR="003A401F" w:rsidRDefault="00B038DC" w:rsidP="00A72B38">
            <w:pPr>
              <w:spacing w:line="360" w:lineRule="auto"/>
            </w:pPr>
            <w:r>
              <w:rPr>
                <w:sz w:val="20"/>
                <w:szCs w:val="20"/>
              </w:rPr>
              <w:t>Documentar explícitamente el desfase en cada reporte del dashboard.</w:t>
            </w:r>
          </w:p>
        </w:tc>
      </w:tr>
      <w:tr w:rsidR="003A401F" w14:paraId="238CE669" w14:textId="77777777">
        <w:tc>
          <w:tcPr>
            <w:tcW w:w="3400" w:type="dxa"/>
            <w:shd w:val="clear" w:color="auto" w:fill="F2F2F2"/>
            <w:tcMar>
              <w:top w:w="80" w:type="dxa"/>
              <w:left w:w="100" w:type="dxa"/>
              <w:bottom w:w="80" w:type="dxa"/>
              <w:right w:w="100" w:type="dxa"/>
            </w:tcMar>
            <w:vAlign w:val="center"/>
          </w:tcPr>
          <w:p w14:paraId="4CE3C31C" w14:textId="77777777" w:rsidR="003A401F" w:rsidRDefault="00B038DC" w:rsidP="00A72B38">
            <w:pPr>
              <w:spacing w:line="360" w:lineRule="auto"/>
            </w:pPr>
            <w:r>
              <w:rPr>
                <w:sz w:val="20"/>
                <w:szCs w:val="20"/>
              </w:rPr>
              <w:t>Calidad de los datos de origen (nulos, inconsistencias, duplicados).</w:t>
            </w:r>
          </w:p>
        </w:tc>
        <w:tc>
          <w:tcPr>
            <w:tcW w:w="3000" w:type="dxa"/>
            <w:shd w:val="clear" w:color="auto" w:fill="F2F2F2"/>
            <w:tcMar>
              <w:top w:w="80" w:type="dxa"/>
              <w:left w:w="100" w:type="dxa"/>
              <w:bottom w:w="80" w:type="dxa"/>
              <w:right w:w="100" w:type="dxa"/>
            </w:tcMar>
            <w:vAlign w:val="center"/>
          </w:tcPr>
          <w:p w14:paraId="58C0F405" w14:textId="77777777" w:rsidR="003A401F" w:rsidRDefault="00B038DC" w:rsidP="00A72B38">
            <w:pPr>
              <w:spacing w:line="360" w:lineRule="auto"/>
            </w:pPr>
            <w:r>
              <w:rPr>
                <w:sz w:val="20"/>
                <w:szCs w:val="20"/>
              </w:rPr>
              <w:t>Redujo el tiempo disponible para medidas DAX avanzadas u otros datasets.</w:t>
            </w:r>
          </w:p>
        </w:tc>
        <w:tc>
          <w:tcPr>
            <w:tcW w:w="2950" w:type="dxa"/>
            <w:shd w:val="clear" w:color="auto" w:fill="F2F2F2"/>
            <w:tcMar>
              <w:top w:w="80" w:type="dxa"/>
              <w:left w:w="100" w:type="dxa"/>
              <w:bottom w:w="80" w:type="dxa"/>
              <w:right w:w="100" w:type="dxa"/>
            </w:tcMar>
            <w:vAlign w:val="center"/>
          </w:tcPr>
          <w:p w14:paraId="7D5E3E67" w14:textId="77777777" w:rsidR="003A401F" w:rsidRDefault="00B038DC" w:rsidP="00A72B38">
            <w:pPr>
              <w:spacing w:line="360" w:lineRule="auto"/>
            </w:pPr>
            <w:r>
              <w:rPr>
                <w:sz w:val="20"/>
                <w:szCs w:val="20"/>
              </w:rPr>
              <w:t>Mantener un checklist de calidad reutilizable para la capa Silver en futuras cargas.</w:t>
            </w:r>
          </w:p>
        </w:tc>
      </w:tr>
      <w:tr w:rsidR="003A401F" w14:paraId="0716C658" w14:textId="77777777">
        <w:tc>
          <w:tcPr>
            <w:tcW w:w="3400" w:type="dxa"/>
            <w:shd w:val="clear" w:color="auto" w:fill="FFFFFF"/>
            <w:tcMar>
              <w:top w:w="80" w:type="dxa"/>
              <w:left w:w="100" w:type="dxa"/>
              <w:bottom w:w="80" w:type="dxa"/>
              <w:right w:w="100" w:type="dxa"/>
            </w:tcMar>
            <w:vAlign w:val="center"/>
          </w:tcPr>
          <w:p w14:paraId="6F7020AF" w14:textId="77777777" w:rsidR="003A401F" w:rsidRDefault="00B038DC" w:rsidP="00A72B38">
            <w:pPr>
              <w:spacing w:line="360" w:lineRule="auto"/>
            </w:pPr>
            <w:r>
              <w:rPr>
                <w:sz w:val="20"/>
                <w:szCs w:val="20"/>
              </w:rPr>
              <w:t>Entorno de simulación local (no productivo).</w:t>
            </w:r>
          </w:p>
        </w:tc>
        <w:tc>
          <w:tcPr>
            <w:tcW w:w="3000" w:type="dxa"/>
            <w:shd w:val="clear" w:color="auto" w:fill="FFFFFF"/>
            <w:tcMar>
              <w:top w:w="80" w:type="dxa"/>
              <w:left w:w="100" w:type="dxa"/>
              <w:bottom w:w="80" w:type="dxa"/>
              <w:right w:w="100" w:type="dxa"/>
            </w:tcMar>
            <w:vAlign w:val="center"/>
          </w:tcPr>
          <w:p w14:paraId="3BA2D1E9" w14:textId="77777777" w:rsidR="003A401F" w:rsidRDefault="00B038DC" w:rsidP="00A72B38">
            <w:pPr>
              <w:spacing w:line="360" w:lineRule="auto"/>
            </w:pPr>
            <w:r>
              <w:rPr>
                <w:sz w:val="20"/>
                <w:szCs w:val="20"/>
              </w:rPr>
              <w:t>Los tiempos de respuesta observados no representan uso concurrente real.</w:t>
            </w:r>
          </w:p>
        </w:tc>
        <w:tc>
          <w:tcPr>
            <w:tcW w:w="2950" w:type="dxa"/>
            <w:shd w:val="clear" w:color="auto" w:fill="FFFFFF"/>
            <w:tcMar>
              <w:top w:w="80" w:type="dxa"/>
              <w:left w:w="100" w:type="dxa"/>
              <w:bottom w:w="80" w:type="dxa"/>
              <w:right w:w="100" w:type="dxa"/>
            </w:tcMar>
            <w:vAlign w:val="center"/>
          </w:tcPr>
          <w:p w14:paraId="705BA6B1" w14:textId="77777777" w:rsidR="003A401F" w:rsidRDefault="00B038DC" w:rsidP="00A72B38">
            <w:pPr>
              <w:spacing w:line="360" w:lineRule="auto"/>
            </w:pPr>
            <w:r>
              <w:rPr>
                <w:sz w:val="20"/>
                <w:szCs w:val="20"/>
              </w:rPr>
              <w:t>Ejecutar una prueba de carga básica antes de cualquier despliegue institucional.</w:t>
            </w:r>
          </w:p>
        </w:tc>
      </w:tr>
    </w:tbl>
    <w:p w14:paraId="0FC3E321" w14:textId="77777777" w:rsidR="003A401F" w:rsidRDefault="00B038DC" w:rsidP="00A72B38">
      <w:pPr>
        <w:spacing w:before="240" w:after="160" w:line="360" w:lineRule="auto"/>
      </w:pPr>
      <w:r>
        <w:rPr>
          <w:b/>
          <w:bCs/>
        </w:rPr>
        <w:t>Otras limitaciones a considerar:</w:t>
      </w:r>
    </w:p>
    <w:p w14:paraId="68ED3590" w14:textId="77777777" w:rsidR="003A401F" w:rsidRDefault="00B038DC" w:rsidP="00A72B38">
      <w:pPr>
        <w:pStyle w:val="Prrafodelista"/>
        <w:numPr>
          <w:ilvl w:val="0"/>
          <w:numId w:val="1"/>
        </w:numPr>
        <w:spacing w:after="100" w:line="360" w:lineRule="auto"/>
        <w:jc w:val="both"/>
      </w:pPr>
      <w:r>
        <w:rPr>
          <w:b/>
          <w:bCs/>
        </w:rPr>
        <w:t xml:space="preserve">Ausencia de variables socioeconómicas: </w:t>
      </w:r>
      <w:r>
        <w:t>no se dispone de información individual del ciudadano, por lo que el análisis se limita al nivel agregado de sede y ubigeo.</w:t>
      </w:r>
    </w:p>
    <w:p w14:paraId="6F2CC793" w14:textId="77777777" w:rsidR="003A401F" w:rsidRDefault="00B038DC" w:rsidP="00A72B38">
      <w:pPr>
        <w:pStyle w:val="Prrafodelista"/>
        <w:numPr>
          <w:ilvl w:val="0"/>
          <w:numId w:val="1"/>
        </w:numPr>
        <w:spacing w:after="100" w:line="360" w:lineRule="auto"/>
        <w:jc w:val="both"/>
      </w:pPr>
      <w:r>
        <w:rPr>
          <w:b/>
          <w:bCs/>
        </w:rPr>
        <w:t xml:space="preserve">Cobertura del alcance: </w:t>
      </w:r>
      <w:r>
        <w:t>el análisis se restringe a DNI, C4 y Copias Certificadas, dejando fuera otros trámites de menor volumen.</w:t>
      </w:r>
    </w:p>
    <w:p w14:paraId="7BFDB5D9" w14:textId="77777777" w:rsidR="003A401F" w:rsidRDefault="00B038DC" w:rsidP="00A72B38">
      <w:pPr>
        <w:pStyle w:val="Ttulo1"/>
        <w:pBdr>
          <w:bottom w:val="single" w:sz="8" w:space="4" w:color="000000"/>
        </w:pBdr>
        <w:spacing w:before="400" w:after="200" w:line="360" w:lineRule="auto"/>
      </w:pPr>
      <w:bookmarkStart w:id="39" w:name="_Toc235022609"/>
      <w:r>
        <w:rPr>
          <w:b/>
          <w:bCs/>
          <w:color w:val="000000"/>
          <w:sz w:val="30"/>
          <w:szCs w:val="30"/>
        </w:rPr>
        <w:t>18. Trabajos Futuros</w:t>
      </w:r>
      <w:bookmarkEnd w:id="39"/>
    </w:p>
    <w:p w14:paraId="4F364177" w14:textId="77777777" w:rsidR="003A401F" w:rsidRDefault="00B038DC" w:rsidP="00A72B38">
      <w:pPr>
        <w:spacing w:after="160" w:line="360" w:lineRule="auto"/>
        <w:jc w:val="both"/>
      </w:pPr>
      <w:r>
        <w:t>A partir de los resultados obtenidos, se identifican las siguientes líneas de continuidad, orientadas tanto a enriquecer el análisis como a preparar la solución para un escenario de uso más amplio:</w:t>
      </w:r>
    </w:p>
    <w:p w14:paraId="6F7A40FA" w14:textId="77777777" w:rsidR="003A401F" w:rsidRDefault="00B038DC" w:rsidP="00A72B38">
      <w:pPr>
        <w:pStyle w:val="Prrafodelista"/>
        <w:numPr>
          <w:ilvl w:val="0"/>
          <w:numId w:val="1"/>
        </w:numPr>
        <w:spacing w:after="100" w:line="360" w:lineRule="auto"/>
        <w:jc w:val="both"/>
      </w:pPr>
      <w:r>
        <w:rPr>
          <w:b/>
          <w:bCs/>
        </w:rPr>
        <w:t xml:space="preserve">Integración en tiempo real: </w:t>
      </w:r>
      <w:r>
        <w:t>conectar el pipeline a una API oficial de RENIEC para actualizar la capa Bronze de forma incremental, acercando el sistema a un esquema de streaming.</w:t>
      </w:r>
    </w:p>
    <w:p w14:paraId="401BB35A" w14:textId="77777777" w:rsidR="003A401F" w:rsidRDefault="00B038DC" w:rsidP="00A72B38">
      <w:pPr>
        <w:pStyle w:val="Prrafodelista"/>
        <w:numPr>
          <w:ilvl w:val="0"/>
          <w:numId w:val="1"/>
        </w:numPr>
        <w:spacing w:after="100" w:line="360" w:lineRule="auto"/>
        <w:jc w:val="both"/>
      </w:pPr>
      <w:r>
        <w:rPr>
          <w:b/>
          <w:bCs/>
        </w:rPr>
        <w:t xml:space="preserve">Modelos predictivos avanzados: </w:t>
      </w:r>
      <w:r>
        <w:t>incorporar clustering en Python para segmentar el comportamiento ciudadano por zona geográfica y agrupar sedes con patrones de demanda similares, pronosticando picos con mayor exactitud.</w:t>
      </w:r>
    </w:p>
    <w:p w14:paraId="01BC5958" w14:textId="77777777" w:rsidR="003A401F" w:rsidRDefault="00B038DC" w:rsidP="00A72B38">
      <w:pPr>
        <w:pStyle w:val="Prrafodelista"/>
        <w:numPr>
          <w:ilvl w:val="0"/>
          <w:numId w:val="1"/>
        </w:numPr>
        <w:spacing w:after="100" w:line="360" w:lineRule="auto"/>
        <w:jc w:val="both"/>
      </w:pPr>
      <w:r>
        <w:rPr>
          <w:b/>
          <w:bCs/>
        </w:rPr>
        <w:lastRenderedPageBreak/>
        <w:t xml:space="preserve">Escalabilidad de la arquitectura: </w:t>
      </w:r>
      <w:r>
        <w:t>evaluar un portal web interactivo bajo un patrón Backend For Frontend (BFF), que exponga una capa de servicios intermedia entre el modelo Gold y los distintos clientes (web, móvil, dashboards internos).</w:t>
      </w:r>
    </w:p>
    <w:p w14:paraId="31BC29AF" w14:textId="77777777" w:rsidR="003A401F" w:rsidRDefault="00B038DC" w:rsidP="00A72B38">
      <w:pPr>
        <w:pStyle w:val="Prrafodelista"/>
        <w:numPr>
          <w:ilvl w:val="0"/>
          <w:numId w:val="1"/>
        </w:numPr>
        <w:spacing w:after="100" w:line="360" w:lineRule="auto"/>
        <w:jc w:val="both"/>
      </w:pPr>
      <w:r>
        <w:rPr>
          <w:b/>
          <w:bCs/>
        </w:rPr>
        <w:t xml:space="preserve">Migración a la nube: </w:t>
      </w:r>
      <w:r>
        <w:t>escalar Docker, MinIO y SQL Server hacia servicios administrados (Azure o AWS) para un despliegue productivo con mayor capacidad y disponibilidad.</w:t>
      </w:r>
    </w:p>
    <w:p w14:paraId="1A97F891" w14:textId="77777777" w:rsidR="003A401F" w:rsidRDefault="00B038DC" w:rsidP="00A72B38">
      <w:pPr>
        <w:pStyle w:val="Prrafodelista"/>
        <w:numPr>
          <w:ilvl w:val="0"/>
          <w:numId w:val="1"/>
        </w:numPr>
        <w:spacing w:after="100" w:line="360" w:lineRule="auto"/>
        <w:jc w:val="both"/>
      </w:pPr>
      <w:r>
        <w:rPr>
          <w:b/>
          <w:bCs/>
        </w:rPr>
        <w:t xml:space="preserve">Ampliación del alcance: </w:t>
      </w:r>
      <w:r>
        <w:t>incluir nuevos trámites, fuentes de datos e indicadores de satisfacción ciudadana, hasta cubrir progresivamente la totalidad de los servicios de RENIEC.</w:t>
      </w:r>
    </w:p>
    <w:p w14:paraId="32A2262E" w14:textId="77777777" w:rsidR="003A401F" w:rsidRDefault="00B038DC" w:rsidP="00A72B38">
      <w:pPr>
        <w:pStyle w:val="Ttulo1"/>
        <w:pBdr>
          <w:bottom w:val="single" w:sz="8" w:space="4" w:color="000000"/>
        </w:pBdr>
        <w:spacing w:before="400" w:after="200" w:line="360" w:lineRule="auto"/>
      </w:pPr>
      <w:bookmarkStart w:id="40" w:name="_Toc235022610"/>
      <w:r>
        <w:rPr>
          <w:b/>
          <w:bCs/>
          <w:color w:val="000000"/>
          <w:sz w:val="30"/>
          <w:szCs w:val="30"/>
        </w:rPr>
        <w:t>19. Conclusiones</w:t>
      </w:r>
      <w:bookmarkEnd w:id="40"/>
    </w:p>
    <w:p w14:paraId="119F8283" w14:textId="77777777" w:rsidR="003A401F" w:rsidRDefault="00B038DC" w:rsidP="00A72B38">
      <w:pPr>
        <w:spacing w:after="160" w:line="360" w:lineRule="auto"/>
        <w:jc w:val="both"/>
      </w:pPr>
      <w:r>
        <w:t>El proyecto demuestra que es posible transformar cuatro fuentes de datos abiertos de RENIEC en un sistema de Inteligencia de Negocios completo, reproducible en contenedores Docker y capaz de exponer, mediante Power BI, una vista operativa y estratégica de la demanda ciudadana.</w:t>
      </w:r>
    </w:p>
    <w:p w14:paraId="2F5EA03A" w14:textId="77777777" w:rsidR="003A401F" w:rsidRDefault="00B038DC" w:rsidP="00A72B38">
      <w:pPr>
        <w:spacing w:after="160" w:line="360" w:lineRule="auto"/>
        <w:jc w:val="both"/>
      </w:pPr>
      <w:r>
        <w:t>El resultado final —el dashboard presentado en la sección 15— confirma que la arquitectura Medallón, la orquestación con Apache Airflow y el modelo estrella en la capa Gold permiten identificar con precisión las sedes más saturadas y anticipar picos de demanda, cumpliendo el objetivo general planteado al inicio del proyecto.</w:t>
      </w:r>
    </w:p>
    <w:p w14:paraId="5C35933B" w14:textId="77777777" w:rsidR="003A401F" w:rsidRDefault="00B038DC" w:rsidP="00A72B38">
      <w:pPr>
        <w:spacing w:after="160" w:line="360" w:lineRule="auto"/>
        <w:jc w:val="both"/>
      </w:pPr>
      <w:r>
        <w:t>Persisten limitaciones esperables en un entorno académico y de simulación, principalmente la ausencia de datos en tiempo real y el uso de un entorno local en lugar de uno productivo; sin embargo, el diseño modular de la solución facilita abordar estas limitaciones en las líneas de trabajo futuro descritas en la sección 18.</w:t>
      </w:r>
    </w:p>
    <w:p w14:paraId="4D120D5D" w14:textId="77777777" w:rsidR="003A401F" w:rsidRDefault="00B038DC" w:rsidP="00A72B38">
      <w:pPr>
        <w:pStyle w:val="Ttulo1"/>
        <w:pBdr>
          <w:bottom w:val="single" w:sz="8" w:space="4" w:color="000000"/>
        </w:pBdr>
        <w:spacing w:before="400" w:after="200" w:line="360" w:lineRule="auto"/>
      </w:pPr>
      <w:bookmarkStart w:id="41" w:name="_Toc235022611"/>
      <w:r>
        <w:rPr>
          <w:b/>
          <w:bCs/>
          <w:color w:val="000000"/>
          <w:sz w:val="30"/>
          <w:szCs w:val="30"/>
        </w:rPr>
        <w:t>20. Anexos</w:t>
      </w:r>
      <w:bookmarkEnd w:id="41"/>
    </w:p>
    <w:p w14:paraId="48979A14" w14:textId="77777777" w:rsidR="003A401F" w:rsidRDefault="00B038DC" w:rsidP="00A72B38">
      <w:pPr>
        <w:spacing w:after="160" w:line="360" w:lineRule="auto"/>
        <w:jc w:val="both"/>
      </w:pPr>
      <w:r>
        <w:t>Fuentes de datos abiertos utilizadas en el proyecto:</w:t>
      </w:r>
    </w:p>
    <w:p w14:paraId="7AFEBD51" w14:textId="77777777" w:rsidR="003A401F" w:rsidRDefault="00B038DC" w:rsidP="00A72B38">
      <w:pPr>
        <w:spacing w:after="140" w:line="360" w:lineRule="auto"/>
      </w:pPr>
      <w:r>
        <w:rPr>
          <w:color w:val="0563C1"/>
          <w:sz w:val="20"/>
          <w:szCs w:val="20"/>
          <w:u w:val="single"/>
        </w:rPr>
        <w:t>https://www.datosabiertos.gob.pe/dataset/reniec-cantidad-de-certificados-de-inscripci%C3%B3n-c4-emitidos-registro-nacional-de</w:t>
      </w:r>
    </w:p>
    <w:p w14:paraId="19B1B447" w14:textId="77777777" w:rsidR="003A401F" w:rsidRDefault="00B038DC" w:rsidP="00A72B38">
      <w:pPr>
        <w:spacing w:after="140" w:line="360" w:lineRule="auto"/>
      </w:pPr>
      <w:r>
        <w:rPr>
          <w:color w:val="0563C1"/>
          <w:sz w:val="20"/>
          <w:szCs w:val="20"/>
          <w:u w:val="single"/>
        </w:rPr>
        <w:t>https://www.datosabiertos.gob.pe/dataset/reniec-cantidad-de-copias-certificadas-emitidas-mensualmente-por-lugar-de-domicilio-y-genero</w:t>
      </w:r>
    </w:p>
    <w:p w14:paraId="515DD857" w14:textId="77777777" w:rsidR="003A401F" w:rsidRDefault="00B038DC" w:rsidP="00A72B38">
      <w:pPr>
        <w:spacing w:after="140" w:line="360" w:lineRule="auto"/>
      </w:pPr>
      <w:r>
        <w:rPr>
          <w:color w:val="0563C1"/>
          <w:sz w:val="20"/>
          <w:szCs w:val="20"/>
          <w:u w:val="single"/>
        </w:rPr>
        <w:t>https://www.datosabiertos.gob.pe/dataset/reniec-tr%C3%A1mites-realizados-por-los-ciudadanos-en-las-oficinas-de-atenci%C3%B3n-registro-nacional</w:t>
      </w:r>
    </w:p>
    <w:p w14:paraId="18416590" w14:textId="77777777" w:rsidR="003A401F" w:rsidRDefault="00B038DC" w:rsidP="00A72B38">
      <w:pPr>
        <w:spacing w:after="140" w:line="360" w:lineRule="auto"/>
      </w:pPr>
      <w:r>
        <w:rPr>
          <w:color w:val="0563C1"/>
          <w:sz w:val="20"/>
          <w:szCs w:val="20"/>
          <w:u w:val="single"/>
        </w:rPr>
        <w:lastRenderedPageBreak/>
        <w:t>https://www.datosabiertos.gob.pe/dataset/reniec-centros-de-atenci%C3%B3n-del-reniec-nivel-nacional-registro-nacional-de-identificaci%C3%B3n-y</w:t>
      </w:r>
    </w:p>
    <w:sectPr w:rsidR="003A401F">
      <w:footerReference w:type="default" r:id="rId18"/>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9C8A2" w14:textId="77777777" w:rsidR="00B038DC" w:rsidRDefault="00B038DC">
      <w:r>
        <w:separator/>
      </w:r>
    </w:p>
  </w:endnote>
  <w:endnote w:type="continuationSeparator" w:id="0">
    <w:p w14:paraId="554EB667" w14:textId="77777777" w:rsidR="00B038DC" w:rsidRDefault="00B03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4B10E" w14:textId="77777777" w:rsidR="003A401F" w:rsidRDefault="00B038DC">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A72B38">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7280C7" w14:textId="77777777" w:rsidR="00B038DC" w:rsidRDefault="00B038DC">
      <w:r>
        <w:separator/>
      </w:r>
    </w:p>
  </w:footnote>
  <w:footnote w:type="continuationSeparator" w:id="0">
    <w:p w14:paraId="71342310" w14:textId="77777777" w:rsidR="00B038DC" w:rsidRDefault="00B038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9A1BC4"/>
    <w:multiLevelType w:val="hybridMultilevel"/>
    <w:tmpl w:val="B6209DBE"/>
    <w:lvl w:ilvl="0" w:tplc="EF007840">
      <w:start w:val="1"/>
      <w:numFmt w:val="bullet"/>
      <w:lvlText w:val="●"/>
      <w:lvlJc w:val="left"/>
      <w:pPr>
        <w:ind w:left="720" w:hanging="360"/>
      </w:pPr>
    </w:lvl>
    <w:lvl w:ilvl="1" w:tplc="C30C1E26">
      <w:start w:val="1"/>
      <w:numFmt w:val="bullet"/>
      <w:lvlText w:val="○"/>
      <w:lvlJc w:val="left"/>
      <w:pPr>
        <w:ind w:left="1440" w:hanging="360"/>
      </w:pPr>
    </w:lvl>
    <w:lvl w:ilvl="2" w:tplc="DDB27340">
      <w:start w:val="1"/>
      <w:numFmt w:val="bullet"/>
      <w:lvlText w:val="■"/>
      <w:lvlJc w:val="left"/>
      <w:pPr>
        <w:ind w:left="2160" w:hanging="360"/>
      </w:pPr>
    </w:lvl>
    <w:lvl w:ilvl="3" w:tplc="BC1AC666">
      <w:start w:val="1"/>
      <w:numFmt w:val="bullet"/>
      <w:lvlText w:val="●"/>
      <w:lvlJc w:val="left"/>
      <w:pPr>
        <w:ind w:left="2880" w:hanging="360"/>
      </w:pPr>
    </w:lvl>
    <w:lvl w:ilvl="4" w:tplc="C2AE36C0">
      <w:start w:val="1"/>
      <w:numFmt w:val="bullet"/>
      <w:lvlText w:val="○"/>
      <w:lvlJc w:val="left"/>
      <w:pPr>
        <w:ind w:left="3600" w:hanging="360"/>
      </w:pPr>
    </w:lvl>
    <w:lvl w:ilvl="5" w:tplc="D6DA2A0E">
      <w:start w:val="1"/>
      <w:numFmt w:val="bullet"/>
      <w:lvlText w:val="■"/>
      <w:lvlJc w:val="left"/>
      <w:pPr>
        <w:ind w:left="4320" w:hanging="360"/>
      </w:pPr>
    </w:lvl>
    <w:lvl w:ilvl="6" w:tplc="D7C2C352">
      <w:start w:val="1"/>
      <w:numFmt w:val="bullet"/>
      <w:lvlText w:val="●"/>
      <w:lvlJc w:val="left"/>
      <w:pPr>
        <w:ind w:left="5040" w:hanging="360"/>
      </w:pPr>
    </w:lvl>
    <w:lvl w:ilvl="7" w:tplc="A6EE70F0">
      <w:start w:val="1"/>
      <w:numFmt w:val="bullet"/>
      <w:lvlText w:val="●"/>
      <w:lvlJc w:val="left"/>
      <w:pPr>
        <w:ind w:left="5760" w:hanging="360"/>
      </w:pPr>
    </w:lvl>
    <w:lvl w:ilvl="8" w:tplc="40D6D02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01F"/>
    <w:rsid w:val="0024444A"/>
    <w:rsid w:val="00260688"/>
    <w:rsid w:val="003A401F"/>
    <w:rsid w:val="00741B5F"/>
    <w:rsid w:val="00A55779"/>
    <w:rsid w:val="00A72B38"/>
    <w:rsid w:val="00B038DC"/>
    <w:rsid w:val="00FE1D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31557"/>
  <w15:docId w15:val="{D31558C0-F547-4C19-A9ED-F03B10088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A72B38"/>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DC1">
    <w:name w:val="toc 1"/>
    <w:basedOn w:val="Normal"/>
    <w:next w:val="Normal"/>
    <w:autoRedefine/>
    <w:uiPriority w:val="39"/>
    <w:unhideWhenUsed/>
    <w:rsid w:val="00A72B38"/>
    <w:pPr>
      <w:spacing w:after="100"/>
    </w:pPr>
  </w:style>
  <w:style w:type="paragraph" w:styleId="TDC2">
    <w:name w:val="toc 2"/>
    <w:basedOn w:val="Normal"/>
    <w:next w:val="Normal"/>
    <w:autoRedefine/>
    <w:uiPriority w:val="39"/>
    <w:unhideWhenUsed/>
    <w:rsid w:val="00A72B3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1AE6B3-2424-45A3-8F7C-1B209A4F5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9</Pages>
  <Words>4701</Words>
  <Characters>25861</Characters>
  <Application>Microsoft Office Word</Application>
  <DocSecurity>0</DocSecurity>
  <Lines>215</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AXL MIKEL CRISOSTOMO ALTAMIRANO</cp:lastModifiedBy>
  <cp:revision>6</cp:revision>
  <dcterms:created xsi:type="dcterms:W3CDTF">2026-07-08T21:23:00Z</dcterms:created>
  <dcterms:modified xsi:type="dcterms:W3CDTF">2026-07-15T20:42:00Z</dcterms:modified>
</cp:coreProperties>
</file>