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Arial" w:cs="Arial" w:eastAsia="Arial" w:hAnsi="Arial"/>
          <w:b/>
          <w:bCs/>
          <w:color w:val="0A6ED1"/>
          <w:sz w:val="48"/>
          <w:szCs w:val="48"/>
        </w:rPr>
        <w:t xml:space="preserve">Pedidos de Compras — Especificação Técnica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i/>
          <w:iCs/>
          <w:color w:val="5B6770"/>
          <w:sz w:val="24"/>
          <w:szCs w:val="24"/>
        </w:rPr>
        <w:t xml:space="preserve">SAP RAP · SAP BTP, ABAP environment e SAP S/4HANA On-Premise · SAP Fiori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9"/>
        <w:gridCol w:w="7097"/>
      </w:tblGrid>
      <w:tr>
        <w:trPr>
          <w:tblHeader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Documento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Especificação técnica — requisitos de construção da solução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3.2 (21/10/2026)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Ambientes-alvo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BTP, ABAP environment (ABAP Cloud) e SAP S/4HANA On-Premise 2025 ou superior (Standard ABAP)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Diagramas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docs/pedidos-de-compras.drawio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(uma página por diagrama), exportados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assets/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Sumário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Objetivo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Escopo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Ambientes de implementação e arquitetura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4. </w:t>
      </w:r>
      <w:r>
        <w:rPr>
          <w:rFonts w:ascii="Arial" w:cs="Arial" w:eastAsia="Arial" w:hAnsi="Arial"/>
          <w:sz w:val="20"/>
          <w:szCs w:val="20"/>
        </w:rPr>
        <w:t xml:space="preserve">Padrão de nomenclatura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5. </w:t>
      </w:r>
      <w:r>
        <w:rPr>
          <w:rFonts w:ascii="Arial" w:cs="Arial" w:eastAsia="Arial" w:hAnsi="Arial"/>
          <w:sz w:val="20"/>
          <w:szCs w:val="20"/>
        </w:rPr>
        <w:t xml:space="preserve">Perfis de usuário e permissões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6. </w:t>
      </w:r>
      <w:r>
        <w:rPr>
          <w:rFonts w:ascii="Arial" w:cs="Arial" w:eastAsia="Arial" w:hAnsi="Arial"/>
          <w:sz w:val="20"/>
          <w:szCs w:val="20"/>
        </w:rPr>
        <w:t xml:space="preserve">Autenticação e autorização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7. </w:t>
      </w:r>
      <w:r>
        <w:rPr>
          <w:rFonts w:ascii="Arial" w:cs="Arial" w:eastAsia="Arial" w:hAnsi="Arial"/>
          <w:sz w:val="20"/>
          <w:szCs w:val="20"/>
        </w:rPr>
        <w:t xml:space="preserve">Modelo de dados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8. </w:t>
      </w:r>
      <w:r>
        <w:rPr>
          <w:rFonts w:ascii="Arial" w:cs="Arial" w:eastAsia="Arial" w:hAnsi="Arial"/>
          <w:sz w:val="20"/>
          <w:szCs w:val="20"/>
        </w:rPr>
        <w:t xml:space="preserve">Business Objects RAP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9. </w:t>
      </w:r>
      <w:r>
        <w:rPr>
          <w:rFonts w:ascii="Arial" w:cs="Arial" w:eastAsia="Arial" w:hAnsi="Arial"/>
          <w:sz w:val="20"/>
          <w:szCs w:val="20"/>
        </w:rPr>
        <w:t xml:space="preserve">Comunicação entre as aplicações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10. </w:t>
      </w:r>
      <w:r>
        <w:rPr>
          <w:rFonts w:ascii="Arial" w:cs="Arial" w:eastAsia="Arial" w:hAnsi="Arial"/>
          <w:sz w:val="20"/>
          <w:szCs w:val="20"/>
        </w:rPr>
        <w:t xml:space="preserve">Regras de negócio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11. </w:t>
      </w:r>
      <w:r>
        <w:rPr>
          <w:rFonts w:ascii="Arial" w:cs="Arial" w:eastAsia="Arial" w:hAnsi="Arial"/>
          <w:sz w:val="20"/>
          <w:szCs w:val="20"/>
        </w:rPr>
        <w:t xml:space="preserve">Fluxo de status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12. </w:t>
      </w:r>
      <w:r>
        <w:rPr>
          <w:rFonts w:ascii="Arial" w:cs="Arial" w:eastAsia="Arial" w:hAnsi="Arial"/>
          <w:sz w:val="20"/>
          <w:szCs w:val="20"/>
        </w:rPr>
        <w:t xml:space="preserve">Reserva, baixa, liberação e concorrência de estoque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13. </w:t>
      </w:r>
      <w:r>
        <w:rPr>
          <w:rFonts w:ascii="Arial" w:cs="Arial" w:eastAsia="Arial" w:hAnsi="Arial"/>
          <w:sz w:val="20"/>
          <w:szCs w:val="20"/>
        </w:rPr>
        <w:t xml:space="preserve">Reembolso de pedidos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14. </w:t>
      </w:r>
      <w:r>
        <w:rPr>
          <w:rFonts w:ascii="Arial" w:cs="Arial" w:eastAsia="Arial" w:hAnsi="Arial"/>
          <w:sz w:val="20"/>
          <w:szCs w:val="20"/>
        </w:rPr>
        <w:t xml:space="preserve">Pagamento simulado com cartão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15. </w:t>
      </w:r>
      <w:r>
        <w:rPr>
          <w:rFonts w:ascii="Arial" w:cs="Arial" w:eastAsia="Arial" w:hAnsi="Arial"/>
          <w:sz w:val="20"/>
          <w:szCs w:val="20"/>
        </w:rPr>
        <w:t xml:space="preserve">Cálculos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16. </w:t>
      </w:r>
      <w:r>
        <w:rPr>
          <w:rFonts w:ascii="Arial" w:cs="Arial" w:eastAsia="Arial" w:hAnsi="Arial"/>
          <w:sz w:val="20"/>
          <w:szCs w:val="20"/>
        </w:rPr>
        <w:t xml:space="preserve">Endereço e integração com o ViaCEP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17. </w:t>
      </w:r>
      <w:r>
        <w:rPr>
          <w:rFonts w:ascii="Arial" w:cs="Arial" w:eastAsia="Arial" w:hAnsi="Arial"/>
          <w:sz w:val="20"/>
          <w:szCs w:val="20"/>
        </w:rPr>
        <w:t xml:space="preserve">Importação em massa por planilha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18. </w:t>
      </w:r>
      <w:r>
        <w:rPr>
          <w:rFonts w:ascii="Arial" w:cs="Arial" w:eastAsia="Arial" w:hAnsi="Arial"/>
          <w:sz w:val="20"/>
          <w:szCs w:val="20"/>
        </w:rPr>
        <w:t xml:space="preserve">Interface do usuário — SAP Fiori Elements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19. </w:t>
      </w:r>
      <w:r>
        <w:rPr>
          <w:rFonts w:ascii="Arial" w:cs="Arial" w:eastAsia="Arial" w:hAnsi="Arial"/>
          <w:sz w:val="20"/>
          <w:szCs w:val="20"/>
        </w:rPr>
        <w:t xml:space="preserve">Camada analítica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20. </w:t>
      </w:r>
      <w:r>
        <w:rPr>
          <w:rFonts w:ascii="Arial" w:cs="Arial" w:eastAsia="Arial" w:hAnsi="Arial"/>
          <w:sz w:val="20"/>
          <w:szCs w:val="20"/>
        </w:rPr>
        <w:t xml:space="preserve">Actions, validations e determinations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21. </w:t>
      </w:r>
      <w:r>
        <w:rPr>
          <w:rFonts w:ascii="Arial" w:cs="Arial" w:eastAsia="Arial" w:hAnsi="Arial"/>
          <w:sz w:val="20"/>
          <w:szCs w:val="20"/>
        </w:rPr>
        <w:t xml:space="preserve">Mensagens de erro e sucesso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22. </w:t>
      </w:r>
      <w:r>
        <w:rPr>
          <w:rFonts w:ascii="Arial" w:cs="Arial" w:eastAsia="Arial" w:hAnsi="Arial"/>
          <w:sz w:val="20"/>
          <w:szCs w:val="20"/>
        </w:rPr>
        <w:t xml:space="preserve">Critérios de aceite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23. </w:t>
      </w:r>
      <w:r>
        <w:rPr>
          <w:rFonts w:ascii="Arial" w:cs="Arial" w:eastAsia="Arial" w:hAnsi="Arial"/>
          <w:sz w:val="20"/>
          <w:szCs w:val="20"/>
        </w:rPr>
        <w:t xml:space="preserve">Estrutura de pacotes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24. </w:t>
      </w:r>
      <w:r>
        <w:rPr>
          <w:rFonts w:ascii="Arial" w:cs="Arial" w:eastAsia="Arial" w:hAnsi="Arial"/>
          <w:sz w:val="20"/>
          <w:szCs w:val="20"/>
        </w:rPr>
        <w:t xml:space="preserve">Implantação e operação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25. </w:t>
      </w:r>
      <w:r>
        <w:rPr>
          <w:rFonts w:ascii="Arial" w:cs="Arial" w:eastAsia="Arial" w:hAnsi="Arial"/>
          <w:sz w:val="20"/>
          <w:szCs w:val="20"/>
        </w:rPr>
        <w:t xml:space="preserve">Testes automatizados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26. </w:t>
      </w:r>
      <w:r>
        <w:rPr>
          <w:rFonts w:ascii="Arial" w:cs="Arial" w:eastAsia="Arial" w:hAnsi="Arial"/>
          <w:sz w:val="20"/>
          <w:szCs w:val="20"/>
        </w:rPr>
        <w:t xml:space="preserve">Considerações de segurança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27. </w:t>
      </w:r>
      <w:r>
        <w:rPr>
          <w:rFonts w:ascii="Arial" w:cs="Arial" w:eastAsia="Arial" w:hAnsi="Arial"/>
          <w:sz w:val="20"/>
          <w:szCs w:val="20"/>
        </w:rPr>
        <w:t xml:space="preserve">Restrições técnicas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Construir uma solução educacional de pedidos de compras com o SAP RAP (ABAP RESTful Application Programming Model) e o SAP Fiori Elements, organizada em quatro aplicações desacopladas — Gestão de Clientes, Gestão de Estoque, Pedidos de Compras e Gestão de Reembolsos — e quatro aplicações de análise somente leitura.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solução deve contemplar o cadastro de clientes, endereços e itens de estoque, a criação de pedidos em draft, o registro do pedido com reserva de estoque, o pagamento simulado, a aprovação com baixa de estoque, o cancelamento (com solicitação e decisão de reembolso quando o pagamento já foi aprovado), a liberação de reserva e snapshots históricos imutáveis.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mesmo código RAP deve ser implantável em dois ambientes: no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BTP, ABAP environment</w:t>
      </w:r>
      <w:r>
        <w:rPr>
          <w:rFonts w:ascii="Arial" w:cs="Arial" w:eastAsia="Arial" w:hAnsi="Arial"/>
          <w:sz w:val="20"/>
          <w:szCs w:val="20"/>
        </w:rPr>
        <w:t xml:space="preserve"> (ABAP Cloud) e num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S/4HANA On-Premise</w:t>
      </w:r>
      <w:r>
        <w:rPr>
          <w:rFonts w:ascii="Arial" w:cs="Arial" w:eastAsia="Arial" w:hAnsi="Arial"/>
          <w:sz w:val="20"/>
          <w:szCs w:val="20"/>
        </w:rPr>
        <w:t xml:space="preserve"> (pacotes Standard ABAP). Nos dois ambientes a solução usa CDS View Entities, Behavior Definitions, Behavior Implementations, Service Definitions e Service Bindings OData V4; só a configuração da plataforma (segurança, conectividade, launchpad e transporte) muda de um para o outro.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Escopo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Incluído no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Clientes: cadastro, consulta, edição, ativação, inativação e exclusão controlada.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Múltiplos endereços por cliente, com apenas um endereço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Validação de CEP e preenchimento automático do endereço pelo serviço público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Estoque: cadastro, consulta, edição, exclusão e inativação controladas de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estoque com quantidade total, reservada e disponível.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Pedidos de Compras, que consome clientes e itens por views reutilizáveis, value helps e associações.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em draft, sem reserva de estoque enquanto forem rascunho.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 do pedido ao salvar o rascunho, com validação, cálculo do total, fixação de preço e reserva de estoque — sem action de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Edição dos itens do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com ajuste da reserva pela diferença; o cliente não pode ser trocado.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Page dinâmica do pedido, com seções exibidas conforme o status e dados vindos dos snapshots nos pedidos encerrados.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simulado com cartão de crédito ou débito, sem persistência de dados sensíveis, com nova tentativa em caso de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Aprovação do pedido com baixa de estoque, geração de snapshots e imutabilidade do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Cancelamento com motivo obrigatório; com pagamento aprovado, abertura de uma solicitação de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Reembolsos, com as actions Aprovar reembolso e Rejeitar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Importação em massa de clientes, itens e pedidos por planilha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Serviços, bindings, catálogos e tiles separados por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perfil (comum e administrador) nos dois ambientes.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concorrência nas operações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analítica somente leitura com quatro aplicações SAPUI5 freestyle, uma por domínio, com 5 análises 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entre aplicações pelo SAP Fiori launchpad.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ABAP Unit permanentes para as regras de negócio.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Fora do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Gestão de entrega, frete, transportadoras ou rastreamento.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real com gateway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Armazenamento do número completo do cartão, CVV ou validade.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de tentativas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Auditoria avançada de alterações, logs técnicos e monitoramento produtivo.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de interface automatizados de ponta a ponta.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externo (internet) às aplicações no ambiente On-Premise.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por clientes reais.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Ambientes de implementação e arquitetura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 Ambientes-alvo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3391"/>
        <w:gridCol w:w="3856"/>
      </w:tblGrid>
      <w:tr>
        <w:trPr>
          <w:tblHeader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 corrente do ABAP environment (Trial ou pago)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S/4HANA 2025 (ABAP Platform 2025) ou superior; vale também para a Private Edition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 de linguagem dos pacotes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 for Cloud Development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Standard ABAP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RAP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Ferramenta de desenvolvimento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no Eclipse ou no VS Code (extensão ABAP Development Tools, conexão HTTP)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no Eclipse ou no VS Code (conexão RFC, a partir do S/4HANA 2025) e SAP GUI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Identidade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ID service ou Identity Authentication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SSO por SAML 2.0 ou Kerberos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Autorização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 e Business Roles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com o ViaCEP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por URL ou Communication Arrangement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certificados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OData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 ou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/IWFND/V4_ADMIN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Launchpad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ou launchpad do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launchpad embarcado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Transporte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Software component (gCTS)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Ordens Workbench e Customizing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STMS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DEV → QAS → PRD)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Responsabilidade da empresa (ou da SAP na Private Edition)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fontes devem ser escritos no subconjunto ABAP Cloud (APIs liberadas,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), para que ativem nos dois ambientes. A única classe com implementação diferente por ambiente é a de integração com o ViaCEP (seção 16), que deve manter a mesma interface pública nas duas versões.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3.2 Camadas tecnológicas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67"/>
        <w:gridCol w:w="3979"/>
      </w:tblGrid>
      <w:tr>
        <w:trPr>
          <w:tblHeader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Persistência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do ABAP Dictionary no SAP HANA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draft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todas as entidades com draft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CDS View Entities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projeções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ZC_*_APP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value helps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ZC_*_VH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cubos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consultas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ZC_*_ANALISE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Comportamento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RAP managed com draft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Validations, determinations, actions, feature control, authorization control e EML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OData V4 (Service Definition + Service Binding UI)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serviço por aplicação de gestão e um serviço analítico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Front-end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Elements V4 e SAPUI5 freestyle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 Report + Object Page nas aplicações de gestão;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sap.viz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$apply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nas análises; SAPUI5 ≥ 1.136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Portal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(BTP) ou SAP Fiori launchpad (On-Premise)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tile por aplicação, com navegação por semantic object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pública ViaCEP (HTTPS)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CEP no backend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3.3 Arquitetura no SAP BTP, ABAP environment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arquitetura.png" descr="Arquitetura no SAP BTP, ABAP environment: usuários e Work Zone, apps (BSP), serviços OData V4, BOs RAP, camada analítica, SAP HANA e a API ViaCEP" title="Figura 1 — Arquitetura no SAP BTP, ABAP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 — Arquitetura no SAP BTP, ABAP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oito aplicações são publicadas como BSPs no ABAP repository e acessadas pelo SAP Build Work 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 aplicação de gestão chama o próprio serviço OData V4; as quatro análises usam o serviço analítico.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BOs RAP se comunicam por EML na mesma LUW; o BO Cliente consulta a API ViaCEP.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3.4 Arquitetura no SAP S/4HANA On-Premise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arquitetura-onpremise.png" descr="Arquitetura On-Premise: SAP Web Dispatcher, SAP Fiori launchpad e SAP Gateway embarcados, BOs RAP em pacotes Standard ABAP, destination SM59 e STRUST, proxy, firewall e API ViaCEP" title="Figura 2 — Arquitetura no SAP S/4HANA On-Prem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 — Arquitetura no SAP S/4HANA On-Premise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usuário acessa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Web Dispatcher</w:t>
      </w:r>
      <w:r>
        <w:rPr>
          <w:rFonts w:ascii="Arial" w:cs="Arial" w:eastAsia="Arial" w:hAnsi="Arial"/>
          <w:sz w:val="20"/>
          <w:szCs w:val="20"/>
        </w:rPr>
        <w:t xml:space="preserve"> (HTTPS), ponto único de entrada da intranet, com 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Fiori launchpad</w:t>
      </w:r>
      <w:r>
        <w:rPr>
          <w:rFonts w:ascii="Arial" w:cs="Arial" w:eastAsia="Arial" w:hAnsi="Arial"/>
          <w:sz w:val="20"/>
          <w:szCs w:val="20"/>
        </w:rPr>
        <w:t xml:space="preserve"> embarcado exibe os tiles das roles do usuário e abre as aplicações (BSPs servidas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/sap/bc/ui5_ui5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aplicações chamam os serviços OData V4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Gateway</w:t>
      </w:r>
      <w:r>
        <w:rPr>
          <w:rFonts w:ascii="Arial" w:cs="Arial" w:eastAsia="Arial" w:hAnsi="Arial"/>
          <w:sz w:val="20"/>
          <w:szCs w:val="20"/>
        </w:rPr>
        <w:t xml:space="preserve"> embarcado; o acesso a cada grupo de serviços é verificado pelo objeto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serviços expõem os BOs RAP, que funcionam como no BTP; os dados ficam no SAP HANA do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de CEP usa uma destination HTTP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SM59</w:t>
      </w:r>
      <w:r>
        <w:rPr>
          <w:rFonts w:ascii="Arial" w:cs="Arial" w:eastAsia="Arial" w:hAnsi="Arial"/>
          <w:sz w:val="20"/>
          <w:szCs w:val="20"/>
        </w:rPr>
        <w:t xml:space="preserve">) com a confiança TLS 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STRUST</w:t>
      </w:r>
      <w:r>
        <w:rPr>
          <w:rFonts w:ascii="Arial" w:cs="Arial" w:eastAsia="Arial" w:hAnsi="Arial"/>
          <w:sz w:val="20"/>
          <w:szCs w:val="20"/>
        </w:rPr>
        <w:t xml:space="preserve">, sai pelo proxy e atravessa o firewall até a API ViaCEP.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desenvolvimento ocorre no ADT, no Eclipse ou no VS Code (e no SAP GUI para Basis), em DEV, e tudo segue por transporte para QAS e PRD.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3.5 Aplicações e serviços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1275"/>
        <w:gridCol w:w="2469"/>
        <w:gridCol w:w="2585"/>
        <w:gridCol w:w="2184"/>
      </w:tblGrid>
      <w:tr>
        <w:trPr>
          <w:tblHeader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Definition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Binding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Clientes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 e endereços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Estoque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Itens, SKU e quantidades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 de Compras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Ciclo de vida do pedido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Reembolsos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Decisão das solicitações de reembolso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Análises (quatro apps)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SAPUI5 freestyle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Pedidos, clientes, estoque e reembolsos (somente leitura)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Padrão de nomenclatura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2835"/>
        <w:gridCol w:w="3770"/>
      </w:tblGrid>
      <w:tr>
        <w:trPr>
          <w:tblHeader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artefato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Padrão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&lt;prefixo&gt;_PC_*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(prefixo livre; sugestão: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(neste repositório,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ZTA_PC_ITEM_PED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draft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ZTA_PC_ITPED_D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CDS view entity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Projeção de consumo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ZC_PC_*_APP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 help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ZC_PC_*_VH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Cubo / consulta analítica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ZC_PC_*_ANALISE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ZI_PC_PEDIDO_CUBE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Parâmetro de action (abstract entity)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ZPC_A_PAGAMENTO_INPUT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Behavior pool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Definition / Binding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ZUI_PC_*_O4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ZUI_PC_ESTOQUE_O4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Classes, exceções e mensagens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ZCL_PC_AUTH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ZCX_PC_MSG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autorização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BTP: IAM App / Business Catalog / Business Role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classe de objetos / roles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destination HTTP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Aplicações (BSP)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ZPC_ANL_ESTOQUE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prefixo dos pacotes é livre.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, usado neste repositório, é uma escolha pessoal do autor (as iniciais do seu nome completo) e é opcional. Cada projeto define os próprios prefixos; como sugestão genérica, adota-se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 etc.). Os demais prefixos da tabela também podem ser trocados, desde que permaneçam no namespace do cliente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), respeitem o tamanho máximo de cada tipo de objeto e sejam aplicados de forma consistente em todos os artefatos que os referenciam.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Limites técnicos: nomes de tabela têm no máximo 16 caracteres (por isso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ZTA_PC_ITEM_PED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ZTA_PC_SNAP_CLI</w:t>
      </w:r>
      <w:r>
        <w:rPr>
          <w:rFonts w:ascii="Arial" w:cs="Arial" w:eastAsia="Arial" w:hAnsi="Arial"/>
          <w:sz w:val="20"/>
          <w:szCs w:val="20"/>
        </w:rPr>
        <w:t xml:space="preserve"> e as tabelas draft abreviadas); CDS e classes, 30 caracteres. No BTP, o ADT acrescenta o sufixo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_EXT</w:t>
      </w:r>
      <w:r>
        <w:rPr>
          <w:rFonts w:ascii="Arial" w:cs="Arial" w:eastAsia="Arial" w:hAnsi="Arial"/>
          <w:sz w:val="20"/>
          <w:szCs w:val="20"/>
        </w:rPr>
        <w:t xml:space="preserve"> às IAM Apps do tipo External App.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Perfis de usuário e permissões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Usuário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 aplicação Pedidos de Compras e consulta clientes e itens por value helps.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 pedidos em rascunho e altera os itens de pedidos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cria, edita nem exclui clientes e itens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finalizados ou cancelados nem snapshots.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Executar pagamento, aprovação, cancelamento e decisão de reembolso depende da atividade 16 (Executar), concedida conforme o processo da empresa.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Usuário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as quatro aplicações de gestão e 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Cria, edita, ativa, inativa e exclui clientes e itens, respeitando as regras de integridade.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 todas as ações do pedido e do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encerrados nem snapshots e não consulta dados sensíveis de cartão.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Matriz de permissões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6"/>
        <w:gridCol w:w="2562"/>
        <w:gridCol w:w="1404"/>
        <w:gridCol w:w="874"/>
        <w:gridCol w:w="3530"/>
      </w:tblGrid>
      <w:tr>
        <w:trPr>
          <w:tblHeader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Ação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Comum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Admin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Comum por value help ou consulta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ativar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CPF obrigatório, único e validado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Consulta de itens para o pedido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SKU gerado automaticamente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e editar itens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Edição apenas no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Efetuar Pagamento / Aprovar / Cancelar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status (feature control) e perfil (atividade 16)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Aprovar / Rejeitar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Somente solicitações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rejeitar exige motivo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Editar / excluir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Histórico imutável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Importar planilha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Todas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Atividade 01 do objeto do domínio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Autenticação e autorização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autenticação é delegada à plataforma. A autorização usa o mesmo código RAP nos dois ambientes e muda só a configuração.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Objetos de autorização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443"/>
        <w:gridCol w:w="1073"/>
        <w:gridCol w:w="4469"/>
      </w:tblGrid>
      <w:tr>
        <w:trPr>
          <w:tblHeader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Protege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Atividades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e estoque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e reembolsos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Excluir, 16 Executar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Toda verificação deve passar por uma classe central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ZCL_PC_AUTH</w:t>
      </w:r>
      <w:r>
        <w:rPr>
          <w:rFonts w:ascii="Arial" w:cs="Arial" w:eastAsia="Arial" w:hAnsi="Arial"/>
          <w:sz w:val="20"/>
          <w:szCs w:val="20"/>
        </w:rPr>
        <w:t xml:space="preserve">) com um método por operação; os behavior pools só consultam essa classe.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Configuração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4332"/>
        <w:gridCol w:w="3112"/>
      </w:tblGrid>
      <w:tr>
        <w:trPr>
          <w:tblHeader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própria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Vínculo serviço ×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 por serviço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ZPC_IAM_CLIENTES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ZPC_IAM_REEMBOLSOS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Valores propostos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por grupo de serviços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Agrupamento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Catalogs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os serviços no menu (gera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S_START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Perfis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ZPC_BR_COMUM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Atribuição ao usuário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Maintain Business Users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comparação de usuários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Diagnóstico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Display Authorization Trace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SU53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STAUTHTRACE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SUIM</w:t>
            </w:r>
          </w:p>
        </w:tc>
      </w:tr>
    </w:tbl>
    <w:p>
      <w:pPr>
        <w:spacing w:after="8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2369"/>
        <w:gridCol w:w="4211"/>
      </w:tblGrid>
      <w:tr>
        <w:trPr>
          <w:tblHeader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 / Business Role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01, 02, 03, 06, 16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Comum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03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 (16 conforme o processo)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Estratégia RAP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quatro BOs devem declarar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master ( global )</w:t>
      </w:r>
      <w:r>
        <w:rPr>
          <w:rFonts w:ascii="Arial" w:cs="Arial" w:eastAsia="Arial" w:hAnsi="Arial"/>
          <w:sz w:val="20"/>
          <w:szCs w:val="20"/>
        </w:rPr>
        <w:t xml:space="preserve">; o perfil é verificado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get_global_authorizations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Entidades filhas do pedido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dependent by _Pedido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disponibilidade de Edit, Delete, inclusão de itens e actions por estado da instância deve usar feature control dinâmico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features : instance</w:t>
      </w:r>
      <w:r>
        <w:rPr>
          <w:rFonts w:ascii="Arial" w:cs="Arial" w:eastAsia="Arial" w:hAnsi="Arial"/>
          <w:sz w:val="20"/>
          <w:szCs w:val="20"/>
        </w:rPr>
        <w:t xml:space="preserve">). Status não é critério de autorização.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actions internas de estoque e as chamadas pelo BO Reembolso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: none</w:t>
      </w:r>
      <w:r>
        <w:rPr>
          <w:rFonts w:ascii="Arial" w:cs="Arial" w:eastAsia="Arial" w:hAnsi="Arial"/>
          <w:sz w:val="20"/>
          <w:szCs w:val="20"/>
        </w:rPr>
        <w:t xml:space="preserve"> e não são expostas na projeção.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action de importação deve revalidar a autorização na implementação, porque grava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críticas devem permanecer no backend, independentemente das restrições visuais da UI.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Controle de leitura (opcional)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Por padrão, as CDS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@AccessControl.authorizationCheck: #NOT_REQUIRED</w:t>
      </w:r>
      <w:r>
        <w:rPr>
          <w:rFonts w:ascii="Arial" w:cs="Arial" w:eastAsia="Arial" w:hAnsi="Arial"/>
          <w:sz w:val="20"/>
          <w:szCs w:val="20"/>
        </w:rPr>
        <w:t xml:space="preserve">. Quando houver requisito de restringir a leitura, devem ser criadas regras de acesso (DCL)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aspect pfcg_auth</w:t>
      </w:r>
      <w:r>
        <w:rPr>
          <w:rFonts w:ascii="Arial" w:cs="Arial" w:eastAsia="Arial" w:hAnsi="Arial"/>
          <w:sz w:val="20"/>
          <w:szCs w:val="20"/>
        </w:rPr>
        <w:t xml:space="preserve"> exigindo a atividade 03 nas views de consumo expostas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ZC_*</w:t>
      </w:r>
      <w:r>
        <w:rPr>
          <w:rFonts w:ascii="Arial" w:cs="Arial" w:eastAsia="Arial" w:hAnsi="Arial"/>
          <w:sz w:val="20"/>
          <w:szCs w:val="20"/>
        </w:rPr>
        <w:t xml:space="preserve">), com a anotação trocada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#CHECK</w:t>
      </w:r>
      <w:r>
        <w:rPr>
          <w:rFonts w:ascii="Arial" w:cs="Arial" w:eastAsia="Arial" w:hAnsi="Arial"/>
          <w:sz w:val="20"/>
          <w:szCs w:val="20"/>
        </w:rPr>
        <w:t xml:space="preserve">. As views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ZR_*</w:t>
      </w:r>
      <w:r>
        <w:rPr>
          <w:rFonts w:ascii="Arial" w:cs="Arial" w:eastAsia="Arial" w:hAnsi="Arial"/>
          <w:sz w:val="20"/>
          <w:szCs w:val="20"/>
        </w:rPr>
        <w:t xml:space="preserve"> e os cubos continuam sem regra, porque os behavior pools as leem internamente. A DCL funciona igual nos dois ambientes, mas só pode ser ativada onde as roles puderem ser mantidas.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Modo de demonstração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Uma constante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ZIF_PC_CONSTANTS=&gt;c_modo_trial</w:t>
      </w:r>
      <w:r>
        <w:rPr>
          <w:rFonts w:ascii="Arial" w:cs="Arial" w:eastAsia="Arial" w:hAnsi="Arial"/>
          <w:sz w:val="20"/>
          <w:szCs w:val="20"/>
        </w:rPr>
        <w:t xml:space="preserve">) deve permitir liberar as verificações de perfil num sistema compartilhado sem Business Roles configuráveis (BTP Trial). Em qualquer outro sistema — inclusive todo sistema On-Premise — a constante deve ser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abap_false</w:t>
      </w:r>
      <w:r>
        <w:rPr>
          <w:rFonts w:ascii="Arial" w:cs="Arial" w:eastAsia="Arial" w:hAnsi="Arial"/>
          <w:sz w:val="20"/>
          <w:szCs w:val="20"/>
        </w:rPr>
        <w:t xml:space="preserve">, e nunca deve ser transportada para produção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abap_true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Modelo de dados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Convenções: chaves UUID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RAW 16</w:t>
      </w:r>
      <w:r>
        <w:rPr>
          <w:rFonts w:ascii="Arial" w:cs="Arial" w:eastAsia="Arial" w:hAnsi="Arial"/>
          <w:sz w:val="20"/>
          <w:szCs w:val="20"/>
        </w:rPr>
        <w:t xml:space="preserve">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numbering : managed</w:t>
      </w:r>
      <w:r>
        <w:rPr>
          <w:rFonts w:ascii="Arial" w:cs="Arial" w:eastAsia="Arial" w:hAnsi="Arial"/>
          <w:sz w:val="20"/>
          <w:szCs w:val="20"/>
        </w:rPr>
        <w:t xml:space="preserve">; valores monetários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CURR(15,2)</w:t>
      </w:r>
      <w:r>
        <w:rPr>
          <w:rFonts w:ascii="Arial" w:cs="Arial" w:eastAsia="Arial" w:hAnsi="Arial"/>
          <w:sz w:val="20"/>
          <w:szCs w:val="20"/>
        </w:rPr>
        <w:t xml:space="preserve"> com referência a um campo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CUKY</w:t>
      </w:r>
      <w:r>
        <w:rPr>
          <w:rFonts w:ascii="Arial" w:cs="Arial" w:eastAsia="Arial" w:hAnsi="Arial"/>
          <w:sz w:val="20"/>
          <w:szCs w:val="20"/>
        </w:rPr>
        <w:t xml:space="preserve">; booleanos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abap_boolean</w:t>
      </w:r>
      <w:r>
        <w:rPr>
          <w:rFonts w:ascii="Arial" w:cs="Arial" w:eastAsia="Arial" w:hAnsi="Arial"/>
          <w:sz w:val="20"/>
          <w:szCs w:val="20"/>
        </w:rPr>
        <w:t xml:space="preserve">; campos administrativos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CreatedAt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em todas as tabelas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= ETag da entidade;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= total ETag do root). As tabelas devem usar tipos embutidos do ABAP, sem domínios nem elementos de dados próprios.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Objetos persistentes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861"/>
        <w:gridCol w:w="1951"/>
        <w:gridCol w:w="2162"/>
        <w:gridCol w:w="2567"/>
      </w:tblGrid>
      <w:tr>
        <w:trPr>
          <w:tblHeader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ativa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draft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Root/base view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Projeção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Endereços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 do pedido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ZTA_PC_ITEM_PED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ZTA_PC_ITPED_D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Pagamentos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ZTA_PC_PAGAMENTO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ZTA_PC_PAGTO_D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ZC_PC_PAGAMENTO_APP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 cliente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ZTA_PC_SNAP_CLI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ZTA_PC_SNPCLI_D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ZC_PC_PED_CLI_SNAP_APP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dos 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ZTA_PC_SNAP_ITM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ZTA_PC_SNPITM_D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ZC_PC_PED_ITEM_SNAP_APP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ZTA_PC_REEMBOLSO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 (BO sem draft)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CodeLists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ZTA_PC_CODELIST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ZR_PC_CODELIST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ZC_PC_*_VH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CodeLists (gênero, categoria, status do estoque, status do pedido, status e método de pagamento, status do reembolso) ficam numa única tabela com código, descrição e criticidade.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Clientes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7"/>
        <w:gridCol w:w="2315"/>
        <w:gridCol w:w="1694"/>
        <w:gridCol w:w="3110"/>
      </w:tblGrid>
      <w:tr>
        <w:trPr>
          <w:tblHeader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numbering : managed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FotoCliente / FotoMimeType / FotoFileName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Único, só números, dígitos verificadores validados; exibido formatado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 completo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válido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DDD + número (10 ou 11 dígitos), só números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Genero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DataNascimento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DATS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pode ser futura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ClienteAtivo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Novo cliente nasce ativo; inativo não faz pedidos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ScoreCliente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DEC(5,2)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a 100, somente leitura, sorteado na criação; exibido em % com criticidade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7.3 Endereços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2321"/>
        <w:gridCol w:w="1724"/>
        <w:gridCol w:w="3273"/>
      </w:tblGrid>
      <w:tr>
        <w:trPr>
          <w:tblHeader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proprietário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CHAR(8)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números, validado no ViaCEP; campo adicional da chave da tabela, somente leitura depois de gravado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Logradouro, Bairro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CHAR(150),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 e bloqueados; editáveis e obrigatórios só para CEP geral de município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Complemento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Informado pelo usuário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Cidade, Uf, Estado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CHAR(100), CHAR(2),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CepGeral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Definido pelo backend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CepStatus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consulta (válido, inválido, indisponível), avaliado na validação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EnderecoPrincipal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por cliente; alterado só pela action; o primeiro endereço vira principal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7.4 Itens de estoque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5"/>
        <w:gridCol w:w="2308"/>
        <w:gridCol w:w="1692"/>
        <w:gridCol w:w="3201"/>
      </w:tblGrid>
      <w:tr>
        <w:trPr>
          <w:tblHeader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ItemUUID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FotoItem / FotoMimeType / FotoFileName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CHAR(21)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SKU-&lt;3 letras da categoria&gt;-&lt;10 dígitos&gt;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gerado no Save; regenerado se a categoria mudar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CHAR(120)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 entre os itens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Descricao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 informações como peso e dimensões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Categoria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≥ 0 e ≥ QtdeReservada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QtdeReservada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alterada só pelas actions internas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 − QtdeReservada,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persistida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(filtrável e ordenável)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 / Currency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Moeda padrão BRL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ItemAtivo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itens ativos entram em novos pedidos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7.5 Pedidos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1702"/>
        <w:gridCol w:w="1556"/>
        <w:gridCol w:w="3200"/>
      </w:tblGrid>
      <w:tr>
        <w:trPr>
          <w:tblHeader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Sequencial gerado na primeira ativação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na criação; somente leitura depois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 / EnderecoPrincipalCompleto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cliente, derivado automaticamente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Réplica do pagamento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para lista e filtros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 / Currency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Calculado no backend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DataFinalizacao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TIMESTAMPL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Preenchida na aprovação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MotivoCancelamento / DataCancelamento / CanceladoPor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Preenchidos no cancelamento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ReferenciaImportacao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chave de idempotência da importação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PedidoEncerrado, PedidoAtivoSemHistorico, PedidoNaoFinalizado, PedidoNaoCancelado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XFELD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persistidos de status, usados para ocultar seções da Object Page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7.6 Itens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1564"/>
        <w:gridCol w:w="1651"/>
        <w:gridCol w:w="3389"/>
      </w:tblGrid>
      <w:tr>
        <w:trPr>
          <w:tblHeader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ItemPedidoUUID / PedidoUUID / ItemUUID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Chave, pedido e item de estoque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Maior que zero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PrecoUnitarioSnapshot / Currency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Copiado do item no draft; fixado no registro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 × PrecoUnitarioSnapshot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7.7 Pagamentos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1"/>
        <w:gridCol w:w="1998"/>
        <w:gridCol w:w="1651"/>
        <w:gridCol w:w="2586"/>
      </w:tblGrid>
      <w:tr>
        <w:trPr>
          <w:tblHeader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PagamentoUUID / PedidoUUID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e pedido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MetodoPagamento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CARTAO_CREDITO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CARTAO_DEBITO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BandeiraCartao / Ultimos4DigitosCartao / CartaoMascarado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 / CHAR(4) / 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Únicos dados do cartão gravados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CodigoAutorizacao / MensagemPagamento / DataPagamento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CHAR(50) / CHAR(255) / TIMESTAMPL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última tentativa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pagamento é filho de composição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 do pedido, criado e atualizado somente pela action de pagamento.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7.8 Snapshots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318"/>
        <w:gridCol w:w="3523"/>
        <w:gridCol w:w="2665"/>
      </w:tblGrid>
      <w:tr>
        <w:trPr>
          <w:tblHeader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Snapshot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Tabela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ZTA_PC_SNAP_CLI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gênero, nascimento, ativo, score, endereço e motivo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ZTA_PC_SNAP_ITM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descrição, categoria, quantidade, preço e total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Como são filhos de um BO com draft, os snapshots exigem tabelas draft, que devem permanecer vazias: só são criados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internal create</w:t>
      </w:r>
      <w:r>
        <w:rPr>
          <w:rFonts w:ascii="Arial" w:cs="Arial" w:eastAsia="Arial" w:hAnsi="Arial"/>
          <w:sz w:val="20"/>
          <w:szCs w:val="20"/>
        </w:rPr>
        <w:t xml:space="preserve"> sobre a instância ativa e não têm update nem delete.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7.9 Reembolsos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9"/>
        <w:gridCol w:w="1988"/>
        <w:gridCol w:w="1654"/>
        <w:gridCol w:w="2785"/>
      </w:tblGrid>
      <w:tr>
        <w:trPr>
          <w:tblHeader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 / NumeroPedido / ClienteUUID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CHAR(10) / 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pedido, imutáveis; nome e CPF do cliente vêm por associação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StatusReembolso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StatusPedidoAnterior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Restaurado se o reembolso for 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ValorReembolso / Currency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 do pedido na solicitação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MotivoSolicitacao / DataSolicitacao / SolicitadoPor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cancelamento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MotivoDecisao / DataDecisao / DecididoPor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 obrigatório ao rejeitar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Business Objects RAP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Matriz dos Business Objects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2195"/>
        <w:gridCol w:w="2195"/>
        <w:gridCol w:w="2195"/>
        <w:gridCol w:w="1855"/>
      </w:tblGrid>
      <w:tr>
        <w:trPr>
          <w:tblHeader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Aspecto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 raiz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Entidades filhas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Implementação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(cliente e endereço)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(criação e edição dos itens do pedido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Behavior pool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Projeção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 projeções filhas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 (só itens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delete desabilitado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só por EML do BO Pedido, internal update, sem delete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Numeração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SKU no Save (intervalo 02)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número na ativação (intervalo 01)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Bloqueio e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etag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Autorização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); filhas dependentes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públicas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DefinirEnderecoPrincipal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SimularPagamento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RejeitarReembolso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internas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LiberarReserva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BaixarEstoque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RecalcularTotal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CancelarPorReembolso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RetomarPedido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Determinations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NormalizarDados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PreencherEnderecoViaCep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DefinirPrincipalInicial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RecalcularStatusEstoque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DefinirStatusInicial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AtualizarEndereco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GerarNumeroPedido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CalcularTotalPedido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AtualizarFlagsStatus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CalcularValorItem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Validations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ValidarCpf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ValidarDadosObrigatorios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ValidarEmail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ValidarTelefone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ValidarDataNascimento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ValidarGenero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ValidarNumero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ValidarCepUnico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ValidarQuantidades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ValidarInativacaoItem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ValidarSkuUnico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ValidarCliente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Motivo obrigatório verificado na action de rejeição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Feature control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vinculado; CEP somente leitura depois de gravado; Logradouro/Bairro editáveis só para CEP geral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ou reserva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só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actions por status; precheck da inclusão de item sem estoque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só com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Side effects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CEP recarrega os campos do endereço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Quantidade recarrega disponível e status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 recarrega o endereço; item e quantidade recarregam totais; actions recarregam pagamento e snapshots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 actions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Activate, Discard, Edit, Resume, Prepare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 optimized, Discard, Edit, Resume, Prepare (com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com feature control, Activate com implementação adicional, Discard, Resume, Prepare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Matriz das entidades filhas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640"/>
        <w:gridCol w:w="1975"/>
        <w:gridCol w:w="2051"/>
        <w:gridCol w:w="1920"/>
      </w:tblGrid>
      <w:tr>
        <w:trPr>
          <w:tblHeader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Cardinalidade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Bloqueio / autorização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Criação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(com precheck), update, delete — só no draft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Pelo usuário, </w:t>
            </w: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inline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rascunho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internal update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pela action de pagamento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9. Comunicação entre as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aplicações são desacopladas na UI e no serviço, mas compartilham o mesmo modelo de domínio ABAP.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Views reutilizáveis e value helps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2855"/>
        <w:gridCol w:w="1789"/>
        <w:gridCol w:w="3586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View reutilizável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Consumidor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Seleção de cliente ativo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ZC_PC_ENDERECO_VH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ZC_PC_ITEM_VH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 ativos, preço e disponibilidade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ZC_PC_CEP_VH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 já cadastrados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9.2 Comunicação por EML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não atualiza o estoque pela UI do Estoque: reserva, baixa e liberação são actions internas do BO Item executadas por EML, na mesma LUW, com o item bloqueado (lock master) e o saldo relido sob o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falha parcial de reserva, as reservas já feitas na mesma chamada devem ser compensadas e nenhuma alteração do pedido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cria a solicitação no BO Reembolso por EML; o BO Reembolso executa as actions internas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CancelarPorReembolso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RetomarPedido</w:t>
      </w:r>
      <w:r>
        <w:rPr>
          <w:rFonts w:ascii="Arial" w:cs="Arial" w:eastAsia="Arial" w:hAnsi="Arial"/>
          <w:sz w:val="20"/>
          <w:szCs w:val="20"/>
        </w:rPr>
        <w:t xml:space="preserve"> do BO Pedido. Tudo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 chamada EML deve avaliar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FAILED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REPORTED</w:t>
      </w:r>
      <w:r>
        <w:rPr>
          <w:rFonts w:ascii="Arial" w:cs="Arial" w:eastAsia="Arial" w:hAnsi="Arial"/>
          <w:sz w:val="20"/>
          <w:szCs w:val="20"/>
        </w:rPr>
        <w:t xml:space="preserve"> e propagar as mensagens.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9.3 Navegação entre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navegação é de consulta, por semantic object, e não cria acoplamento funcional.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2371"/>
        <w:gridCol w:w="2450"/>
        <w:gridCol w:w="2423"/>
      </w:tblGrid>
      <w:tr>
        <w:trPr>
          <w:tblHeader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Semantic object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 snapshot do cliente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do pedido e snapshot dos itens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Item, SKU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ZPCItemEstoque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(link direto à Object Page)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ZPCPedidoCompra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Análises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Botão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Abrir gestão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ZPC*-manage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Aplicação de gestão do domínio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aplicação de destino deve abrir direto a Object Page ao receber a chave técnica ou semântica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Sku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NumeroPedido</w:t>
      </w:r>
      <w:r>
        <w:rPr>
          <w:rFonts w:ascii="Arial" w:cs="Arial" w:eastAsia="Arial" w:hAnsi="Arial"/>
          <w:sz w:val="20"/>
          <w:szCs w:val="20"/>
        </w:rPr>
        <w:t xml:space="preserve">); o CPF do pedido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CpfCliente</w:t>
      </w:r>
      <w:r>
        <w:rPr>
          <w:rFonts w:ascii="Arial" w:cs="Arial" w:eastAsia="Arial" w:hAnsi="Arial"/>
          <w:sz w:val="20"/>
          <w:szCs w:val="20"/>
        </w:rPr>
        <w:t xml:space="preserve">) é mapeado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@Consumption.semanticObjectMapping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10. Regras de negócio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CPF obrigatório, único, salvo só com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pode ter vários endereços, apenas um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inativo não pode ser usado em novos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com pedido vinculado não pode ser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Ativação e inativação por edição do campo ClienteAtivo, só para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apenas em JPEG, PNG ou WEBP, validando MIME, extensão e assinatura binária.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Endereços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ViaCEP é obrigatório para validar o CEP; se estiver indisponível, o cadastro e a alteração são bloqueados.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retornados pelo ViaCEP não são editáveis, exceto Logradouro e Bairro para CEP geral de município.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é obrigatório.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só pode aparecer uma vez por cliente; clientes diferentes podem compartilhar o mesmo 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marcar um endereço como principal, os demais do cliente são desmarcados.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Itens e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SKU obrigatório, único e gerado no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QtdeDisponivel = QtdeEstoque − QtdeReservada, recalculada a cada movimentação.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inativo não entra em novos pedidos; a inativação é bloqueada com estoque disponível ou pedido ativo.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6122"/>
      </w:tblGrid>
      <w:tr>
        <w:trPr>
          <w:tblHeader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= 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entre 1 e 10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≥ 11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em draft não reserva estoque; a reserva ocorre ao salvar o rascunho, quando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pedido exige cliente ativo, endereço principal e ao menos um item ativo com quantidade maior que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sem estoque disponível não pode ser incluído no rascunho (precheck).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só os itens podem ser alterados, e a reserva é ajustada pela diferença; nos demais status o pedido não é editado nem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do pedido é gerado na primeira ativação.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 é imutável e não pode ser reaberto; após movimentação de estoque ou pagamento, o pedido é cancelado, nunca excluído.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11. Fluxo de status do pedido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fluxo principal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(pagamento aprovado)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 Pagamento recusado mantém o pedido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 O cancelamento é permitido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com pagamento aprovado, passa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381125"/>
            <wp:effectExtent t="0" r="0" b="0" l="0"/>
            <wp:docPr id="1" name="fluxo-pedido.png" descr="Fluxograma do pedido: rascunho, precheck de estoque, Salvar com reserva, pagamento, aprovação com baixa de estoque ou cancelamento com liberação da reserva ou abertura de reembolso" title="Figura 3 — Fluxo do pedido de comp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3 — Fluxo do pedido de compra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2884"/>
        <w:gridCol w:w="1387"/>
        <w:gridCol w:w="2692"/>
      </w:tblGrid>
      <w:tr>
        <w:trPr>
          <w:tblHeader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Permitido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(início)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Salvar o rascunho: registra, numera e reserva o estoque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 itens (ajusta a reserva) ou pagamento recusado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pedido: baixa o estoque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motivo: libera a reserva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pagamento aprovado: cria a solicitação de reembolso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aprovado; pagamento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anterior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rejeitado (motivo obrigatório)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exige 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Qualquer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encerrado é imutável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pedidos com número, cliente, status do pedido e do pagamento e total" title="Figura 4 — List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4 — Lista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rascunho.png" descr="Pedido em rascunho com dois itens criados inline" title="Figura 5 — Pedido em rascunho com itens i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5 — Pedido em rascunho com itens inline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12. Reserva, baixa, liberação e concorrência de estoque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12.1 Registro do pedido e reserva (Save do rascunho)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cliente ativo e endereço principal.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itens ativos, quantidades maiores que zero e ao menos um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Pré-validar a disponibilidade no Prepare; a validação definitiva ocorre sob lock no BO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Ativar o rascunho: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recebe o número.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Fixar o preço unitário dos itens e calcular o total do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Incrementar QtdeReservada dos itens e recalcular o status de estoque.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qualquer falha, reprovar o Save sem gravar alterações.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12.2 Edição dos itens do pedido `ABERTO`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Editar cria um rascunho com os itens atuais; o cliente é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salvar, a reserva é recalculada pela diferença entre o que o pedido já reservou e os itens do rascunho: reserva só o acréscimo e libera só o excedente.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remoção de item deve liberar a sua reserva na implementação adicional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, porque remover não dispara determination.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Quantidade acima do disponível (considerando o que o próprio pedido já reservou) bloqueia o Save.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12.3 Aprovação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status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e pagamento aprovado.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Reduzir QtdeEstoque e QtdeReservada pela quantidade do pedido e recalcular o status de estoque.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Gerar os snapshots do cliente e dos itens, preencher DataFinalizacao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12.4 Cancelamento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se o status permite cancelamento e exigir o motivo.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 pagamento aprovado, abrir a solicitação de reembolso (seção 13) e encerrar aqui.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Sem pagamento aprovado: liberar a reserva, gerar os snapshots (se ainda não existirem), preencher motivo, data e usuário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12.5 Controle de concorrência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sobre QtdeEstoque e QtdeReservada devem ocorrer em transação, com o item bloqueado e relido no banco; valores de estoque vindos da UI não são confiáveis.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 dois registros simultâneos para o mesmo item, só o primeiro com disponibilidade prossegue; o segundo recebe erro de estoque insuficiente ou de concorrência.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em edição na aplicação de Estoque (draft) impede o registro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Registro, aprovação, cancelamento e decisão de reembolso não podem gerar dupla reserva, dupla baixa ou dupla liberação.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13. Reembolso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485900"/>
            <wp:effectExtent t="0" r="0" b="0" l="0"/>
            <wp:docPr id="1" name="fluxo-reembolso.png" descr="Fluxograma do reembolso: cancelar pedido com pagamento aprovado, solicitação PENDENTE, pedido em PROCESSANDO_REEMBOLSO, aprovar ou rejeitar" title="Figura 6 — Fluxo de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6 — Fluxo de reembolso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Solicitação</w:t>
      </w:r>
      <w:r>
        <w:rPr>
          <w:rFonts w:ascii="Arial" w:cs="Arial" w:eastAsia="Arial" w:hAnsi="Arial"/>
          <w:sz w:val="20"/>
          <w:szCs w:val="20"/>
        </w:rPr>
        <w:t xml:space="preserve">: cancelar um pedido com pagamento aprovado cria o reembolso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(com o status anterior e o motivo) e move o pedido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Aprovar</w:t>
      </w:r>
      <w:r>
        <w:rPr>
          <w:rFonts w:ascii="Arial" w:cs="Arial" w:eastAsia="Arial" w:hAnsi="Arial"/>
          <w:sz w:val="20"/>
          <w:szCs w:val="20"/>
        </w:rPr>
        <w:t xml:space="preserve">: libera a reserva, gera os snapshots, cancela o pedido, muda o pagamento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APROVADO</w:t>
      </w:r>
      <w:r>
        <w:rPr>
          <w:rFonts w:ascii="Arial" w:cs="Arial" w:eastAsia="Arial" w:hAnsi="Arial"/>
          <w:sz w:val="20"/>
          <w:szCs w:val="20"/>
        </w:rPr>
        <w:t xml:space="preserve">,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Rejeitar</w:t>
      </w:r>
      <w:r>
        <w:rPr>
          <w:rFonts w:ascii="Arial" w:cs="Arial" w:eastAsia="Arial" w:hAnsi="Arial"/>
          <w:sz w:val="20"/>
          <w:szCs w:val="20"/>
        </w:rPr>
        <w:t xml:space="preserve">: exige o motivo da decisão, devolve o pedido ao status anterior, limpa o motivo de cancelamento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REJEITADO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decisão de um reembolso que não está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deve ser bloqueada.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mento.png" descr="Diálogo Cancelar pedido com o motivo" title="Figura 7 — Cancelamento de pedido pago (motivo obrigatóri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7 — Cancelamento de pedido pago (motivo obrigatório)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ndente.png" descr="Solicitação de reembolso pendente na aplicação Gestão de Reembolsos" title="Figura 8 — Solicitação de reembolso pend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8 — Solicitação de reembolso pendente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aprovacao.png" descr="Diálogo Aprovar reembolso com o motivo da decisão" title="Figura 9 — Decisão do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9 — Decisão do reembolso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do.png" descr="Pedido cancelado pelo reembolso aprovado, com pagamento devolvido e snapshot do cliente" title="Figura 10 — Pedido cancelado pelo reembolso apro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10 — Pedido cancelado pelo reembolso aprovado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14. Pagamento simulado com cartão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dados do cartão são coletados apenas no diálogo da action e usados só em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Nunca persistir número completo, CVV nem validade; gravar apenas método, status, bandeira, últimos 4 dígitos, cartão mascarado, código de autorização, mensagem 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Cartões iniciados por 4 simulam VISA e por 5 simulam Mastercard; CVV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000</w:t>
      </w:r>
      <w:r>
        <w:rPr>
          <w:rFonts w:ascii="Arial" w:cs="Arial" w:eastAsia="Arial" w:hAnsi="Arial"/>
          <w:sz w:val="20"/>
          <w:szCs w:val="20"/>
        </w:rPr>
        <w:t xml:space="preserve"> simula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em formato inválido (número com 13 a 19 dígitos, validade MM/AA não expirada, CVV com 3 ou 4 dígitos) geram erro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CARTAO_DADOS_INVALIDOS</w:t>
      </w:r>
      <w:r>
        <w:rPr>
          <w:rFonts w:ascii="Arial" w:cs="Arial" w:eastAsia="Arial" w:hAnsi="Arial"/>
          <w:sz w:val="20"/>
          <w:szCs w:val="20"/>
        </w:rPr>
        <w:t xml:space="preserve">, que não é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aprovado leva o pedido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 mantém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permite nova tentativa.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Apenas a última tentativa é mantida.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cenário real, a captura deve usar componente dedicado ou tokenização do provedor de pagamento, porque os parâmetros de action aparecem sem máscara no Fiori Elements.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agamento.png" descr="Diálogo da action Efetuar Pagamento" title="Figura 11 — Diálogo Efetuar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11 — Diálogo Efetuar Pagamento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ns-pagamento.png" descr="Itens, pagamento aprovado com cartão mascarado e finalização" title="Figura 12 — Pagamento aprovado com cartão masca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12 — Pagamento aprovado com cartão mascarado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15. Cálculos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do item = QtdeItemPedido × PrecoUnitarioSnapshot; total do pedido = soma dos totais dos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QtdeItemPedido &gt; 0; PrecoUnitarioSnapshot ≥ 0; QtdeEstoque ≥ 0; 0 ≤ QtdeReservada ≤ QtdeEstoque.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total é provisório no draft e definitivo no registro; todos os cálculos definitivos ocorrem no backend.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16. Endereço e integração com o ViaCEP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endereco-viacep.png" descr="Fluxograma do endereço: informar o CEP, reaproveitar CEP cadastrado ou consultar o ViaCEP, side effects, Salvar e validações" title="Figura 13 — Endereço e consulta de 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13 — Endereço e consulta de CEP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16.1 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é feita no backend; na UI, o CEP é um campo padrão do Fiori Elements, com máscara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99999-999</w:t>
      </w:r>
      <w:r>
        <w:rPr>
          <w:rFonts w:ascii="Arial" w:cs="Arial" w:eastAsia="Arial" w:hAnsi="Arial"/>
          <w:sz w:val="20"/>
          <w:szCs w:val="20"/>
        </w:rPr>
        <w:t xml:space="preserve"> e value help dos CEPs já cadastrados.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informar o CEP, uma determination reaproveita os dados de um CEP já cadastrado e só chama o ViaCEP para CEPs desconhecidos; side effects recarregam os campos do endereço.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chamada HTTP não deve ocorrer na fase de save: a determination grava o resultado da consulta e a validation apenas o avalia.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novo passa a ser sugerido pelo value help depois de gravado.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CEP é campo adicional da chave da tabela de endereços e fica somente leitura depois de gravado.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16.2 Requisitos da classe de integração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Higienizar e validar o CEP, manter cache por sessão (até 100 entradas), distinguir CEP inválido de serviço indisponível, reconhecer CEP geral de município e fechar o cliente HTTP também em caso de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Extrair os campos do JSON sem APIs não liberadas.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Manter a mesma interface pública nas duas implementações, para que o behavior pool não mude.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16.3 Conectividade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4403"/>
        <w:gridCol w:w="3773"/>
      </w:tblGrid>
      <w:tr>
        <w:trPr>
          <w:tblHeader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HTTP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CL_HTTP_DESTINATION_PROVIDER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CL_WEB_HTTP_CLIENT_MANAGER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(Standard ABAP)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URL no código (Trial) ou Communication Scenario + Arrangement (produção)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tipo G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host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porta 443, SSL ativo, sem logon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Confiança TLS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PSE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SSL Client (Anonymous)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a cadeia da autoridade certificadora do ViaCEP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Proxy e regra de firewall para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viacep.com.br:443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Teste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pela própria aplicação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 de teste da destination 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Connection 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Manutenção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Destination, certificados e rede mantidos em cada sistema pela equipe de Basis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endereco-viacep.png" descr="Endereço do CEP 01310-100 preenchido pelo ViaCEP" title="Figura 14 — Endereço preenchido pelo Via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14 — Endereço preenchido pelo ViaCEP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17. Importação em massa por planilha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importacao.png" descr="Fluxograma da importação: escolher o arquivo, action ImportarPlanilha, leitura, normalização, validação de todas as linhas e criação por EML" title="Figura 15 — Importação em massa por plani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15 — Importação em massa por planilha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3166"/>
        <w:gridCol w:w="4984"/>
      </w:tblGrid>
      <w:tr>
        <w:trPr>
          <w:tblHeader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Linha da planilha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Colunas (obrigatórias em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negrito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cliente com o endereço principal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E-mail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Telefone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Gênero,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 de nascimento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Número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Complemento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Descrição,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Categoria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 em 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Preço unitário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Moeda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 de um pedido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(referência),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Observação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deve ser uma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(arquivo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), exposta como botão na lista das três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(primeira aba)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 (separador e codificação detectados); máximo de 500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 na primeira linha não vazia, com nomes comparados sem acentos, maiúsculas, espaços ou pontuação.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Tudo ou nada</w:t>
      </w:r>
      <w:r>
        <w:rPr>
          <w:rFonts w:ascii="Arial" w:cs="Arial" w:eastAsia="Arial" w:hAnsi="Arial"/>
          <w:sz w:val="20"/>
          <w:szCs w:val="20"/>
        </w:rPr>
        <w:t xml:space="preserve">: todas as linhas são validadas antes de gravar; com qualquer erro, nada é gravado e o usuário recebe a lista de erros por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instâncias são criadas por EML, então valem as mesmas determinations e validations da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importados nascem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com estoque reservado; a referência do pedido é a chave de idempotência: a mesma referência para o mesmo cliente é recusada enquanto houver pedido não cancelado com 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só cria registros, não atualiza.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18. Interface do usuário — SAP Fiori Elements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quatro aplicações de gestão usam List Report + Object Page (OData V4), geradas com o SAP Fiori tools. A UI deve ser orientada a anotações: colunas, filtros, seções, ações e criticidade vêm das metadata extensions do backend; as aplicações guardam só 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manifest.json</w:t>
      </w:r>
      <w:r>
        <w:rPr>
          <w:rFonts w:ascii="Arial" w:cs="Arial" w:eastAsia="Arial" w:hAnsi="Arial"/>
          <w:sz w:val="20"/>
          <w:szCs w:val="20"/>
        </w:rPr>
        <w:t xml:space="preserve"> (rotas, tabelas e tile) e a configuração das ferramentas.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nicio.png" descr="Launchpad com os oito tiles: quatro de gestão e quatro de análise" title="Figura 16 — Launchpad com as oito ap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16 — Launchpad com as oito aplicações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18.1 Listas e filtros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8"/>
        <w:gridCol w:w="4062"/>
        <w:gridCol w:w="3606"/>
      </w:tblGrid>
      <w:tr>
        <w:trPr>
          <w:tblHeader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 na lista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Filtros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Ativo, Cidade, UF, Data de cadastro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Nome, CPF, E-mail, Ativo, Cidade, UF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Qtde em estoque, reservada e disponível, Status, Preço, Ativo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Status, Ativo, Qtde disponível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Número, CPF, Cliente, Status do pedido, Status do pagamento, Total, Data do pedido, Data de finalização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CPF, Status, Pagamento, Data, Valor total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Reembolsos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Status, Valor, Motivo da solicitação, Solicitado em, Motivo da decisão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18.2 Ações por aplicação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928"/>
        <w:gridCol w:w="4246"/>
      </w:tblGrid>
      <w:tr>
        <w:trPr>
          <w:tblHeader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Object Page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Ações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Definir endereço principal,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Efetuar Pagamento, Aprovar pedido, Cancelar pedido (agrupadas no menu "Ações"),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status e perfil, só na instância ativa; sem Excluir; Editar só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reembolso, Rejeitar reembolso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solicitações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sem criar, editar ou excluir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18.3 Apresentação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de cliente, endereço e item mostram o texto descritivo, sem o UUID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Códigos de CodeList aparecem só como texto, com criticidade nos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do cliente em %, como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Process Indicator</w:t>
      </w:r>
      <w:r>
        <w:rPr>
          <w:rFonts w:ascii="Arial" w:cs="Arial" w:eastAsia="Arial" w:hAnsi="Arial"/>
          <w:sz w:val="20"/>
          <w:szCs w:val="20"/>
        </w:rPr>
        <w:t xml:space="preserve">: vermelho até 40, amarelo de 40 a 70, verde a partir de 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de cliente e item na Object Page; cliente sem foto mostra um avatar.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Itens do pedido são criados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 na tabela do rascunho.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18.4 Object Page dinâmica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Seções na ordem: Dados do Cliente, Dados do Pedido (com os campos administrativos), Itens, Pagamento e Finalização ou Cancelamento.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Finalização e Cancelamento aparecem só nos status correspondentes, ocultas por expressão de anotação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) sobre indicadores persistidos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, cliente e itens vêm dos snapshots; nos demais status, das tabelas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e snapshot do cliente (composições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) são exibidos como formulário.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finalizado.png" descr="Pedido finalizado com o snapshot do cliente" title="Figura 17 — Object Page do pedido fi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17 — Object Page do pedido finalizado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18.5 Telas das demais aplicações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clientes" title="Figura 18 — Gestão de Cliente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18 — Gestão de Clientes: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liente.png" descr="Object Page do cliente com score e endereços" title="Figura 19 — Gestão de Clientes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19 — Gestão de Clientes: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itens de estoque" title="Figura 20 — Gestão de Estoque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20 — Gestão de Estoque: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m.png" descr="Object Page do item com SKU gerado no Save" title="Figura 21 — Gestão de Estoque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21 — Gestão de Estoque: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reembolsos" title="Figura 22 — Gestão de Reembolso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22 — Gestão de Reembolsos: lista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19. Camada analítica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943100"/>
            <wp:effectExtent t="0" r="0" b="0" l="0"/>
            <wp:docPr id="1" name="fluxo-analises.png" descr="Fluxograma dos apps de análise: catálogo do domínio, $apply com filter, groupby e aggregate, agregação no servidor, painel e detalhe" title="Figura 23 — Apps de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23 — Apps de análise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somente leitura e independente das aplicações de gestão: um cubo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ZI_PC_*_CUBE</w:t>
      </w:r>
      <w:r>
        <w:rPr>
          <w:rFonts w:ascii="Arial" w:cs="Arial" w:eastAsia="Arial" w:hAnsi="Arial"/>
          <w:sz w:val="20"/>
          <w:szCs w:val="20"/>
        </w:rPr>
        <w:t xml:space="preserve">) e uma consulta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ZC_PC_*_ANALISE</w:t>
      </w:r>
      <w:r>
        <w:rPr>
          <w:rFonts w:ascii="Arial" w:cs="Arial" w:eastAsia="Arial" w:hAnsi="Arial"/>
          <w:sz w:val="20"/>
          <w:szCs w:val="20"/>
        </w:rPr>
        <w:t xml:space="preserve">) por domínio,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@Aggregation.default</w:t>
      </w:r>
      <w:r>
        <w:rPr>
          <w:rFonts w:ascii="Arial" w:cs="Arial" w:eastAsia="Arial" w:hAnsi="Arial"/>
          <w:sz w:val="20"/>
          <w:szCs w:val="20"/>
        </w:rPr>
        <w:t xml:space="preserve"> nas medidas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@OData.applySupportedForAggregation: #FULL</w:t>
      </w:r>
      <w:r>
        <w:rPr>
          <w:rFonts w:ascii="Arial" w:cs="Arial" w:eastAsia="Arial" w:hAnsi="Arial"/>
          <w:sz w:val="20"/>
          <w:szCs w:val="20"/>
        </w:rPr>
        <w:t xml:space="preserve">, publicados no serviço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ZUI_PC_ANALITICO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Quatro aplicações SAPUI5 freestyle, uma por domínio, com 5 análises cada: painel com filtros, indicadores e gráficos, e uma página de detalhe por análise (troca do tipo de gráfico e tabela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consultas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$apply</w:t>
      </w:r>
      <w:r>
        <w:rPr>
          <w:rFonts w:ascii="Arial" w:cs="Arial" w:eastAsia="Arial" w:hAnsi="Arial"/>
          <w:sz w:val="20"/>
          <w:szCs w:val="20"/>
        </w:rPr>
        <w:t xml:space="preserve"> (filter, groupby, aggregate) com agregação no servidor; os filtros valem para os indicadores e todos os gráficos.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7"/>
        <w:gridCol w:w="1948"/>
        <w:gridCol w:w="2767"/>
        <w:gridCol w:w="1594"/>
        <w:gridCol w:w="1960"/>
      </w:tblGrid>
      <w:tr>
        <w:trPr>
          <w:tblHeader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Entity set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Tile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Filtros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Análises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Compras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PedidoAnalise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ZPCAnalisePedido-display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pagamento,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por status, pedidos por mês, valor por UF, por pagamento, ticket médio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Clientes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ClienteAnalise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ZPCAnaliseCliente-display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Gênero, ativo, UF, faixa de score, nome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Por gênero, por UF, por faixa de score, cadastros por mês, score por UF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Itens do Estoque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ItemAnalise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ZPCAnaliseItemEstoque-display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Categoria, situação, nome, SKU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categoria, itens por situação, valor por categoria, mais reservados, itens por categoria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Reembolsos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ReembolsoAnalise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ZPCAnaliseReembolso-display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e quantidade por status, valor por mês, valor por UF, por motivo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didos.png" descr="Painel da Análise de Pedidos de Compras" title="Figura 24 — Painel da Análise de Pedidos de Comp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24 — Painel da Análise de Pedidos de Compras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detalhe.png" descr="Detalhe da análise Valor dos reembolsos por status" title="Figura 25 — Página de detalhe de uma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25 — Página de detalhe de uma análise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20. Actions, validations e determinations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4589"/>
        <w:gridCol w:w="3641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Domínio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Artefato RAP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de CPF, dados, e-mail, telefone, nascimento, gênero e 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Bloqueiam o Save com a mensagem correspondente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+ precheck do delete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exclusão de cliente com pedido (ativo ou em draft)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DefinirEnderecoPrincipal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Define o principal e desmarca os demais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PreencherEnderecoViaCep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Preenche o endereço a partir do CEP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ValidarNumero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válido e único por cliente; número obrigatório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do campo 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no cadastro, somente leitura depois de gravado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(on save, também no Prepare)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 único com o prefixo da categoria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RecalcularStatusEstoque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Disponível e status conforme a quantidade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ValidarQuantidades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ValidarInativacaoItem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ValidarSkuUnico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Dados, quantidades, inativação, unicidade e foto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LiberarReserva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BaixarEstoque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Movimentam o estoque sob lock; só o BO Pedido as chama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ValidarRegistro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ReservarEstoqueRegistro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com reserva pela diferença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Draft 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Activate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implementação adicional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Libera a reserva de itens removidos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DefinirStatusInicial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GerarNumeroPedido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AtualizarEndereco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CalcularTotalPedido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CalcularValorItem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AtualizarFlagsStatus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inicial, número, endereço, totais e indicadores de status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ativo; item ativo com quantidade maior que zero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Precheck da inclusão de item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item sem estoque disponível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SimularPagamento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(Efetuar Pagamento)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fictício sem dados sensíveis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Baixa o estoque, gera snapshots e finaliza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 ou abre a solicitação de reembolso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CancelarPorReembolso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RetomarPedido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RecalcularTotal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Chamadas pelo BO Reembolso ou pelo próprio BO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RejeitarReembolso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Decidem a solicitação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mesma LUW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estática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ImportarPlanilha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Importação em massa (seção 17)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21. Mensagens de erro e sucesso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mensagens devem ficar numa Message Class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ZPC_MSG</w:t>
      </w:r>
      <w:r>
        <w:rPr>
          <w:rFonts w:ascii="Arial" w:cs="Arial" w:eastAsia="Arial" w:hAnsi="Arial"/>
          <w:sz w:val="20"/>
          <w:szCs w:val="20"/>
        </w:rPr>
        <w:t xml:space="preserve">, textos com até 73 caracteres) e ser expostas por uma classe de exceção que implemente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IF_ABAP_BEHV_MESSAGE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ZCX_PC_MSG</w:t>
      </w:r>
      <w:r>
        <w:rPr>
          <w:rFonts w:ascii="Arial" w:cs="Arial" w:eastAsia="Arial" w:hAnsi="Arial"/>
          <w:sz w:val="20"/>
          <w:szCs w:val="20"/>
        </w:rPr>
        <w:t xml:space="preserve">, constantes com até 30 caracteres).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5330"/>
      </w:tblGrid>
      <w:tr>
        <w:trPr>
          <w:tblHeader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Mensagem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inválido.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cliente cadastrado com este CPF.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inativo não pode realizar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CLIENTE_COM_PEDIDO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não pode ser excluído pois possui pedido vinculado.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CLIENTE_SEM_ENDERECO_PRINCIPAL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selecionado não possui endereço principal 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CEP_INDISPONIVEL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foi possível validar o CEP agora. Tente novamente em instantes.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inválido ou não encontrado.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CEP_DUPLICADO_CLIENTE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endereço cadastrado com este CEP para este cliente.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ENDERECO_NUMERO_OBRIGATORIO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 do endereço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FOTO_FORMATO_INVALIDO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de imagem inválido. Utilize JPEG, PNG ou WEBP.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 &amp;1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E-mail em formato inválido.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 deve conter 10 ou 11 dígitos (DDD + número).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DATA_NASCIMENTO_FUTURA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de nascimento não pode ser futura.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ITEM_SKU_DUPLICADO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item cadastrado com este SKU.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ITEM_SEM_ESTOQUE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está sem estoque disponível e não pode ser adicionado ao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ITEM_ESTOQUE_INSUFICIENTE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insuficiente para o item &amp;1 (disponível: &amp;2).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ITEM_ESTOQUE_CONCORRENTE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do item &amp;1 alterado por outra operação. Atualize e tente de novo.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inativo não pode ser usado em novo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ITEM_INATIVACAO_BLOQUEADA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possui estoque disponível ou pedido ativo. Inativação bloqueada.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ITEM_EXCLUSAO_BLOQUEADA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não pode ser excluído pois está vinculado a pedido ou reserva.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Quantidade do item deve ser maior que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ITEM_PRECO_INVALIDO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Preço unitário deve ser maior ou igual a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ITEM_QTDE_ESTOQUE_INVALIDA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 em estoque não pode ser negativa nem menor que a reservada (&amp;1).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ITEM_RESERVA_INCONSISTENTE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 do item &amp;1 inconsistente com 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PEDIDO_SEM_ITENS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deve possuir ao menos um item.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Transição de status não permitida (status atual: 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PEDIDO_EDICAO_BLOQUEADA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só pode ser editado ou excluído no status ABERTO.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PEDIDO_PAGAMENTO_PENDENTE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pendente. O pedido não pode ser finalizado.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finalizado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cancelado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PEDIDO_MOTIVO_CANCEL_OBRIG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do cancelamento.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PEDIDO_CONFIRMADO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registrado. Estoque reservado.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finalizado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PEDIDO_REEMBOLSO_SOLICITADO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enviado para processamento de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PAGAMENTO_RECUSADO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recusado. O pedido permanecerá aguardando pagamento.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CARTAO_DADOS_INVALIDOS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cartão inválidos: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SNAPSHOT_EXISTENTE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 do pedido já foi gerado e não pode ser recriado.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REEMBOLSO_MOTIVO_DECISAO_OBRIG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da decisão sobre o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aprovado. Pedido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REEMBOLSO_REJEITADO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rejeitado. Pedido retomado.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Solicitação de reembolso não está mais pendente.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NUMERACAO_ERRO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Erro ao obter numeração (&amp;1). Verifique o intervalo de numeração.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SEM_AUTORIZACAO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 sem autorização para esta operação.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inválido para o campo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TEXTO_LIVRE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&amp;1&amp;2&amp;3&amp;4 (mensagens longas da importação, divididas em variáveis de 50 caracteres)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22. Critérios de aceite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cadastrar cliente com CPF válido e único, então o CPF é salvo só com números e exibido formatado.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tentar criar, editar ou excluir cliente, então a operação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com pedido, quando o administrador tentar excluí-lo, então a exclusão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inativo, quando for usado num novo pedido, então o registro do pedido é bloqueado.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endereço gravado, quando o usuário tentar alterar o CEP, então o campo está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CEP já usado pelo mesmo cliente, quando outro endereço for salvo com ele, então o Save é bloqueado.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22.2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item salvo com categoria, então o SKU é gerado no Save com as 3 primeiras letras da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QtdeEstoque = 10 e QtdeReservada = 3, então QtdeDisponivel = 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QtdeDisponivel = 0, 1 a 10 ou ≥ 11, então o status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SEM_ESTOQUE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ACABANDO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EM_ESTOQUE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dois registros de pedido simultâneos para o mesmo item, então o segundo é bloqueado se o primeiro consumir a disponibilidade.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22.3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rascunho, então nenhuma reserva é feita.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válido, quando salvo, então o pedido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o estoque é reservado.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sem itens, sem endereço principal ou sem estoque suficiente, quando salvo, então o registro é bloqueado sem reserva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quando itens forem alterados, incluídos ou removidos, então a reserva reflete só a diferença.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pagamento aprovado, então o pedido vai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recusado, permanece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, quando aprovado, então o estoque é baixado, os snapshots gerados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sem pagamento aprovado, quando cancelado com motivo, então a reserva é liberada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com pagamento aprovado, quando cancelado, então é criada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encerrado, quando aberto, então cliente e itens vêm dos snapshots e nenhuma edição é possível.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22.4 Reembolsos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aprovada, então o pedido é cancelado, a reserva liberada e o pagamento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rejeitada sem motivo, então a ação é bloqueada; com motivo, o pedido retoma o status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já decidida, então Aprovar e Rejeitar não ficam disponíveis.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22.5 Importação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planilha com um erro em qualquer linha, então nada é gravado e o erro é listado com o número da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a mesma planilha de pedidos importada duas vezes, então a segunda importação é recusada.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22.6 Ambientes e aplicações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o mesmo código-fonte, então ele ativa sem erros no SAP BTP, ABAP environment (pacotes ABAP for Cloud Development) e no SAP S/4HANA On-Premise (pacotes Standard ABAP), mudando só a classe de integração com 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acessar o launchpad, então vê os tiles das oito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acessar o launchpad, então vê Pedidos de Compras e as aplicações liberadas na sua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sem acesso ao serviço no On-Premise, então o serviço responde 403 (falta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link de cliente ou item no pedido, quando clicado, então a aplicação de destino abre a Object Page.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23. Estrutura de pacotes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1"/>
        <w:gridCol w:w="5425"/>
      </w:tblGrid>
      <w:tr>
        <w:trPr>
          <w:tblHeader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Pacote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ZAVBS_PEDIDOS_COMPRAS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 principal (estrutura)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ZAVBS_PC_COMMON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Constantes, exceção e Message Class; classes utilitárias, de autorização, numeração, integração com o ViaCEP, leitura de planilha, importação, setup e reset; CodeLists; objeto de numeração e objetos de autorização; abstract entities de upload; serviço analítico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ZAVBS_PC_CLIENTES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Cliente; value helps de cliente, endereço, CEP e gênero; classe de virtual elements; cubo e consulta de clientes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ZAVBS_PC_ESTOQUE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Estoque; value helps de item, categoria e status; abstract entity de quantidade; cubo e consulta de estoque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Pedido; abstract entities de cancelamento e retomada; value helps de status; cubo e consulta de pedidos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ZAVBS_PC_PEDIDOS_PAGAMENTOS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 de pagamento, value helps de pagamento, abstract entity de pagamento e classe do pagamento simulado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ZAVBS_PC_PEDIDOS_SNAPSHOTS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 e tabelas dos snapshots de cliente e itens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ZAVBS_PC_REEMBOLSOS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Tabela, CDS, BDEF, behavior pool e serviço do BO Reembolso; value help de status; abstract entity da decisão; cubo e consulta de reembolsos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Versão de linguagem: ABAP for Cloud Development no SAP BTP, ABAP environment; Standard ABAP no On-Premise, com camada de transporte. As aplicações de front-end (BSPs) ficam no pacote do domínio correspondente.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nomes acima usam o prefixo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 deste repositório, que é opcional (seção 4). Em outro projeto, a mesma estrutura pode ser criada com o prefixo genérico sugerido: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</w:t>
      </w:r>
      <w:r>
        <w:rPr>
          <w:rFonts w:ascii="Arial" w:cs="Arial" w:eastAsia="Arial" w:hAnsi="Arial"/>
          <w:sz w:val="20"/>
          <w:szCs w:val="20"/>
        </w:rPr>
        <w:t xml:space="preserve"> (com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ZPK_PC_PEDIDOS_PAGAMENTOS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ZPK_PC_PEDIDOS_SNAPSHOTS</w:t>
      </w:r>
      <w:r>
        <w:rPr>
          <w:rFonts w:ascii="Arial" w:cs="Arial" w:eastAsia="Arial" w:hAnsi="Arial"/>
          <w:sz w:val="20"/>
          <w:szCs w:val="20"/>
        </w:rPr>
        <w:t xml:space="preserve">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ZPK_PC_REEMBOLSOS</w:t>
      </w:r>
      <w:r>
        <w:rPr>
          <w:rFonts w:ascii="Arial" w:cs="Arial" w:eastAsia="Arial" w:hAnsi="Arial"/>
          <w:sz w:val="20"/>
          <w:szCs w:val="20"/>
        </w:rPr>
        <w:t xml:space="preserve">. O código ABAP não referencia o nome dos pacotes; só o descritor de deploy de cada aplicação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ui5-deploy.yaml</w:t>
      </w:r>
      <w:r>
        <w:rPr>
          <w:rFonts w:ascii="Arial" w:cs="Arial" w:eastAsia="Arial" w:hAnsi="Arial"/>
          <w:sz w:val="20"/>
          <w:szCs w:val="20"/>
        </w:rPr>
        <w:t xml:space="preserve">) informa o pacote de destino da BSP.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24. Implantação e operação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24.1 Sequência de ativação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Tabelas ativas → CDS base e CodeLists → abstract entities e value helps → tabelas draft → projeções e metadata extensions → behavior definitions → behavior pools → classes de apoio → cubos e consultas → service definitions e bindings. O BO Reembolso e sua BDEF precisam estar ativos antes da behavior pool do Pedido, que cria reembolsos por EML. Todas as tabelas e CDS devem ser ativadas antes dos behavior pools, por causa das dependências cruzadas.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24.2 Objetos criados manualmente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681"/>
        <w:gridCol w:w="1854"/>
        <w:gridCol w:w="2991"/>
      </w:tblGrid>
      <w:tr>
        <w:trPr>
          <w:tblHeader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Class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SE91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Mensagens da seção 21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Domínio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ZPC_NR_NUMC10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NUMC 10,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Number Length Domain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numeração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Editor do 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SNRO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Buffer em memória com mais de zero números; intervalos 01 (pedido) e 02 (SKU)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Atividades da seção 6.1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secundários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e SKU únicos;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ITEM_UUID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CLIENTE_UUID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desempenho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Segurança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Catalogs, Business Roles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6.2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ViaCEP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Communication Arrangement (produção)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16.3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buffer do objeto de numeração é obrigatório: sem ele, a obtenção de número faz atualização síncrona, proibida numa transação RAP.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24.3 Publicação e front-end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os cinco service bindings (ADT; no On-Premise também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/IWFND/V4_ADMIN</w:t>
      </w:r>
      <w:r>
        <w:rPr>
          <w:rFonts w:ascii="Arial" w:cs="Arial" w:eastAsia="Arial" w:hAnsi="Arial"/>
          <w:sz w:val="20"/>
          <w:szCs w:val="20"/>
        </w:rPr>
        <w:t xml:space="preserve">, como grupos de serviços).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as oito aplicações no ABAP repository como BSPs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ZPC_REEMBOLSOS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ZPC_ANL_CLIENTE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ZPC_ANL_REEMB</w:t>
      </w:r>
      <w:r>
        <w:rPr>
          <w:rFonts w:ascii="Arial" w:cs="Arial" w:eastAsia="Arial" w:hAnsi="Arial"/>
          <w:sz w:val="20"/>
          <w:szCs w:val="20"/>
        </w:rPr>
        <w:t xml:space="preserve">). No BTP o deploy gera também a IAM App da aplicação; no On-Premise exige ordem de transporte.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Launchpad — BTP: tiles no SAP Build Work Zone ou catálogos e espaços do ABAP environment. On-Premise: catálogo técnico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/UI2/FLPAM</w:t>
      </w:r>
      <w:r>
        <w:rPr>
          <w:rFonts w:ascii="Arial" w:cs="Arial" w:eastAsia="Arial" w:hAnsi="Arial"/>
          <w:sz w:val="20"/>
          <w:szCs w:val="20"/>
        </w:rPr>
        <w:t xml:space="preserve"> (tile + target mapping por aplicação, com os intents dos manifests), catálogos de negócio, espaço e página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/UI2/FLPCM_CUST</w:t>
      </w:r>
      <w:r>
        <w:rPr>
          <w:rFonts w:ascii="Arial" w:cs="Arial" w:eastAsia="Arial" w:hAnsi="Arial"/>
          <w:sz w:val="20"/>
          <w:szCs w:val="20"/>
        </w:rPr>
        <w:t xml:space="preserve">, incluídos nas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oferecer SAPUI5 1.136 ou superior.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24.4 Carga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Uma classe de setup deve criar os intervalos de numeração, carregar as CodeLists e, opcionalmente,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On-Premise, o setup com dados de demonstração só roda em DEV e QAS; em PRD, os intervalos são criados na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SNRO</w:t>
      </w:r>
      <w:r>
        <w:rPr>
          <w:rFonts w:ascii="Arial" w:cs="Arial" w:eastAsia="Arial" w:hAnsi="Arial"/>
          <w:sz w:val="20"/>
          <w:szCs w:val="20"/>
        </w:rPr>
        <w:t xml:space="preserve"> e as CodeLists são transportadas.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classe de reset dos dados só pode executar com o modo de demonstração ligado.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24.5 Transporte (On-Premise)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6"/>
        <w:gridCol w:w="4300"/>
      </w:tblGrid>
      <w:tr>
        <w:trPr>
          <w:tblHeader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Transporte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Fontes ABAP, tabelas, CDS, BDEF, serviços, BSPs,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Ordem Workbench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conteúdo do launchpad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Workbench ou Customizing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dos grupos de serviços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Customizing ou 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 e firewall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e atribuição de roles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transportados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25. Testes automatizados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classes de teste ABAP Unit devem ser permanentes, versionadas junto com o código e ajustadas a cada mudança das funcionalidades que cobrem.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Devem cobrir: validações de CPF, telefone, e-mail e imagem; status de estoque; registro do pedido com reserva; edição de itens com reserva incremental; pagamento aprovado e recusado; aprovação e cancelamento; reembolso aprovado e rejeitado; geração de SKU; persistência de endereços; pagamento simulado; leitura de planilhas e as três importações, inclusive a reimportação.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integração devem semear os próprios dados e usar test doubles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cl_cds_test_environment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cl_osql_test_environment</w:t>
      </w:r>
      <w:r>
        <w:rPr>
          <w:rFonts w:ascii="Arial" w:cs="Arial" w:eastAsia="Arial" w:hAnsi="Arial"/>
          <w:sz w:val="20"/>
          <w:szCs w:val="20"/>
        </w:rPr>
        <w:t xml:space="preserve">) quando precisarem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COMMIT ENTITIES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autorização devem usar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CL_AUNIT_AUTHORITY_CHECK</w:t>
      </w:r>
      <w:r>
        <w:rPr>
          <w:rFonts w:ascii="Arial" w:cs="Arial" w:eastAsia="Arial" w:hAnsi="Arial"/>
          <w:sz w:val="20"/>
          <w:szCs w:val="20"/>
        </w:rPr>
        <w:t xml:space="preserve">, sem depender das roles de quem executa.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front-end: testes OPA5 gerados pelo SAP Fiori tools nas aplicações Fiori Elements e QUnit nas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mesmos testes devem passar nos dois ambientes; no On-Premise, o ATC deve rodar sem erros antes da liberação das ordens.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26. Considerações de segurança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authorization control RAP, configurado por ambiente (seção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e cálculos críticos sempre no backend; a aplicação não confia em valores da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sensíveis de cartão nunca persistidos nem exibidos.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encerrado e snapshots são imutáveis; preferir inativação a exclusão.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de estoque transacionais e com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Uploads de imagem e planilha validados (tipo, extensão e conteúdo; planilhas com até 500 linhas).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Modo de demonstração desligado fora do BTP Trial.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On-Premise: validação TLS sempre ativa, confiança em autoridades certificadoras (não no certificado final), destination em vez de URL fixa e nenhum dado de infraestrutura exposto ao usuário.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27. Restrições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Release mínimo</w:t>
      </w:r>
      <w:r>
        <w:rPr>
          <w:rFonts w:ascii="Arial" w:cs="Arial" w:eastAsia="Arial" w:hAnsi="Arial"/>
          <w:sz w:val="20"/>
          <w:szCs w:val="20"/>
        </w:rPr>
        <w:t xml:space="preserve">: a solução usa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 com implementação adicional,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com expressão de anotação em facets,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; no On-Premise, o release de referência é o SAP S/4HANA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SAPUI5</w:t>
      </w:r>
      <w:r>
        <w:rPr>
          <w:rFonts w:ascii="Arial" w:cs="Arial" w:eastAsia="Arial" w:hAnsi="Arial"/>
          <w:sz w:val="20"/>
          <w:szCs w:val="20"/>
        </w:rPr>
        <w:t xml:space="preserve">: as aplicações exigem SAPUI5 1.136 ou superior (descriptor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Ocultar seções</w:t>
      </w:r>
      <w:r>
        <w:rPr>
          <w:rFonts w:ascii="Arial" w:cs="Arial" w:eastAsia="Arial" w:hAnsi="Arial"/>
          <w:sz w:val="20"/>
          <w:szCs w:val="20"/>
        </w:rPr>
        <w:t xml:space="preserve"> da Object Page exige indicadores persistidos, porque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aceita só expressão sobre campo da própria entidade.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CEP na chave da tabela</w:t>
      </w:r>
      <w:r>
        <w:rPr>
          <w:rFonts w:ascii="Arial" w:cs="Arial" w:eastAsia="Arial" w:hAnsi="Arial"/>
          <w:sz w:val="20"/>
          <w:szCs w:val="20"/>
        </w:rPr>
        <w:t xml:space="preserve">: como o CEP é chave da tabela mas não da entidade, ele não pode ser alterado depois de gravado; mudar a chave de uma tabela implantada exige recriá-la.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Imagem no List Report</w:t>
      </w:r>
      <w:r>
        <w:rPr>
          <w:rFonts w:ascii="Arial" w:cs="Arial" w:eastAsia="Arial" w:hAnsi="Arial"/>
          <w:sz w:val="20"/>
          <w:szCs w:val="20"/>
        </w:rPr>
        <w:t xml:space="preserve">: as fotos são exibidas na Object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Leitor de XLSX</w:t>
      </w:r>
      <w:r>
        <w:rPr>
          <w:rFonts w:ascii="Arial" w:cs="Arial" w:eastAsia="Arial" w:hAnsi="Arial"/>
          <w:sz w:val="20"/>
          <w:szCs w:val="20"/>
        </w:rPr>
        <w:t xml:space="preserve">: a biblioteca XCO não lê arquivos salvos pelo LibreOffice nem textos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; nesses casos a importação deve orientar o uso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. Arquivos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</w:t>
      </w:r>
      <w:r>
        <w:rPr>
          <w:rFonts w:ascii="Arial" w:cs="Arial" w:eastAsia="Arial" w:hAnsi="Arial"/>
          <w:sz w:val="20"/>
          <w:szCs w:val="20"/>
        </w:rPr>
        <w:t xml:space="preserve"> não são aceitos.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Limites de nomes</w:t>
      </w:r>
      <w:r>
        <w:rPr>
          <w:rFonts w:ascii="Arial" w:cs="Arial" w:eastAsia="Arial" w:hAnsi="Arial"/>
          <w:sz w:val="20"/>
          <w:szCs w:val="20"/>
        </w:rPr>
        <w:t xml:space="preserve">: tabelas com até 16 caracteres; CDS, classes e constantes de mensagem com até 30; textos de mensagem com até 73; variáveis de mensagem com até 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Conectividade On-Premise</w:t>
      </w:r>
      <w:r>
        <w:rPr>
          <w:rFonts w:ascii="Arial" w:cs="Arial" w:eastAsia="Arial" w:hAnsi="Arial"/>
          <w:sz w:val="20"/>
          <w:szCs w:val="20"/>
        </w:rPr>
        <w:t xml:space="preserve">: a integração com o ViaCEP usa API clássica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CL_HTTP_CLIENT</w:t>
      </w:r>
      <w:r>
        <w:rPr>
          <w:rFonts w:ascii="Arial" w:cs="Arial" w:eastAsia="Arial" w:hAnsi="Arial"/>
          <w:sz w:val="20"/>
          <w:szCs w:val="20"/>
        </w:rPr>
        <w:t xml:space="preserve">), permitida em Standard ABAP e revisada a cada upgrade; para ABAP Cloud, usa-se a versão com destination provider.</w:t>
      </w:r>
    </w:p>
    <w:sectPr>
      <w:headerReference w:type="default" r:id="rId6"/>
      <w:footerReference w:type="default" r:id="rId7"/>
      <w:pgSz w:w="11906" w:h="16838" w:orient="portrait"/>
      <w:pgMar w:top="1300" w:right="1020" w:bottom="11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6ED1" w:sz="6" w:space="4"/>
      </w:pBd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Pedidos de Compras — Especificação Técnica (SAP RAP)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0A6ED1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0A6E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e592eb12c0b4480b7ff7515da41fc343b90dea0.png"/><Relationship Id="rId9" Type="http://schemas.openxmlformats.org/officeDocument/2006/relationships/image" Target="media/d9530aab67930f95dac55c901d9cd66d1ec0877c.png"/><Relationship Id="rId10" Type="http://schemas.openxmlformats.org/officeDocument/2006/relationships/image" Target="media/e8636e2495110fa2cd0cc61877b0244bdd37438d.png"/><Relationship Id="rId11" Type="http://schemas.openxmlformats.org/officeDocument/2006/relationships/image" Target="media/94f1e73287b76241be12357b93cf1bbc8910ca33.png"/><Relationship Id="rId12" Type="http://schemas.openxmlformats.org/officeDocument/2006/relationships/image" Target="media/aa52bd65f59d78861bc01cca788138995eb50722.png"/><Relationship Id="rId13" Type="http://schemas.openxmlformats.org/officeDocument/2006/relationships/image" Target="media/17196cfcc9525d23c41a32a3865f06ab8c791e09.png"/><Relationship Id="rId14" Type="http://schemas.openxmlformats.org/officeDocument/2006/relationships/image" Target="media/5edddd71e22ff0be4a1323ca1acde65d9b2846a7.png"/><Relationship Id="rId15" Type="http://schemas.openxmlformats.org/officeDocument/2006/relationships/image" Target="media/b2cd6f71d33576d18ab8839d8382e1c123968c41.png"/><Relationship Id="rId16" Type="http://schemas.openxmlformats.org/officeDocument/2006/relationships/image" Target="media/da467dc7f8b0a6a301b3e8358958e34b990ba625.png"/><Relationship Id="rId17" Type="http://schemas.openxmlformats.org/officeDocument/2006/relationships/image" Target="media/6ac2a900c559f006f8eacd8c4c5f91718fdc08c0.png"/><Relationship Id="rId18" Type="http://schemas.openxmlformats.org/officeDocument/2006/relationships/image" Target="media/99a5c51e3cbcf9405672ee61f3973274b30e3215.png"/><Relationship Id="rId19" Type="http://schemas.openxmlformats.org/officeDocument/2006/relationships/image" Target="media/43a7df5bf2487e3d2f94fd5c12bcfa50fe047b45.png"/><Relationship Id="rId20" Type="http://schemas.openxmlformats.org/officeDocument/2006/relationships/image" Target="media/214dbd71607193349b2812cfe8ff3ae8667dbabc.png"/><Relationship Id="rId21" Type="http://schemas.openxmlformats.org/officeDocument/2006/relationships/image" Target="media/769871af462524e7bb28987483a576341115de16.png"/><Relationship Id="rId22" Type="http://schemas.openxmlformats.org/officeDocument/2006/relationships/image" Target="media/dfdb71871efb399a56abeeb19b827e129cf8272e.png"/><Relationship Id="rId23" Type="http://schemas.openxmlformats.org/officeDocument/2006/relationships/image" Target="media/da6dd66f21855ad1746d325b6ea8cd5d21eda7c3.png"/><Relationship Id="rId24" Type="http://schemas.openxmlformats.org/officeDocument/2006/relationships/image" Target="media/919ccfadd4f5378ccef6b11b98f3c496cd3dc949.png"/><Relationship Id="rId25" Type="http://schemas.openxmlformats.org/officeDocument/2006/relationships/image" Target="media/7d028e5f52cf12a6c3926e29b64e33ee05f2b896.png"/><Relationship Id="rId26" Type="http://schemas.openxmlformats.org/officeDocument/2006/relationships/image" Target="media/45bce3a7450a79c922b08b679c6f8b84b6daf96b.png"/><Relationship Id="rId27" Type="http://schemas.openxmlformats.org/officeDocument/2006/relationships/image" Target="media/d1c223e7c31ed78bea27d8acfb1c8337f5e95fcc.png"/><Relationship Id="rId28" Type="http://schemas.openxmlformats.org/officeDocument/2006/relationships/image" Target="media/aec4d4e50789883c1522b110f120d2ca61a4273f.png"/><Relationship Id="rId29" Type="http://schemas.openxmlformats.org/officeDocument/2006/relationships/image" Target="media/17c26626dff23a513480d27553ea68376e6bacaf.png"/><Relationship Id="rId30" Type="http://schemas.openxmlformats.org/officeDocument/2006/relationships/image" Target="media/fcf7dfef7bc2c17b660d05c6a8a9bb6bb3348195.png"/><Relationship Id="rId31" Type="http://schemas.openxmlformats.org/officeDocument/2006/relationships/image" Target="media/17bf47016456f9280f51d6ee80cae13533ee26ad.png"/><Relationship Id="rId32" Type="http://schemas.openxmlformats.org/officeDocument/2006/relationships/image" Target="media/371b7c62f074851cb6f8aee20c810494d2ca5dbb.png"/><Relationship Id="rId3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Pedidos de Compras — Especificação Técnica</dc:title>
  <dc:creator>Adriano Bispo</dc:creator>
  <dc:description>Especificação técnica — Pedidos de Compras (SAP RAP)</dc:description>
  <cp:lastModifiedBy>Un-named</cp:lastModifiedBy>
  <cp:revision>1</cp:revision>
  <dcterms:created xsi:type="dcterms:W3CDTF">2026-10-21T04:48:34.164Z</dcterms:created>
  <dcterms:modified xsi:type="dcterms:W3CDTF">2026-10-21T04:48:34.164Z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