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 xml:space="preserve">Versão 2.4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 e nas revisões 2.1 (campos somente leitura no pedido, navegação entre apps e importação de pedidos sem duplicidade), 2.2 (análises em quatro apps, máscara no pagamento e navegações das Object Pages), 2.3 (permissões na UI, ações recusadas no rascunho e proteções na importação) e 2.4 (transições de status atômicas nas ações do pedido).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construída no SAP Cloud Application Programming Model (CAP),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/>
      <w:r>
        <w:rPr>
          <w:rFonts w:ascii="72" w:hAnsi="72" w:cs="72" w:eastAsia="72"/>
          <w:b w:val="0"/>
          <w:sz w:val="20"/>
        </w:rPr>
        <w:t xml:space="preserve">A versão da aplicação em SAP RAP / ABAP Cloud está em </w:t>
      </w:r>
      <w:hyperlink r:id="rId36">
        <w:r>
          <w:rPr>
            <w:rFonts w:ascii="72" w:hAnsi="72" w:cs="72" w:eastAsia="72"/>
            <w:b w:val="0"/>
            <w:sz w:val="20"/>
            <w:color w:val="0563C1"/>
            <w:u w:val="single"/>
          </w:rPr>
          <w:t xml:space="preserve">sap-abap-rap-pedidos-de-compras-app</w:t>
        </w:r>
      </w:hyperlink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+ 4 apps freestyle de análise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@cap-js/cds-test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(72 testes em JavaScript, 74 em TypeScript), ESLint 10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quatro apps freestyle (uma por domínio).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papéis do </w:t>
      </w:r>
      <w:r>
        <w:rPr>
          <w:rFonts w:ascii="Consolas" w:hAnsi="Consolas" w:cs="Consolas" w:eastAsia="Consolas"/>
          <w:b w:val="0"/>
          <w:sz w:val="18"/>
        </w:rPr>
        <w:t xml:space="preserve">@restrict</w:t>
      </w:r>
      <w:r>
        <w:rPr>
          <w:rFonts w:ascii="72" w:hAnsi="72" w:cs="72" w:eastAsia="72"/>
          <w:b w:val="0"/>
          <w:sz w:val="20"/>
        </w:rPr>
        <w:t xml:space="preserve"> não chegam às anotações de UI, que são as mesmas para todos os usuários. Por isso </w:t>
      </w:r>
      <w:r>
        <w:rPr>
          <w:rFonts w:ascii="Consolas" w:hAnsi="Consolas" w:cs="Consolas" w:eastAsia="Consolas"/>
          <w:b w:val="0"/>
          <w:sz w:val="18"/>
        </w:rPr>
        <w:t xml:space="preserve">ClientesService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EstoqueService</w:t>
      </w:r>
      <w:r>
        <w:rPr>
          <w:rFonts w:ascii="72" w:hAnsi="72" w:cs="72" w:eastAsia="72"/>
          <w:b w:val="0"/>
          <w:sz w:val="20"/>
        </w:rPr>
        <w:t xml:space="preserve"> expõem o singleton somente leitura </w:t>
      </w:r>
      <w:r>
        <w:rPr>
          <w:rFonts w:ascii="Consolas" w:hAnsi="Consolas" w:cs="Consolas" w:eastAsia="Consolas"/>
          <w:b w:val="0"/>
          <w:sz w:val="18"/>
        </w:rPr>
        <w:t xml:space="preserve">Permissoes</w:t>
      </w:r>
      <w:r>
        <w:rPr>
          <w:rFonts w:ascii="72" w:hAnsi="72" w:cs="72" w:eastAsia="72"/>
          <w:b w:val="0"/>
          <w:sz w:val="20"/>
        </w:rPr>
        <w:t xml:space="preserve">, com </w:t>
      </w:r>
      <w:r>
        <w:rPr>
          <w:rFonts w:ascii="Consolas" w:hAnsi="Consolas" w:cs="Consolas" w:eastAsia="Consolas"/>
          <w:b w:val="0"/>
          <w:sz w:val="18"/>
        </w:rPr>
        <w:t xml:space="preserve">somenteLeitura</w:t>
      </w:r>
      <w:r>
        <w:rPr>
          <w:rFonts w:ascii="72" w:hAnsi="72" w:cs="72" w:eastAsia="72"/>
          <w:b w:val="0"/>
          <w:sz w:val="20"/>
        </w:rPr>
        <w:t xml:space="preserve"> = usuário sem o papel </w:t>
      </w:r>
      <w:r>
        <w:rPr>
          <w:rFonts w:ascii="Consolas" w:hAnsi="Consolas" w:cs="Consolas" w:eastAsia="Consolas"/>
          <w:b w:val="0"/>
          <w:sz w:val="18"/>
        </w:rPr>
        <w:t xml:space="preserve">Admin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srv/lib/permissoes</w:t>
      </w:r>
      <w:r>
        <w:rPr>
          <w:rFonts w:ascii="72" w:hAnsi="72" w:cs="72" w:eastAsia="72"/>
          <w:b w:val="0"/>
          <w:sz w:val="20"/>
        </w:rPr>
        <w:t xml:space="preserve">). As anotações </w:t>
      </w:r>
      <w:r>
        <w:rPr>
          <w:rFonts w:ascii="Consolas" w:hAnsi="Consolas" w:cs="Consolas" w:eastAsia="Consolas"/>
          <w:b w:val="0"/>
          <w:sz w:val="18"/>
        </w:rPr>
        <w:t xml:space="preserve">UI.CreateHidden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 xml:space="preserve">UI.UpdateHidden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UI.DeleteHidden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 xml:space="preserve"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 xml:space="preserve">Enderecos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Itens</w:t>
      </w:r>
      <w:r>
        <w:rPr>
          <w:rFonts w:ascii="72" w:hAnsi="72" w:cs="72" w:eastAsia="72"/>
          <w:b w:val="0"/>
          <w:sz w:val="20"/>
        </w:rPr>
        <w:t xml:space="preserve">, a ação </w:t>
      </w:r>
      <w:r>
        <w:rPr>
          <w:rFonts w:ascii="72" w:hAnsi="72" w:cs="72" w:eastAsia="72"/>
          <w:b w:val="0"/>
          <w:sz w:val="20"/>
          <w:i/>
        </w:rPr>
        <w:t xml:space="preserve">Definir como principal</w:t>
      </w:r>
      <w:r>
        <w:rPr>
          <w:rFonts w:ascii="72" w:hAnsi="72" w:cs="72" w:eastAsia="72"/>
          <w:b w:val="0"/>
          <w:sz w:val="20"/>
        </w:rPr>
        <w:t xml:space="preserve"> e o botão </w:t>
      </w:r>
      <w:r>
        <w:rPr>
          <w:rFonts w:ascii="72" w:hAnsi="72" w:cs="72" w:eastAsia="72"/>
          <w:b w:val="0"/>
          <w:sz w:val="20"/>
          <w:i/>
        </w:rPr>
        <w:t xml:space="preserve">Importar planilha</w:t>
      </w:r>
      <w:r>
        <w:rPr>
          <w:rFonts w:ascii="72" w:hAnsi="72" w:cs="72" w:eastAsia="72"/>
          <w:b w:val="0"/>
          <w:sz w:val="20"/>
        </w:rPr>
        <w:t xml:space="preserve"> usam esse valor, e o usuário </w:t>
      </w:r>
      <w:r>
        <w:rPr>
          <w:rFonts w:ascii="Consolas" w:hAnsi="Consolas" w:cs="Consolas" w:eastAsia="Consolas"/>
          <w:b w:val="0"/>
          <w:sz w:val="18"/>
        </w:rPr>
        <w:t xml:space="preserve">Comum</w:t>
      </w:r>
      <w:r>
        <w:rPr>
          <w:rFonts w:ascii="72" w:hAnsi="72" w:cs="72" w:eastAsia="72"/>
          <w:b w:val="0"/>
          <w:sz w:val="20"/>
        </w:rPr>
        <w:t xml:space="preserve"> só vê as opções de consulta. O </w:t>
      </w:r>
      <w:r>
        <w:rPr>
          <w:rFonts w:ascii="Consolas" w:hAnsi="Consolas" w:cs="Consolas" w:eastAsia="Consolas"/>
          <w:b w:val="0"/>
          <w:sz w:val="18"/>
        </w:rPr>
        <w:t xml:space="preserve">@restrict</w:t>
      </w:r>
      <w:r>
        <w:rPr>
          <w:rFonts w:ascii="72" w:hAnsi="72" w:cs="72" w:eastAsia="72"/>
          <w:b w:val="0"/>
          <w:sz w:val="20"/>
        </w:rPr>
        <w:t xml:space="preserve"> continua barrando a alteração no backend.</w:t>
      </w:r>
    </w:p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Referência da planilha (coluna Pedido), gravada só pela importação;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Generos, CepsCadastrados, Permissoes (singleton)</w:t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Itens, Categorias, StatusEstoque, Permissoes (singleton)</w:t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semReembolso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o SKU do item),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nome,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cpfClienteFormatado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Registro, edição, pagamento, aprovação, cancelamento, reembolso, snapshots e transições atômicas de status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bibliotecas; até 50 MB por parte descompactada)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Conteúdo do singleton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somenteLeitura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pelo papel do usuário)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 xml:space="preserve">). Os handlers das três ações também são registrados no rascunho (Pedidos.drafts), para que a chamada sobre ele receba essa mensagem (HTTP 409) em vez de "sem handler" (HTTP 501).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</w:t>
      </w:r>
      <w:r>
        <w:rPr>
          <w:rFonts w:ascii="Consolas" w:hAnsi="Consolas" w:cs="Consolas" w:eastAsia="Consolas"/>
          <w:b w:val="0"/>
          <w:sz w:val="18"/>
        </w:rPr>
        <w:t>PEDIDO_CLIENTE_IMUTAVEL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 xml:space="preserve">. Como toda a requisição roda numa transação, qualquer erro desfaz também os movimentos já aplicados, o número do pedido e os snapshots.</w:t>
      </w:r>
    </w:p>
    <w:p>
      <w:pPr/>
      <w:r>
        <w:rPr>
          <w:rFonts w:ascii="72" w:hAnsi="72" w:cs="72" w:eastAsia="72"/>
          <w:b/>
          <w:sz w:val="20"/>
        </w:rPr>
        <w:t xml:space="preserve">Transições de status do pedido:</w:t>
      </w:r>
      <w:r>
        <w:rPr>
          <w:rFonts w:ascii="72" w:hAnsi="72" w:cs="72" w:eastAsia="72"/>
          <w:b w:val="0"/>
          <w:sz w:val="20"/>
        </w:rPr>
        <w:t xml:space="preserve"> duas ações podem ler o mesmo pedido ao mesmo tempo (ex.: dois cancelamentos, ou pagar e cancelar). Por isso toda ação começa por </w:t>
      </w:r>
      <w:r>
        <w:rPr>
          <w:rFonts w:ascii="Consolas" w:hAnsi="Consolas" w:cs="Consolas" w:eastAsia="Consolas"/>
          <w:b w:val="0"/>
          <w:sz w:val="18"/>
        </w:rPr>
        <w:t xml:space="preserve">transicionarPedido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srv/lib/pedidos</w:t>
      </w:r>
      <w:r>
        <w:rPr>
          <w:rFonts w:ascii="72" w:hAnsi="72" w:cs="72" w:eastAsia="72"/>
          <w:b w:val="0"/>
          <w:sz w:val="20"/>
        </w:rPr>
        <w:t xml:space="preserve">), um </w:t>
      </w:r>
      <w:r>
        <w:rPr>
          <w:rFonts w:ascii="Consolas" w:hAnsi="Consolas" w:cs="Consolas" w:eastAsia="Consolas"/>
          <w:b w:val="0"/>
          <w:sz w:val="18"/>
        </w:rPr>
        <w:t xml:space="preserve">UPDATE Pedidos SET ... WHERE ID = ? AND statusPedido_code = ? AND statusPagamento_code = ?</w:t>
      </w:r>
      <w:r>
        <w:rPr>
          <w:rFonts w:ascii="72" w:hAnsi="72" w:cs="72" w:eastAsia="72"/>
          <w:b w:val="0"/>
          <w:sz w:val="20"/>
        </w:rPr>
        <w:t xml:space="preserve"> com o estado lido no início da ação. O </w:t>
      </w:r>
      <w:r>
        <w:rPr>
          <w:rFonts w:ascii="Consolas" w:hAnsi="Consolas" w:cs="Consolas" w:eastAsia="Consolas"/>
          <w:b w:val="0"/>
          <w:sz w:val="18"/>
        </w:rPr>
        <w:t xml:space="preserve">UPDATE</w:t>
      </w:r>
      <w:r>
        <w:rPr>
          <w:rFonts w:ascii="72" w:hAnsi="72" w:cs="72" w:eastAsia="72"/>
          <w:b w:val="0"/>
          <w:sz w:val="20"/>
        </w:rPr>
        <w:t xml:space="preserve"> também bloqueia a linha até o fim da transação. Só a primeira ação muda o status; a outra recebe </w:t>
      </w:r>
      <w:r>
        <w:rPr>
          <w:rFonts w:ascii="Consolas" w:hAnsi="Consolas" w:cs="Consolas" w:eastAsia="Consolas"/>
          <w:b w:val="0"/>
          <w:sz w:val="18"/>
        </w:rPr>
        <w:t xml:space="preserve">PEDIDO_ALTERADO_CONCORRENTE</w:t>
      </w:r>
      <w:r>
        <w:rPr>
          <w:rFonts w:ascii="72" w:hAnsi="72" w:cs="72" w:eastAsia="72"/>
          <w:b w:val="0"/>
          <w:sz w:val="20"/>
        </w:rPr>
        <w:t xml:space="preserve"> (HTTP 409) antes de mexer no estoque, no pagamento ou nos snapshots, então não há dupla reserva, dupla baixa ou dupla liberação. A mesma conferência vale para: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</w:t>
      </w:r>
      <w:r>
        <w:rPr>
          <w:rFonts w:ascii="72" w:hAnsi="72" w:cs="72" w:eastAsia="72"/>
          <w:b w:val="0"/>
          <w:sz w:val="20"/>
          <w:i/>
        </w:rPr>
        <w:t xml:space="preserve">Save da edição</w:t>
      </w:r>
      <w:r>
        <w:rPr>
          <w:rFonts w:ascii="72" w:hAnsi="72" w:cs="72" w:eastAsia="72"/>
          <w:b w:val="0"/>
          <w:sz w:val="20"/>
        </w:rPr>
        <w:t xml:space="preserve"> do pedido, que só ajusta a reserva se o pedido continua </w:t>
      </w:r>
      <w:r>
        <w:rPr>
          <w:rFonts w:ascii="Consolas" w:hAnsi="Consolas" w:cs="Consolas" w:eastAsia="Consolas"/>
          <w:b w:val="0"/>
          <w:sz w:val="18"/>
        </w:rPr>
        <w:t xml:space="preserve">ABERTO</w:t>
      </w:r>
      <w:r>
        <w:rPr>
          <w:rFonts w:ascii="72" w:hAnsi="72" w:cs="72" w:eastAsia="72"/>
          <w:b w:val="0"/>
          <w:sz w:val="20"/>
        </w:rPr>
        <w:t xml:space="preserve">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</w:t>
      </w:r>
      <w:r>
        <w:rPr>
          <w:rFonts w:ascii="72" w:hAnsi="72" w:cs="72" w:eastAsia="72"/>
          <w:b w:val="0"/>
          <w:sz w:val="20"/>
          <w:i/>
        </w:rPr>
        <w:t xml:space="preserve">decisão do reembolso</w:t>
      </w:r>
      <w:r>
        <w:rPr>
          <w:rFonts w:ascii="72" w:hAnsi="72" w:cs="72" w:eastAsia="72"/>
          <w:b w:val="0"/>
          <w:sz w:val="20"/>
        </w:rPr>
        <w:t xml:space="preserve">, gravada só se a solicitação ainda está </w:t>
      </w:r>
      <w:r>
        <w:rPr>
          <w:rFonts w:ascii="Consolas" w:hAnsi="Consolas" w:cs="Consolas" w:eastAsia="Consolas"/>
          <w:b w:val="0"/>
          <w:sz w:val="18"/>
        </w:rPr>
        <w:t xml:space="preserve">PENDENTE</w:t>
      </w:r>
      <w:r>
        <w:rPr>
          <w:rFonts w:ascii="72" w:hAnsi="72" w:cs="72" w:eastAsia="72"/>
          <w:b w:val="0"/>
          <w:sz w:val="20"/>
        </w:rPr>
        <w:t xml:space="preserve"> (de duas decisões simultâneas, a segunda recebe </w:t>
      </w:r>
      <w:r>
        <w:rPr>
          <w:rFonts w:ascii="Consolas" w:hAnsi="Consolas" w:cs="Consolas" w:eastAsia="Consolas"/>
          <w:b w:val="0"/>
          <w:sz w:val="18"/>
        </w:rPr>
        <w:t xml:space="preserve">REEMBOLSO_STATUS_INVALIDO</w:t>
      </w:r>
      <w:r>
        <w:rPr>
          <w:rFonts w:ascii="72" w:hAnsi="72" w:cs="72" w:eastAsia="72"/>
          <w:b w:val="0"/>
          <w:sz w:val="20"/>
        </w:rPr>
        <w:t xml:space="preserve"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Cada item congelado abre a Object Page </w:t>
      </w:r>
      <w:r>
        <w:rPr>
          <w:rFonts w:ascii="72" w:hAnsi="72" w:cs="72" w:eastAsia="72"/>
          <w:b w:val="0"/>
          <w:i/>
          <w:sz w:val="20"/>
        </w:rPr>
        <w:t>Item no encerramento do pedido</w:t>
      </w:r>
      <w:r>
        <w:rPr>
          <w:rFonts w:ascii="72" w:hAnsi="72" w:cs="72" w:eastAsia="72"/>
          <w:b w:val="0"/>
          <w:sz w:val="20"/>
        </w:rPr>
        <w:t xml:space="preserve"> (nome, SKU, descrição, categoria, quantidade, preço unitário, total e data do congelamento); cliente e item do snapshot têm links para as apps de Clientes e Estoque (seção 15.4).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Máximo de 500 linhas de dados; cada parte do .xlsx descompactada pode ter até 50 MB (proteção contra arquivos pequenos que se expandem demais).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erro, sem diferenciar maiúsculas de minúsculas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Linhas com a mesma referência formam um pedido; cliente ativo com endereço principal; itens ativos; o disponível precisa cobrir a soma da planilha inteira; cada pedido nasce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reserva; a referência é gravada no pedido e a mesma referência para o mesmo cliente é recusada enquanto houver pedido não cancelado com ela (reenviar a planilha não duplica pedidos); referência com até 40 caracteres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Cada domínio tem a sua app freestyle de análise, com barra de filtros, indicadores (KPIs), 5 gráficos (colunas ou rosca) e uma página de detalhe por análise (gráfico ampliado e tabela), num total de 20 análises. O botão </w:t>
      </w:r>
      <w:r>
        <w:rPr>
          <w:rFonts w:ascii="72" w:hAnsi="72" w:cs="72" w:eastAsia="72"/>
          <w:b/>
          <w:sz w:val="20"/>
        </w:rPr>
        <w:t>Abrir gestão</w:t>
      </w:r>
      <w:r>
        <w:rPr>
          <w:rFonts w:ascii="72" w:hAnsi="72" w:cs="72" w:eastAsia="72"/>
          <w:b w:val="0"/>
          <w:sz w:val="20"/>
        </w:rPr>
        <w:t xml:space="preserve"> navega para a app de gestão do domínio.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Indicadores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Abrir gestão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analise-pedidos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total, pedidos, ticket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analise-clientes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clientes, score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analise-estoque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itens, em estoque, reservada, disponível, valor em estoque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analise-reembolsos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valor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quatro apps têm a mesma estrutura: </w:t>
      </w:r>
      <w:r>
        <w:rPr>
          <w:rFonts w:ascii="Consolas" w:hAnsi="Consolas" w:cs="Consolas" w:eastAsia="Consolas"/>
          <w:b w:val="0"/>
          <w:sz w:val="18"/>
        </w:rPr>
        <w:t>model/Scenarios.js</w:t>
      </w:r>
      <w:r>
        <w:rPr>
          <w:rFonts w:ascii="72" w:hAnsi="72" w:cs="72" w:eastAsia="72"/>
          <w:b w:val="0"/>
          <w:sz w:val="20"/>
        </w:rPr>
        <w:t xml:space="preserve"> (medidas, dimensões, filtros e cenários do domínio), </w:t>
      </w:r>
      <w:r>
        <w:rPr>
          <w:rFonts w:ascii="Consolas" w:hAnsi="Consolas" w:cs="Consolas" w:eastAsia="Consolas"/>
          <w:b w:val="0"/>
          <w:sz w:val="18"/>
        </w:rPr>
        <w:t>model/AnalyticsQuery.js</w:t>
      </w:r>
      <w:r>
        <w:rPr>
          <w:rFonts w:ascii="72" w:hAnsi="72" w:cs="72" w:eastAsia="72"/>
          <w:b w:val="0"/>
          <w:sz w:val="20"/>
        </w:rPr>
        <w:t xml:space="preserve"> (montagem do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), </w:t>
      </w:r>
      <w:r>
        <w:rPr>
          <w:rFonts w:ascii="Consolas" w:hAnsi="Consolas" w:cs="Consolas" w:eastAsia="Consolas"/>
          <w:b w:val="0"/>
          <w:sz w:val="18"/>
        </w:rPr>
        <w:t>service/AnalyticsService.js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control/AnalysisChart.js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control/FilterBar.js</w:t>
      </w:r>
      <w:r>
        <w:rPr>
          <w:rFonts w:ascii="72" w:hAnsi="72" w:cs="72" w:eastAsia="72"/>
          <w:b w:val="0"/>
          <w:sz w:val="20"/>
        </w:rPr>
        <w:t>, rotas do painel (padrão vazio) e do detalhe (</w:t>
      </w:r>
      <w:r>
        <w:rPr>
          <w:rFonts w:ascii="Consolas" w:hAnsi="Consolas" w:cs="Consolas" w:eastAsia="Consolas"/>
          <w:b w:val="0"/>
          <w:sz w:val="18"/>
        </w:rPr>
        <w:t>analise/{scenario}</w:t>
      </w:r>
      <w:r>
        <w:rPr>
          <w:rFonts w:ascii="72" w:hAnsi="72" w:cs="72" w:eastAsia="72"/>
          <w:b w:val="0"/>
          <w:sz w:val="20"/>
        </w:rPr>
        <w:t xml:space="preserve">), e testes QUnit em </w:t>
      </w:r>
      <w:r>
        <w:rPr>
          <w:rFonts w:ascii="Consolas" w:hAnsi="Consolas" w:cs="Consolas" w:eastAsia="Consolas"/>
          <w:b w:val="0"/>
          <w:sz w:val="18"/>
        </w:rPr>
        <w:t>webapp/test/unit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/analisepedidos/index.html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 (oito).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AnalisePedidos-display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AnaliseClientes-display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AnaliseEstoque-display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AnaliseReembolsos-display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(seção 15.4). A configuração liga a resolução de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no cliente (</w:t>
      </w:r>
      <w:r>
        <w:rPr>
          <w:rFonts w:ascii="Consolas" w:hAnsi="Consolas" w:cs="Consolas" w:eastAsia="Consolas"/>
          <w:b w:val="0"/>
          <w:sz w:val="18"/>
        </w:rPr>
        <w:t>services.NavTargetResolutionInternal.config.enableClientSideTargetResolution</w:t>
      </w:r>
      <w:r>
        <w:rPr>
          <w:rFonts w:ascii="72" w:hAnsi="72" w:cs="72" w:eastAsia="72"/>
          <w:b w:val="0"/>
          <w:sz w:val="20"/>
        </w:rPr>
        <w:t>): sem ela o shell não informa os objetos semânticos disponíveis e o Fiori Elements esconde os links.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menu </w:t>
      </w:r>
      <w:r>
        <w:rPr>
          <w:rFonts w:ascii="72" w:hAnsi="72" w:cs="72" w:eastAsia="72"/>
          <w:b w:val="0"/>
          <w:i/>
          <w:sz w:val="20"/>
        </w:rPr>
        <w:t>Ações</w:t>
      </w:r>
      <w:r>
        <w:rPr>
          <w:rFonts w:ascii="72" w:hAnsi="72" w:cs="72" w:eastAsia="72"/>
          <w:b w:val="0"/>
          <w:sz w:val="20"/>
        </w:rPr>
        <w:t xml:space="preserve"> com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>, habilitados conforme o status (seção 8.4). O mesmo menu fica na barra da lista, para os pedidos selecionados.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usuário informa apenas o </w:t>
      </w:r>
      <w:r>
        <w:rPr>
          <w:rFonts w:ascii="72" w:hAnsi="72" w:cs="72" w:eastAsia="72"/>
          <w:b/>
          <w:sz w:val="20"/>
        </w:rPr>
        <w:t>Cliente</w:t>
      </w:r>
      <w:r>
        <w:rPr>
          <w:rFonts w:ascii="72" w:hAnsi="72" w:cs="72" w:eastAsia="72"/>
          <w:b w:val="0"/>
          <w:sz w:val="20"/>
        </w:rPr>
        <w:t xml:space="preserve"> (só na criação) e os itens. CPF, e-mail, telefone, gênero, nascimento e endereço de entrega são preenchidos automaticamente pela associação 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 e são somente leitura (</w:t>
      </w:r>
      <w:r>
        <w:rPr>
          <w:rFonts w:ascii="Consolas" w:hAnsi="Consolas" w:cs="Consolas" w:eastAsia="Consolas"/>
          <w:b w:val="0"/>
          <w:sz w:val="18"/>
        </w:rPr>
        <w:t>@Core.Computed</w:t>
      </w:r>
      <w:r>
        <w:rPr>
          <w:rFonts w:ascii="72" w:hAnsi="72" w:cs="72" w:eastAsia="72"/>
          <w:b w:val="0"/>
          <w:sz w:val="20"/>
        </w:rPr>
        <w:t>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>@readonly</w:t>
      </w:r>
      <w:r>
        <w:rPr>
          <w:rFonts w:ascii="72" w:hAnsi="72" w:cs="72" w:eastAsia="72"/>
          <w:b w:val="0"/>
          <w:sz w:val="20"/>
        </w:rPr>
        <w:t xml:space="preserve"> no </w:t>
      </w:r>
      <w:r>
        <w:rPr>
          <w:rFonts w:ascii="Consolas" w:hAnsi="Consolas" w:cs="Consolas" w:eastAsia="Consolas"/>
          <w:b w:val="0"/>
          <w:sz w:val="18"/>
        </w:rPr>
        <w:t>PedidosService</w:t>
      </w:r>
      <w:r>
        <w:rPr>
          <w:rFonts w:ascii="72" w:hAnsi="72" w:cs="72" w:eastAsia="72"/>
          <w:b w:val="0"/>
          <w:sz w:val="20"/>
        </w:rPr>
        <w:t xml:space="preserve">): só a ação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com solicitação de reembolso: o campo </w:t>
      </w:r>
      <w:r>
        <w:rPr>
          <w:rFonts w:ascii="72" w:hAnsi="72" w:cs="72" w:eastAsia="72"/>
          <w:b w:val="0"/>
          <w:i/>
          <w:sz w:val="20"/>
        </w:rPr>
        <w:t>Solicitação de reembolso</w:t>
      </w:r>
      <w:r>
        <w:rPr>
          <w:rFonts w:ascii="72" w:hAnsi="72" w:cs="72" w:eastAsia="72"/>
          <w:b w:val="0"/>
          <w:sz w:val="20"/>
        </w:rPr>
        <w:t xml:space="preserve"> (em Dados do Pedido) abre o reembolso na Gestão de Reembolsos; fica oculto quando o pedido não tem reembolso (</w:t>
      </w:r>
      <w:r>
        <w:rPr>
          <w:rFonts w:ascii="Consolas" w:hAnsi="Consolas" w:cs="Consolas" w:eastAsia="Consolas"/>
          <w:b w:val="0"/>
          <w:sz w:val="18"/>
        </w:rPr>
        <w:t>semReembolso</w:t>
      </w:r>
      <w:r>
        <w:rPr>
          <w:rFonts w:ascii="72" w:hAnsi="72" w:cs="72" w:eastAsia="72"/>
          <w:b w:val="0"/>
          <w:sz w:val="20"/>
        </w:rPr>
        <w:t>, calculado na projeção do serviço).</w:t>
      </w:r>
    </w:p>
    <w:p>
      <w:pPr>
        <w:pStyle w:val="Ttulo3"/>
      </w:pPr>
      <w:r>
        <w:rPr>
          <w:rFonts w:ascii="72" w:hAnsi="72" w:cs="72" w:eastAsia="72"/>
          <w:b w:val="0"/>
          <w:sz w:val="22"/>
        </w:rPr>
        <w:t xml:space="preserve">Diálogo </w:t>
      </w:r>
      <w:r>
        <w:rPr>
          <w:rFonts w:ascii="72" w:hAnsi="72" w:cs="72" w:eastAsia="72"/>
          <w:b w:val="0"/>
          <w:i/>
          <w:sz w:val="22"/>
        </w:rPr>
        <w:t>Efetuar Pagamento</w:t>
      </w:r>
    </w:p>
    <w:p>
      <w:pPr/>
      <w:r>
        <w:rPr>
          <w:rFonts w:ascii="72" w:hAnsi="72" w:cs="72" w:eastAsia="72"/>
          <w:b w:val="0"/>
          <w:sz w:val="20"/>
        </w:rPr>
        <w:t>O diálogo padrão de parâmetros do Fiori Elements usa campos de texto livre, sem máscara de digitação (</w:t>
      </w:r>
      <w:r>
        <w:rPr>
          <w:rFonts w:ascii="Consolas" w:hAnsi="Consolas" w:cs="Consolas" w:eastAsia="Consolas"/>
          <w:b w:val="0"/>
          <w:sz w:val="18"/>
        </w:rPr>
        <w:t>UI.InputMask</w:t>
      </w:r>
      <w:r>
        <w:rPr>
          <w:rFonts w:ascii="72" w:hAnsi="72" w:cs="72" w:eastAsia="72"/>
          <w:b w:val="0"/>
          <w:sz w:val="20"/>
        </w:rPr>
        <w:t xml:space="preserve"> no parâmetro só formata e valida, não guia a digitação). Por isso a ação é uma ação customizada do manifest (</w:t>
      </w:r>
      <w:r>
        <w:rPr>
          <w:rFonts w:ascii="Consolas" w:hAnsi="Consolas" w:cs="Consolas" w:eastAsia="Consolas"/>
          <w:b w:val="0"/>
          <w:sz w:val="18"/>
        </w:rPr>
        <w:t>webapp/ext/EfetuarPagamento.js</w:t>
      </w:r>
      <w:r>
        <w:rPr>
          <w:rFonts w:ascii="72" w:hAnsi="72" w:cs="72" w:eastAsia="72"/>
          <w:b w:val="0"/>
          <w:sz w:val="20"/>
        </w:rPr>
        <w:t>) que abre um diálogo próprio: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Controle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Máscara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Enviado à action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Método de pagamento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sap.m.Select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sobre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(ordenado por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ordem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código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cartão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9999 9999 9999 9999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Validade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99/99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(MM/AA)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MM/AA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CVV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botão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do diálogo só habilita com o método escolhido, todos os campos completos e o mês da validade entre 01 e 12 (fora disso o campo fica em erro).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confirmação chama a mesma action vinculada pelo </w:t>
      </w:r>
      <w:r>
        <w:rPr>
          <w:rFonts w:ascii="Consolas" w:hAnsi="Consolas" w:cs="Consolas" w:eastAsia="Consolas"/>
          <w:b w:val="0"/>
          <w:sz w:val="18"/>
        </w:rPr>
        <w:t>editFlow.invokeAction</w:t>
      </w:r>
      <w:r>
        <w:rPr>
          <w:rFonts w:ascii="72" w:hAnsi="72" w:cs="72" w:eastAsia="72"/>
          <w:b w:val="0"/>
          <w:sz w:val="20"/>
        </w:rPr>
        <w:t xml:space="preserve"> (sem o diálogo padrão), que trata mensagens, side effects e a atualização da tela. Se o backend recusar os dados, o diálogo continua aberto para correção; o backend continua validando tudo (seção 9.6).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lista, a ação vale para os pedidos selecionados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na Object Page, só habilita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Os dados do cartão existem só nos controles do diálogo, destruído ao fechar.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15.4 Navegação entre aplicações</w:t>
      </w:r>
    </w:p>
    <w:p>
      <w:pPr/>
      <w:r>
        <w:rPr>
          <w:rFonts w:ascii="72" w:hAnsi="72" w:cs="72" w:eastAsia="72"/>
          <w:b w:val="0"/>
          <w:sz w:val="20"/>
        </w:rPr>
        <w:t>Os campos abaixo viram links para o registro na app de destino (no launchpad local). A app de destino abre direto a Object Page pela chave semântica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 do cliente,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do item,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 do pedido), enviada no contexto da navegação.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Campos com link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 (intent)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Parâmetro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Common.SemanticObjectMapping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(só com reembolso)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encerrado (snapshot do cliente)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 no encerramento (snapshot do item)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Apps de análise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 de gestão do domínio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Pedido do reembolso e a Solicitação de reembolso do pedido usam </w:t>
      </w:r>
      <w:r>
        <w:rPr>
          <w:rFonts w:ascii="Consolas" w:hAnsi="Consolas" w:cs="Consolas" w:eastAsia="Consolas"/>
          <w:b w:val="0"/>
          <w:sz w:val="18"/>
        </w:rPr>
        <w:t>UI.DataFieldWithIntentBasedNavigation</w:t>
      </w:r>
      <w:r>
        <w:rPr>
          <w:rFonts w:ascii="72" w:hAnsi="72" w:cs="72" w:eastAsia="72"/>
          <w:b w:val="0"/>
          <w:sz w:val="20"/>
        </w:rPr>
        <w:t xml:space="preserve"> (link direto, sem popover): como chave semântica, numa coluna comum o número seria exibido como identificador, sem link.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demais usam </w:t>
      </w:r>
      <w:r>
        <w:rPr>
          <w:rFonts w:ascii="Consolas" w:hAnsi="Consolas" w:cs="Consolas" w:eastAsia="Consolas"/>
          <w:b w:val="0"/>
          <w:sz w:val="18"/>
        </w:rPr>
        <w:t>Common.SemanticObject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Common.SemanticObjectMapping</w:t>
      </w:r>
      <w:r>
        <w:rPr>
          <w:rFonts w:ascii="72" w:hAnsi="72" w:cs="72" w:eastAsia="72"/>
          <w:b w:val="0"/>
          <w:sz w:val="20"/>
        </w:rPr>
        <w:t xml:space="preserve">; o CPF entra no </w:t>
      </w:r>
      <w:r>
        <w:rPr>
          <w:rFonts w:ascii="Consolas" w:hAnsi="Consolas" w:cs="Consolas" w:eastAsia="Consolas"/>
          <w:b w:val="0"/>
          <w:sz w:val="18"/>
        </w:rPr>
        <w:t>RequestAtLeast</w:t>
      </w:r>
      <w:r>
        <w:rPr>
          <w:rFonts w:ascii="72" w:hAnsi="72" w:cs="72" w:eastAsia="72"/>
          <w:b w:val="0"/>
          <w:sz w:val="20"/>
        </w:rPr>
        <w:t xml:space="preserve"> das listas para estar sempre no contexto.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No rascunho, os campos projetados pela associação não acompanham a troca de cliente ou item: os handlers de </w:t>
      </w:r>
      <w:r>
        <w:rPr>
          <w:rFonts w:ascii="Consolas" w:hAnsi="Consolas" w:cs="Consolas" w:eastAsia="Consolas"/>
          <w:b w:val="0"/>
          <w:sz w:val="18"/>
        </w:rPr>
        <w:t>PATCH</w:t>
      </w:r>
      <w:r>
        <w:rPr>
          <w:rFonts w:ascii="72" w:hAnsi="72" w:cs="72" w:eastAsia="72"/>
          <w:b w:val="0"/>
          <w:sz w:val="20"/>
        </w:rPr>
        <w:t xml:space="preserve"> atualizam </w:t>
      </w:r>
      <w:r>
        <w:rPr>
          <w:rFonts w:ascii="Consolas" w:hAnsi="Consolas" w:cs="Consolas" w:eastAsia="Consolas"/>
          <w:b w:val="0"/>
          <w:sz w:val="18"/>
        </w:rPr>
        <w:t>cpfCliente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cpfClienteFormatado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skuItem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. Parâmetros</w:t>
      </w:r>
      <w:r>
        <w:rPr>
          <w:rFonts w:ascii="Consolas" w:hAnsi="Consolas" w:cs="Consolas" w:eastAsia="Consolas"/>
          <w:b w:val="0"/>
          <w:sz w:val="18"/>
        </w:rPr>
        <w:t xml:space="preserve"/>
      </w:r>
      <w:r>
        <w:rPr>
          <w:rFonts w:ascii="72" w:hAnsi="72" w:cs="72" w:eastAsia="72"/>
          <w:b w:val="0"/>
          <w:sz w:val="20"/>
        </w:rPr>
        <w:t xml:space="preserve">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PEDIDO_ALTERADO_CONCORRENTE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 pedido {numero} foi alterado por outra operação. Atualize a tela e tente novamente.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 xml:space="preserve">Comum</w:t>
      </w:r>
      <w:r>
        <w:rPr>
          <w:rFonts w:ascii="72" w:hAnsi="72" w:cs="72" w:eastAsia="72"/>
          <w:b w:val="0"/>
          <w:sz w:val="20"/>
        </w:rPr>
        <w:t xml:space="preserve">, então </w:t>
      </w:r>
      <w:r>
        <w:rPr>
          <w:rFonts w:ascii="Consolas" w:hAnsi="Consolas" w:cs="Consolas" w:eastAsia="Consolas"/>
          <w:b w:val="0"/>
          <w:sz w:val="18"/>
        </w:rPr>
        <w:t xml:space="preserve">Permissoes.somenteLeitura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 xml:space="preserve">true</w:t>
      </w:r>
      <w:r>
        <w:rPr>
          <w:rFonts w:ascii="72" w:hAnsi="72" w:cs="72" w:eastAsia="72"/>
          <w:b w:val="0"/>
          <w:sz w:val="20"/>
        </w:rPr>
        <w:t xml:space="preserve"> e a app esconde Criar, Editar, Excluir, Importar e </w:t>
      </w:r>
      <w:r>
        <w:rPr>
          <w:rFonts w:ascii="72" w:hAnsi="72" w:cs="72" w:eastAsia="72"/>
          <w:b w:val="0"/>
          <w:sz w:val="20"/>
          <w:i/>
        </w:rPr>
        <w:t xml:space="preserve">Definir como principal</w:t>
      </w:r>
      <w:r>
        <w:rPr>
          <w:rFonts w:ascii="72" w:hAnsi="72" w:cs="72" w:eastAsia="72"/>
          <w:b w:val="0"/>
          <w:sz w:val="20"/>
        </w:rPr>
        <w:t xml:space="preserve">; para o </w:t>
      </w:r>
      <w:r>
        <w:rPr>
          <w:rFonts w:ascii="Consolas" w:hAnsi="Consolas" w:cs="Consolas" w:eastAsia="Consolas"/>
          <w:b w:val="0"/>
          <w:sz w:val="18"/>
        </w:rPr>
        <w:t xml:space="preserve">Admin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 xml:space="preserve">false</w:t>
      </w:r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o diálogo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quando o cartão, a validade ou o CVV estiverem incompletos ou o mês for maior que 12, então o botão de confirmação fica desabilitado; o cartão é digitado no formato </w:t>
      </w:r>
      <w:r>
        <w:rPr>
          <w:rFonts w:ascii="Consolas" w:hAnsi="Consolas" w:cs="Consolas" w:eastAsia="Consolas"/>
          <w:b w:val="0"/>
          <w:sz w:val="18"/>
        </w:rPr>
        <w:t>9999 9999 9999 9999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em edição ou um rascunho, quando uma ação for executada, então é bloqueada (HTTP 409, ACAO_SOMENTE_ATIVO no rascunho).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duas ações simultâneas sobre o mesmo pedido (ex.: dois cancelamentos, ou pagar e cancelar), então só a primeira é aplicada; a outra é recusada com </w:t>
      </w:r>
      <w:r>
        <w:rPr>
          <w:rFonts w:ascii="Consolas" w:hAnsi="Consolas" w:cs="Consolas" w:eastAsia="Consolas"/>
          <w:b w:val="0"/>
          <w:sz w:val="18"/>
        </w:rPr>
        <w:t xml:space="preserve">PEDIDO_ALTERADO_CONCORRENTE</w:t>
      </w:r>
      <w:r>
        <w:rPr>
          <w:rFonts w:ascii="72" w:hAnsi="72" w:cs="72" w:eastAsia="72"/>
          <w:b w:val="0"/>
          <w:sz w:val="20"/>
        </w:rPr>
        <w:t xml:space="preserve"> sem alterar estoque, reserva, pagamento ou motivo.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cadastrado como "Importado Caneta", quando a planilha trouxer "IMPORTADO CANETA", então a importação é recusada (nome já cadastrado).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 xml:space="preserve">.xlsx</w:t>
      </w:r>
      <w:r>
        <w:rPr>
          <w:rFonts w:ascii="72" w:hAnsi="72" w:cs="72" w:eastAsia="72"/>
          <w:b w:val="0"/>
          <w:sz w:val="20"/>
        </w:rPr>
        <w:t xml:space="preserve"> cujo conteúdo descompactado passa de 50 MB, então a leitura é recusada com mensagem de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importado com a referência P001 para um cliente, quando a mesma planilha é importada de novo, então é recusada (</w:t>
      </w:r>
      <w:r>
        <w:rPr>
          <w:rFonts w:ascii="Consolas" w:hAnsi="Consolas" w:cs="Consolas" w:eastAsia="Consolas"/>
          <w:b w:val="0"/>
          <w:sz w:val="18"/>
        </w:rPr>
        <w:t>o pedido P001 do cliente ... já foi importado</w:t>
      </w:r>
      <w:r>
        <w:rPr>
          <w:rFonts w:ascii="72" w:hAnsi="72" w:cs="72" w:eastAsia="72"/>
          <w:b w:val="0"/>
          <w:sz w:val="20"/>
        </w:rPr>
        <w:t>) e nada é gravado; outro cliente pode usar P001, e o cancelamento do pedido libera a referência.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app de análise mostra só o seu domínio (indicadores e 5 gráficos), abre o detalhe de cada análise e navega para a app de gestão do domínio.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Modelo CDS, apps (inclusive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webapp/ext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testes QUnit),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Depurar (VS Code / BAS)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Configuração </w:t>
            </w:r>
            <w:r>
              <w:rPr>
                <w:rFonts w:ascii="72" w:hAnsi="72" w:cs="72" w:eastAsia="72"/>
                <w:b w:val="0"/>
                <w:sz w:val="18"/>
                <w:i/>
              </w:rPr>
              <w:t xml:space="preserve">cds serve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cds serve --with-mocks --in-memory?</w:t>
            </w:r>
            <w:r>
              <w:rPr>
                <w:rFonts w:ascii="72" w:hAnsi="72" w:cs="72" w:eastAsia="72"/>
                <w:b w:val="0"/>
                <w:sz w:val="18"/>
              </w:rPr>
              <w:t xml:space="preserve"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Idem (o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cds serve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carrega os handlers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)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</w:t>
      </w:r>
      <w:r>
        <w:rPr>
          <w:rFonts w:ascii="Consolas" w:hAnsi="Consolas" w:cs="Consolas" w:eastAsia="Consolas"/>
          <w:b w:val="0"/>
          <w:sz w:val="18"/>
        </w:rPr>
        <w:t xml:space="preserve">.vscode</w:t>
      </w:r>
      <w:r>
        <w:rPr>
          <w:rFonts w:ascii="72" w:hAnsi="72" w:cs="72" w:eastAsia="72"/>
          <w:b w:val="0"/>
          <w:sz w:val="20"/>
        </w:rPr>
        <w:t xml:space="preserve"> de cada implementação é o gerado pelo </w:t>
      </w:r>
      <w:r>
        <w:rPr>
          <w:rFonts w:ascii="Consolas" w:hAnsi="Consolas" w:cs="Consolas" w:eastAsia="Consolas"/>
          <w:b w:val="0"/>
          <w:sz w:val="18"/>
        </w:rPr>
        <w:t xml:space="preserve">cds init</w:t>
      </w:r>
      <w:r>
        <w:rPr>
          <w:rFonts w:ascii="72" w:hAnsi="72" w:cs="72" w:eastAsia="72"/>
          <w:b w:val="0"/>
          <w:sz w:val="20"/>
        </w:rPr>
        <w:t xml:space="preserve">, o mesmo que o SAP Business Application Studio cria num projeto CAP: a configuração de depuração </w:t>
      </w:r>
      <w:r>
        <w:rPr>
          <w:rFonts w:ascii="72" w:hAnsi="72" w:cs="72" w:eastAsia="72"/>
          <w:b w:val="0"/>
          <w:sz w:val="20"/>
          <w:i/>
        </w:rPr>
        <w:t xml:space="preserve">cds serve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launch.json</w:t>
      </w:r>
      <w:r>
        <w:rPr>
          <w:rFonts w:ascii="72" w:hAnsi="72" w:cs="72" w:eastAsia="72"/>
          <w:b w:val="0"/>
          <w:sz w:val="20"/>
        </w:rPr>
        <w:t xml:space="preserve">), a tarefa </w:t>
      </w:r>
      <w:r>
        <w:rPr>
          <w:rFonts w:ascii="72" w:hAnsi="72" w:cs="72" w:eastAsia="72"/>
          <w:b w:val="0"/>
          <w:sz w:val="20"/>
          <w:i/>
        </w:rPr>
        <w:t xml:space="preserve">cds watch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tasks.json</w:t>
      </w:r>
      <w:r>
        <w:rPr>
          <w:rFonts w:ascii="72" w:hAnsi="72" w:cs="72" w:eastAsia="72"/>
          <w:b w:val="0"/>
          <w:sz w:val="20"/>
        </w:rPr>
        <w:t xml:space="preserve">) e as extensões recomendadas. Elas usam o </w:t>
      </w:r>
      <w:r>
        <w:rPr>
          <w:rFonts w:ascii="Consolas" w:hAnsi="Consolas" w:cs="Consolas" w:eastAsia="Consolas"/>
          <w:b w:val="0"/>
          <w:sz w:val="18"/>
        </w:rPr>
        <w:t xml:space="preserve">cds</w:t>
      </w:r>
      <w:r>
        <w:rPr>
          <w:rFonts w:ascii="72" w:hAnsi="72" w:cs="72" w:eastAsia="72"/>
          <w:b w:val="0"/>
          <w:sz w:val="20"/>
        </w:rPr>
        <w:t xml:space="preserve"> global (</w:t>
      </w:r>
      <w:r>
        <w:rPr>
          <w:rFonts w:ascii="Consolas" w:hAnsi="Consolas" w:cs="Consolas" w:eastAsia="Consolas"/>
          <w:b w:val="0"/>
          <w:sz w:val="18"/>
        </w:rPr>
        <w:t xml:space="preserve">npm i -g @sap/cds-dk</w:t>
      </w:r>
      <w:r>
        <w:rPr>
          <w:rFonts w:ascii="72" w:hAnsi="72" w:cs="72" w:eastAsia="72"/>
          <w:b w:val="0"/>
          <w:sz w:val="20"/>
        </w:rPr>
        <w:t xml:space="preserve">); abra a pasta da implementação como workspace para depurar.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 xml:space="preserve">72 testes na versão JavaScript e 74 na TypeScript (</w:t>
      </w:r>
      <w:r>
        <w:rPr>
          <w:rFonts w:ascii="Consolas" w:hAnsi="Consolas" w:cs="Consolas" w:eastAsia="Consolas"/>
          <w:b w:val="0"/>
          <w:sz w:val="18"/>
        </w:rPr>
        <w:t xml:space="preserve">node:test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 xml:space="preserve">@cap-js/cds-test</w:t>
      </w:r>
      <w:r>
        <w:rPr>
          <w:rFonts w:ascii="72" w:hAnsi="72" w:cs="72" w:eastAsia="72"/>
          <w:b w:val="0"/>
          <w:sz w:val="20"/>
        </w:rPr>
        <w:t xml:space="preserve">), com um servidor ViaCEP falso local (sem rede externa) e um gerador de </w:t>
      </w:r>
      <w:r>
        <w:rPr>
          <w:rFonts w:ascii="Consolas" w:hAnsi="Consolas" w:cs="Consolas" w:eastAsia="Consolas"/>
          <w:b w:val="0"/>
          <w:sz w:val="18"/>
        </w:rPr>
        <w:t xml:space="preserve">.xlsx</w:t>
      </w:r>
      <w:r>
        <w:rPr>
          <w:rFonts w:ascii="72" w:hAnsi="72" w:cs="72" w:eastAsia="72"/>
          <w:b w:val="0"/>
          <w:sz w:val="20"/>
        </w:rPr>
        <w:t xml:space="preserve"> mínimo. São permanentes: devem ser mantidos e ajustados junto com as regras de negócio.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CPF, e-mail, telefone, imagens, status de estoque, SKU, pagamento simulado, leitor XLSX/CSV (inclusive o limite do conteúdo descompactado)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Rascunho, ViaCEP, CEP geral, CEP único, endereço principal, CPF, autorização (inclusive Permissoes), exclusão, foto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SKU, disponibilidade e status, concorrência com edição, inativação, exclusão e Permissoes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Registro com reserva, edição pela diferença, pagamento, aprovação, cancelamento (inclusive ações recusadas no rascunho e ações com o pedido alterado por outra operação), reembolso, campos somente leitura (cliente e pagamento)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Clientes, estoque e pedidos (tudo ou nada), nomes e pedidos já importados recusados e modelos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docs/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apps de análise têm testes </w:t>
      </w:r>
      <w:r>
        <w:rPr>
          <w:rFonts w:ascii="72" w:hAnsi="72" w:cs="72" w:eastAsia="72"/>
          <w:b/>
          <w:sz w:val="20"/>
        </w:rPr>
        <w:t>QUnit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app/analise-*/webapp/test/unit</w:t>
      </w:r>
      <w:r>
        <w:rPr>
          <w:rFonts w:ascii="72" w:hAnsi="72" w:cs="72" w:eastAsia="72"/>
          <w:b w:val="0"/>
          <w:sz w:val="20"/>
        </w:rPr>
        <w:t>) do catálogo de cenários (</w:t>
      </w:r>
      <w:r>
        <w:rPr>
          <w:rFonts w:ascii="Consolas" w:hAnsi="Consolas" w:cs="Consolas" w:eastAsia="Consolas"/>
          <w:b w:val="0"/>
          <w:sz w:val="18"/>
        </w:rPr>
        <w:t>Scenarios</w:t>
      </w:r>
      <w:r>
        <w:rPr>
          <w:rFonts w:ascii="72" w:hAnsi="72" w:cs="72" w:eastAsia="72"/>
          <w:b w:val="0"/>
          <w:sz w:val="20"/>
        </w:rPr>
        <w:t>) e da montagem das consultas (</w:t>
      </w:r>
      <w:r>
        <w:rPr>
          <w:rFonts w:ascii="Consolas" w:hAnsi="Consolas" w:cs="Consolas" w:eastAsia="Consolas"/>
          <w:b w:val="0"/>
          <w:sz w:val="18"/>
        </w:rPr>
        <w:t>AnalyticsQuery</w:t>
      </w:r>
      <w:r>
        <w:rPr>
          <w:rFonts w:ascii="72" w:hAnsi="72" w:cs="72" w:eastAsia="72"/>
          <w:b w:val="0"/>
          <w:sz w:val="20"/>
        </w:rPr>
        <w:t xml:space="preserve">), abertos no navegador com o servidor em execução: </w:t>
      </w:r>
      <w:r>
        <w:rPr>
          <w:rFonts w:ascii="Consolas" w:hAnsi="Consolas" w:cs="Consolas" w:eastAsia="Consolas"/>
          <w:b w:val="0"/>
          <w:sz w:val="18"/>
        </w:rPr>
        <w:t>/&lt;app&gt;/test/testsuite.qunit.html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/analisepedidos/test/testsuite.qunit.html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 e webapp/ext/EfetuarPagamento.js)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analise-pedidos/              SAPUI5 freestyle: Análise de Pedidos de Compras</w:t>
        <w:br/>
      </w:r>
      <w:r>
        <w:rPr>
          <w:rFonts w:ascii="Consolas" w:hAnsi="Consolas" w:cs="Consolas" w:eastAsia="Consolas"/>
          <w:sz w:val="16"/>
        </w:rPr>
        <w:t>│   ├── analise-clientes/             SAPUI5 freestyle: Análise de Clientes</w:t>
        <w:br/>
      </w:r>
      <w:r>
        <w:rPr>
          <w:rFonts w:ascii="Consolas" w:hAnsi="Consolas" w:cs="Consolas" w:eastAsia="Consolas"/>
          <w:sz w:val="16"/>
        </w:rPr>
        <w:t>│   ├── analise-estoque/              SAPUI5 freestyle: Análise de Itens do Estoque</w:t>
        <w:br/>
      </w:r>
      <w:r>
        <w:rPr>
          <w:rFonts w:ascii="Consolas" w:hAnsi="Consolas" w:cs="Consolas" w:eastAsia="Consolas"/>
          <w:sz w:val="16"/>
        </w:rPr>
        <w:t>│   ├── analise-reembolsos/           SAPUI5 freestyle: Análise de Pedidos de Reembolsos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 xml:space="preserve">22. Histórico de Revisões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22.1 O que mudou da versão 1 para a 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8 apps independentes (4 de gestão, 4 de análise)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22.2 Revisão 2.1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2.0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Campos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cliente e pagamento apareciam editáveis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o Cliente (na criação) e os itens são informados; dados do cliente vêm da associação; pagamento e snapshots somente leitura; observação somente leitura na tela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Navegação entre apps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item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→ Cliente (Cliente, CPF) e Item (Item, SKU); Reembolso → Pedido e Cliente (Cliente, CPF), abrindo direto o registro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de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 mesma planilha podia ser importada várias vezes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Pedido) como chave de idempotência por cliente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63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por versão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22.3 Revisão 2.2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2.2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Uma app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analise-compras</w:t>
            </w:r>
            <w:r>
              <w:rPr>
                <w:rFonts w:ascii="72" w:hAnsi="72" w:cs="72" w:eastAsia="72"/>
                <w:b w:val="0"/>
                <w:sz w:val="18"/>
              </w:rPr>
              <w:t>) com seletor de domínio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Quatro apps, uma por domínio, cada uma com o seu tile e o 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14)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 QUnit das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Desatualizados (nomes de campo antigos)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Reescritos por domínio, todos passando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Efetuar 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padrão do Fiori Elements, sem máscara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próprio com máscara no cartão, validade e CVV (seção 15.3)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Item histórico sem conteúdo; snapshots e reembolso sem link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item no encerramento; links do snapshot do cliente e dos itens; link do pedido para o reembolso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Cinco tiles; links por objeto semântico podiam não aparecer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Oito tiles; resolução de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intents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no cliente ligada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22.4 Revisão 2.3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2.2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2.3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Permissões na UI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 usuário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via Criar, Editar, Excluir e Importar em Clientes e Estoque (o backend recusava)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Singleton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esconde essas opções (seção 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Ações no rascunho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Chamadas sobre o rascunho respondiam HTTP 501 (sem handler)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HTTP 409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ACAO_SOMENTE_ATIVO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8.4)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Importação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Nome já cadastrado comparado com diferença de maiúsculas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Comparado sem diferenciar maiúsculas de minúsculas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.xlsx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Sem limite para o conteúdo descompactado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Até 50 MB por parte descompactada (seção 13.1)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Código-fonte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Funções com documentação parcial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Comentários explicam a aplicação CAP; todas as funções documentadas (JSDoc/TSDoc)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68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71 (JavaScript) e 73 (TypeScript)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22.5 Revisão 2.4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2.3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2.4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Ações simultâneas no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 ação mudava o status no fim, sem conferir o status lido; um segundo cancelamento simultâneo liberava a reserva de novo (consumindo reservas de outros pedidos)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Transição de status atômica no início de cada ação; a ação que perde a corrida recebe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PEDIDO_ALTERADO_CONCORRENTE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efeito (seção 10)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Decisão do reembolso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Gravada depois do lado do pedido, sem conferir a solicitação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Gravada primeiro, só com a solicitação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10)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Pagar e aprovar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Regras no handler do serviço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srv/lib/pedidos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finalizarPedido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como o cancelamento (seção 7.2)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71 (JavaScript) e 73 (TypeScript)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72 (JavaScript) e 74 (TypeScript)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Relationship Id="rId36" Type="http://schemas.openxmlformats.org/officeDocument/2006/relationships/hyperlink" Target="https://github.com/AdrianoBispo/sap-abap-rap-pedidos-de-compras-ap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