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Especificação Técnica — Sistema de Pedidos de Compras (SAP CAP + SAP Fiori)</w:t>
      </w:r>
    </w:p>
    <w:p>
      <w:pPr>
        <w:pBdr>
          <w:left w:val="single" w:color="0A6ED1" w:sz="18" w:space="8"/>
        </w:pBdr>
        <w:shd w:fill="F5F8FC" w:color="auto" w:val="clear"/>
        <w:spacing w:after="200"/>
        <w:ind w:left="200"/>
      </w:pPr>
      <w:r>
        <w:rPr>
          <w:rFonts w:ascii="Calibri" w:cs="Calibri" w:eastAsia="Calibri" w:hAnsi="Calibri"/>
          <w:b/>
          <w:bCs/>
        </w:rPr>
        <w:t xml:space="preserve">Versão 2.6 — outubro de 2026.</w:t>
      </w:r>
      <w:r>
        <w:rPr>
          <w:rFonts w:ascii="Calibri" w:cs="Calibri" w:eastAsia="Calibri" w:hAnsi="Calibri"/>
        </w:rPr>
        <w:t xml:space="preserve"> Descreve o sistema </w:t>
      </w:r>
      <w:r>
        <w:rPr>
          <w:rFonts w:ascii="Calibri" w:cs="Calibri" w:eastAsia="Calibri" w:hAnsi="Calibri"/>
          <w:b/>
          <w:bCs/>
        </w:rPr>
        <w:t xml:space="preserve">como implementado</w:t>
      </w:r>
      <w:r>
        <w:rPr>
          <w:rFonts w:ascii="Calibri" w:cs="Calibri" w:eastAsia="Calibri" w:hAnsi="Calibri"/>
        </w:rPr>
        <w:t xml:space="preserve"> nas duas versões do repositório, </w:t>
      </w:r>
      <w:hyperlink w:history="1" r:id="rIdq0veuywk1vfuaq5l7axvt">
        <w:r>
          <w:rPr>
            <w:rFonts w:ascii="Consolas" w:cs="Consolas" w:eastAsia="Consolas" w:hAnsi="Consolas"/>
            <w:color w:val="32363A"/>
            <w:sz w:val="19"/>
            <w:szCs w:val="19"/>
            <w:u w:val="single"/>
          </w:rPr>
          <w:t xml:space="preserve">nodejs-padrao</w:t>
        </w:r>
      </w:hyperlink>
      <w:r>
        <w:rPr>
          <w:rFonts w:ascii="Calibri" w:cs="Calibri" w:eastAsia="Calibri" w:hAnsi="Calibri"/>
        </w:rPr>
        <w:t xml:space="preserve"> (JavaScript) e </w:t>
      </w:r>
      <w:hyperlink w:history="1" r:id="rIdvhwalcbx_ov8wxzqugaob">
        <w:r>
          <w:rPr>
            <w:rFonts w:ascii="Consolas" w:cs="Consolas" w:eastAsia="Consolas" w:hAnsi="Consolas"/>
            <w:color w:val="32363A"/>
            <w:sz w:val="19"/>
            <w:szCs w:val="19"/>
            <w:u w:val="single"/>
          </w:rPr>
          <w:t xml:space="preserve">nodejs-typescript</w:t>
        </w:r>
      </w:hyperlink>
      <w:r>
        <w:rPr>
          <w:rFonts w:ascii="Calibri" w:cs="Calibri" w:eastAsia="Calibri" w:hAnsi="Calibri"/>
        </w:rPr>
        <w:t xml:space="preserve"> (TypeScript), que compartilham modelo CDS, serviços, apps SAPUI5 e testes. Os diagramas editáveis estão em </w:t>
      </w:r>
      <w:hyperlink w:history="1" r:id="rIdnxdih2phy_hvki1j_tfbn">
        <w:r>
          <w:rPr>
            <w:rFonts w:ascii="Consolas" w:cs="Consolas" w:eastAsia="Consolas" w:hAnsi="Consolas"/>
            <w:color w:val="32363A"/>
            <w:sz w:val="19"/>
            <w:szCs w:val="19"/>
            <w:u w:val="single"/>
          </w:rPr>
          <w:t xml:space="preserve">arquitetura-e-processos.drawio</w:t>
        </w:r>
      </w:hyperlink>
      <w:r>
        <w:rPr>
          <w:rFonts w:ascii="Calibri" w:cs="Calibri" w:eastAsia="Calibri" w:hAnsi="Calibri"/>
        </w:rPr>
        <w:t xml:space="preserve">.</w:t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Sumário</w:t>
      </w:r>
      <w:bookmarkEnd w:id="1"/>
    </w:p>
    <w:sdt>
      <w:sdtPr>
        <w:alias w:val="Sumári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1. Visão Geral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1.1 Stack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1.2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">
            <w:r>
              <w:t xml:space="preserve">2. Perfis e Segurança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3. Modelo de Dados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7">
            <w:r>
              <w:t xml:space="preserve">4. Serviços OData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5. Ciclo de Vida do Pedido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9">
            <w:r>
              <w:t xml:space="preserve">6. Regras de Negócio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0">
            <w:r>
              <w:t xml:space="preserve">6.1 Clientes e endereços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1">
            <w:r>
              <w:t xml:space="preserve">6.2 Itens e estoque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2">
            <w:r>
              <w:t xml:space="preserve">6.3 Registro e edição do pedido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6.4 Pagamento simulado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6.5 Aprovação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6.6 Cancelamento e reembolso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6.7 Snapshots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7. Estoque e Concorrência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8">
            <w:r>
              <w:t xml:space="preserve">8. Importação por Planilha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9">
            <w:r>
              <w:t xml:space="preserve">9. Análises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0">
            <w:r>
              <w:t xml:space="preserve">10. Interface do Usuário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1">
            <w:r>
              <w:t xml:space="preserve">11. JavaScript × TypeScript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12. Testes e Critérios de Aceite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3">
            <w:r>
              <w:t xml:space="preserve">13. Estrutura de Cada Implementação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4">
            <w:r>
              <w:t xml:space="preserve">14. Implantação na SAP BTP (pendente)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5">
            <w:r>
              <w:t xml:space="preserve">15. Histórico de Revisões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rPr>
          <w:rFonts w:ascii="Calibri" w:cs="Calibri" w:eastAsia="Calibri" w:hAnsi="Calibri"/>
        </w:rPr>
        <w:t xml:space="preserve">1. Visão Geral</w:t>
      </w:r>
      <w:bookmarkEnd w:id="2"/>
    </w:p>
    <w:p>
      <w:pPr>
        <w:spacing w:after="140"/>
      </w:pPr>
      <w:r>
        <w:rPr>
          <w:rFonts w:ascii="Calibri" w:cs="Calibri" w:eastAsia="Calibri" w:hAnsi="Calibri"/>
        </w:rPr>
        <w:t xml:space="preserve">Aplicação full stack de pedidos de compras com foco educacional, construída no SAP Cloud Application Programming Model (CAP). A versão em SAP RAP / ABAP Cloud está em </w:t>
      </w:r>
      <w:hyperlink w:history="1" r:id="rIdwussvtuppwkyrplijler-">
        <w:r>
          <w:rPr>
            <w:rFonts w:ascii="Calibri" w:cs="Calibri" w:eastAsia="Calibri" w:hAnsi="Calibri"/>
            <w:color w:val="0A6ED1"/>
            <w:u w:val="single"/>
          </w:rPr>
          <w:t xml:space="preserve">sap-abap-rap-pedidos-de-compras-app</w:t>
        </w:r>
      </w:hyperlink>
      <w:r>
        <w:rPr>
          <w:rFonts w:ascii="Calibri" w:cs="Calibri" w:eastAsia="Calibri" w:hAnsi="Calibri"/>
        </w:rPr>
        <w:t xml:space="preserve">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Clientes e endereços, com preenchimento e validação do CEP no ViaCEP.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Estoque: itens com SKU automático, quantidade total, reservada e disponível.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Ciclo do pedido: rascunho, registro com reserva, pagamento simulado, aprovação e cancelamento.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Reembolso de pedidos pagos que são cancelados.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Snapshots imutáveis do cliente e dos itens no encerramento do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Importação por planilha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.xlsx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.csv</w:t>
      </w:r>
      <w:r>
        <w:rPr>
          <w:rFonts w:ascii="Calibri" w:cs="Calibri" w:eastAsia="Calibri" w:hAnsi="Calibri"/>
        </w:rPr>
        <w:t xml:space="preserve">) de clientes, itens e pedidos.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20 análises em quatro apps (pedidos, clientes, estoque e reembolsos).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Papéis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Admin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Comum</w:t>
      </w:r>
      <w:r>
        <w:rPr>
          <w:rFonts w:ascii="Calibri" w:cs="Calibri" w:eastAsia="Calibri" w:hAnsi="Calibri"/>
        </w:rPr>
        <w:t xml:space="preserve">, controle de concorrência no estoque e testes automatizados.</w:t>
      </w:r>
    </w:p>
    <w:p>
      <w:pPr>
        <w:spacing w:after="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Fora do escopo:</w:t>
      </w:r>
      <w:r>
        <w:rPr>
          <w:rFonts w:ascii="Calibri" w:cs="Calibri" w:eastAsia="Calibri" w:hAnsi="Calibri"/>
        </w:rPr>
        <w:t xml:space="preserve"> frete, logística e rastreamento; gateway de pagamento real; histórico de tentativas de pagamento; auditoria e monitoramento produtivo.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5528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6B82"/>
          <w:sz w:val="18"/>
          <w:szCs w:val="18"/>
        </w:rPr>
        <w:t xml:space="preserve">Launchpad local: quatro apps de gestão e quatro de análise.</w:t>
      </w:r>
    </w:p>
    <w:p>
      <w:pPr>
        <w:pStyle w:val="Heading2"/>
        <w:keepNext/>
      </w:pPr>
      <w:bookmarkStart w:name="_Toc3" w:id="3"/>
      <w:r>
        <w:rPr>
          <w:rFonts w:ascii="Calibri" w:cs="Calibri" w:eastAsia="Calibri" w:hAnsi="Calibri"/>
        </w:rPr>
        <w:t xml:space="preserve">1.1 Stack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2"/>
        <w:gridCol w:w="7618"/>
      </w:tblGrid>
      <w:tr>
        <w:trPr>
          <w:cantSplit/>
          <w:tblHeader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Tecnologia</w:t>
            </w:r>
          </w:p>
        </w:tc>
      </w:tr>
      <w:tr>
        <w:trPr>
          <w:cantSplit/>
          <w:tblHeader w:val="off"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Backend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SAP CAP 10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@sap/cds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10), Node.js 22+, ESM</w:t>
            </w:r>
          </w:p>
        </w:tc>
      </w:tr>
      <w:tr>
        <w:trPr>
          <w:cantSplit/>
          <w:tblHeader w:val="off"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Linguagem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JavaScript ou TypeScript 6.0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strict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 cds-typer</w:t>
            </w:r>
          </w:p>
        </w:tc>
      </w:tr>
      <w:tr>
        <w:trPr>
          <w:cantSplit/>
          <w:tblHeader w:val="off"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Banco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SQLite em arquivo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db.sqlite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no desenvolvimento; SAP HANA Cloud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@cap-js/hana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configurado para produção</w:t>
            </w:r>
          </w:p>
        </w:tc>
      </w:tr>
      <w:tr>
        <w:trPr>
          <w:cantSplit/>
          <w:tblHeader w:val="off"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Protocolo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OData V4 com rascunho (draft) e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$apply</w:t>
            </w:r>
          </w:p>
        </w:tc>
      </w:tr>
      <w:tr>
        <w:trPr>
          <w:cantSplit/>
          <w:tblHeader w:val="off"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Frontend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SAPUI5 1.148: 4 apps Fiori Elements V4 + 4 apps freestyle de análise, servidas pelo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cds-plugin-ui5</w:t>
            </w:r>
          </w:p>
        </w:tc>
      </w:tr>
      <w:tr>
        <w:trPr>
          <w:cantSplit/>
          <w:tblHeader w:val="off"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ViaCEP via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fetch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(URL em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cds.requires.viacep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Segurança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Autenticação </w:t>
            </w:r>
            <w:r>
              <w:rPr>
                <w:rFonts w:ascii="Calibri" w:cs="Calibri" w:eastAsia="Calibri" w:hAnsi="Calibri"/>
                <w:i/>
                <w:iCs/>
                <w:sz w:val="19"/>
                <w:szCs w:val="19"/>
              </w:rPr>
              <w:t xml:space="preserve">mocked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comum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); XSUAA na implantação</w:t>
            </w:r>
          </w:p>
        </w:tc>
      </w:tr>
      <w:tr>
        <w:trPr>
          <w:cantSplit/>
          <w:tblHeader w:val="off"/>
        </w:trPr>
        <w:tc>
          <w:tcPr>
            <w:tcW w:type="dxa" w:w="17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Qualidade</w:t>
            </w:r>
          </w:p>
        </w:tc>
        <w:tc>
          <w:tcPr>
            <w:tcW w:type="dxa" w:w="7618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node:test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@cap-js/cds-test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(74 testes em JS, 76 em TS), ESLint 10, QUnit nas análises</w:t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4" w:id="4"/>
      <w:r>
        <w:rPr>
          <w:rFonts w:ascii="Calibri" w:cs="Calibri" w:eastAsia="Calibri" w:hAnsi="Calibri"/>
        </w:rPr>
        <w:t xml:space="preserve">1.2 Arquitetura</w:t>
      </w:r>
      <w:bookmarkEnd w:id="4"/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30575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Calibri" w:cs="Calibri" w:eastAsia="Calibri" w:hAnsi="Calibri"/>
          <w:i/>
          <w:iCs/>
        </w:rPr>
        <w:t xml:space="preserve">Launchpad e apps SAPUI5 consomem um serviço OData por aplicação; as regras de domínio ficam em </w:t>
      </w:r>
      <w:r>
        <w:rPr>
          <w:rFonts w:ascii="Consolas" w:cs="Consolas" w:eastAsia="Consolas" w:hAnsi="Consolas"/>
          <w:i/>
          <w:iCs/>
          <w:color w:val="32363A"/>
          <w:sz w:val="19"/>
          <w:szCs w:val="19"/>
        </w:rPr>
        <w:t xml:space="preserve">srv/lib</w:t>
      </w:r>
      <w:r>
        <w:rPr>
          <w:rFonts w:ascii="Calibri" w:cs="Calibri" w:eastAsia="Calibri" w:hAnsi="Calibri"/>
          <w:i/>
          <w:iCs/>
        </w:rPr>
        <w:t xml:space="preserve"> e rodam na transação da requisição.</w:t>
      </w:r>
    </w:p>
    <w:p>
      <w:pPr>
        <w:pStyle w:val="Heading1"/>
        <w:pageBreakBefore/>
      </w:pPr>
      <w:bookmarkStart w:name="_Toc5" w:id="5"/>
      <w:r>
        <w:rPr>
          <w:rFonts w:ascii="Calibri" w:cs="Calibri" w:eastAsia="Calibri" w:hAnsi="Calibri"/>
        </w:rPr>
        <w:t xml:space="preserve">2. Perfis e Segurança</w:t>
      </w:r>
      <w:bookmarkEnd w:id="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3820"/>
        <w:gridCol w:w="2866"/>
      </w:tblGrid>
      <w:tr>
        <w:trPr>
          <w:cantSplit/>
          <w:tblHeader/>
        </w:trPr>
        <w:tc>
          <w:tcPr>
            <w:tcW w:type="dxa" w:w="26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Recurso</w:t>
            </w:r>
          </w:p>
        </w:tc>
        <w:tc>
          <w:tcPr>
            <w:tcW w:type="dxa" w:w="38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32363A"/>
                <w:sz w:val="19"/>
                <w:szCs w:val="19"/>
              </w:rPr>
              <w:t xml:space="preserve">Comum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32363A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Clientes, endereços e itens de estoque</w:t>
            </w:r>
          </w:p>
        </w:tc>
        <w:tc>
          <w:tcPr>
            <w:tcW w:type="dxa" w:w="38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Consultar, criar, editar, inativar, excluir, importar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</w:t>
            </w:r>
          </w:p>
        </w:tc>
        <w:tc>
          <w:tcPr>
            <w:tcW w:type="dxa" w:w="38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Criar, editar, pagar, aprovar, cancelar, importar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Idem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Reembolsos</w:t>
            </w:r>
          </w:p>
        </w:tc>
        <w:tc>
          <w:tcPr>
            <w:tcW w:type="dxa" w:w="38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Consultar, aprovar, rejeitar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Idem</w:t>
            </w:r>
          </w:p>
        </w:tc>
      </w:tr>
      <w:tr>
        <w:trPr>
          <w:cantSplit/>
          <w:tblHeader w:val="off"/>
        </w:trPr>
        <w:tc>
          <w:tcPr>
            <w:tcW w:type="dxa" w:w="267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Análises</w:t>
            </w:r>
          </w:p>
        </w:tc>
        <w:tc>
          <w:tcPr>
            <w:tcW w:type="dxa" w:w="38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</w:t>
            </w:r>
          </w:p>
        </w:tc>
        <w:tc>
          <w:tcPr>
            <w:tcW w:type="dxa" w:w="286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Autorização declarativa: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@requires: 'authenticated-user'</w:t>
      </w:r>
      <w:r>
        <w:rPr>
          <w:rFonts w:ascii="Calibri" w:cs="Calibri" w:eastAsia="Calibri" w:hAnsi="Calibri"/>
        </w:rPr>
        <w:t xml:space="preserve"> em todos os serviços;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@restrict</w:t>
      </w:r>
      <w:r>
        <w:rPr>
          <w:rFonts w:ascii="Calibri" w:cs="Calibri" w:eastAsia="Calibri" w:hAnsi="Calibri"/>
        </w:rPr>
        <w:t xml:space="preserve"> dá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READ</w:t>
      </w:r>
      <w:r>
        <w:rPr>
          <w:rFonts w:ascii="Calibri" w:cs="Calibri" w:eastAsia="Calibri" w:hAnsi="Calibri"/>
        </w:rPr>
        <w:t xml:space="preserve"> ao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Comum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*</w:t>
      </w:r>
      <w:r>
        <w:rPr>
          <w:rFonts w:ascii="Calibri" w:cs="Calibri" w:eastAsia="Calibri" w:hAnsi="Calibri"/>
        </w:rPr>
        <w:t xml:space="preserve"> ao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Admin</w:t>
      </w:r>
      <w:r>
        <w:rPr>
          <w:rFonts w:ascii="Calibri" w:cs="Calibri" w:eastAsia="Calibri" w:hAnsi="Calibri"/>
        </w:rPr>
        <w:t xml:space="preserve"> em clientes e estoque;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importarPlanilha</w:t>
      </w:r>
      <w:r>
        <w:rPr>
          <w:rFonts w:ascii="Calibri" w:cs="Calibri" w:eastAsia="Calibri" w:hAnsi="Calibri"/>
        </w:rPr>
        <w:t xml:space="preserve"> de clientes e estoque exige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Admin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Usuários de desenvolvimento (HTTP Basic, perfil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[development]</w:t>
      </w:r>
      <w:r>
        <w:rPr>
          <w:rFonts w:ascii="Calibri" w:cs="Calibri" w:eastAsia="Calibri" w:hAnsi="Calibri"/>
        </w:rPr>
        <w:t xml:space="preserve"> do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package.json</w:t>
      </w:r>
      <w:r>
        <w:rPr>
          <w:rFonts w:ascii="Calibri" w:cs="Calibri" w:eastAsia="Calibri" w:hAnsi="Calibri"/>
        </w:rPr>
        <w:t xml:space="preserve">):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admin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admin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comum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comum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os papéis não chegam às anotações de UI,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ClientesService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EstoqueService</w:t>
      </w:r>
      <w:r>
        <w:rPr>
          <w:rFonts w:ascii="Calibri" w:cs="Calibri" w:eastAsia="Calibri" w:hAnsi="Calibri"/>
        </w:rPr>
        <w:t xml:space="preserve"> expõem o singleton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Permissoes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somenteLeitura</w:t>
      </w:r>
      <w:r>
        <w:rPr>
          <w:rFonts w:ascii="Calibri" w:cs="Calibri" w:eastAsia="Calibri" w:hAnsi="Calibri"/>
        </w:rPr>
        <w:t xml:space="preserve">), usado por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UI.CreateHidden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UI.UpdateHidden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UI.DeleteHidden</w:t>
      </w:r>
      <w:r>
        <w:rPr>
          <w:rFonts w:ascii="Calibri" w:cs="Calibri" w:eastAsia="Calibri" w:hAnsi="Calibri"/>
        </w:rPr>
        <w:t xml:space="preserve">. 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Comum</w:t>
      </w:r>
      <w:r>
        <w:rPr>
          <w:rFonts w:ascii="Calibri" w:cs="Calibri" w:eastAsia="Calibri" w:hAnsi="Calibri"/>
        </w:rPr>
        <w:t xml:space="preserve"> só vê as opções de consulta; o backend continua barrando alterações.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Dados de cartão nunca são gravados, retornados ou registrados em 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Campos controlados pelo backend (status, totais, número, reserva, score, endereço do pedido) ignoram valores enviados pela 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Pedidos encerrados e snapshots são imutáveis; o pedido registrado é cancelado, nunca excluído.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Fotos validadas por MIME, extensão e assinatura binária (JPEG, PNG ou WEBP).</w:t>
      </w:r>
    </w:p>
    <w:p>
      <w:pPr>
        <w:spacing w:after="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55282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6B82"/>
          <w:sz w:val="18"/>
          <w:szCs w:val="18"/>
        </w:rPr>
        <w:t xml:space="preserve">Usuário </w:t>
      </w:r>
      <w:r>
        <w:rPr>
          <w:rFonts w:ascii="Consolas" w:cs="Consolas" w:eastAsia="Consolas" w:hAnsi="Consolas"/>
          <w:i/>
          <w:iCs/>
          <w:color w:val="32363A"/>
          <w:sz w:val="18"/>
          <w:szCs w:val="18"/>
        </w:rPr>
        <w:t xml:space="preserve">Comum</w:t>
      </w:r>
      <w:r>
        <w:rPr>
          <w:rFonts w:ascii="Calibri" w:cs="Calibri" w:eastAsia="Calibri" w:hAnsi="Calibri"/>
          <w:i/>
          <w:iCs/>
          <w:color w:val="556B82"/>
          <w:sz w:val="18"/>
          <w:szCs w:val="18"/>
        </w:rPr>
        <w:t xml:space="preserve"> na Gestão de Estoque: sem Criar, Excluir ou Importar planilha.</w:t>
      </w:r>
    </w:p>
    <w:p>
      <w:pPr>
        <w:pStyle w:val="Heading1"/>
        <w:pageBreakBefore/>
      </w:pPr>
      <w:bookmarkStart w:name="_Toc6" w:id="6"/>
      <w:r>
        <w:rPr>
          <w:rFonts w:ascii="Calibri" w:cs="Calibri" w:eastAsia="Calibri" w:hAnsi="Calibri"/>
        </w:rPr>
        <w:t xml:space="preserve">3. Modelo de Dados</w:t>
      </w:r>
      <w:bookmarkEnd w:id="6"/>
    </w:p>
    <w:p>
      <w:pPr>
        <w:spacing w:after="140"/>
      </w:pPr>
      <w:r>
        <w:rPr>
          <w:rFonts w:ascii="Calibri" w:cs="Calibri" w:eastAsia="Calibri" w:hAnsi="Calibri"/>
        </w:rPr>
        <w:t xml:space="preserve">Arquivos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db/common.cds</w:t>
      </w:r>
      <w:r>
        <w:rPr>
          <w:rFonts w:ascii="Calibri" w:cs="Calibri" w:eastAsia="Calibri" w:hAnsi="Calibri"/>
        </w:rPr>
        <w:t xml:space="preserve"> (tipos e CodeLists)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db/schema.cds</w:t>
      </w:r>
      <w:r>
        <w:rPr>
          <w:rFonts w:ascii="Calibri" w:cs="Calibri" w:eastAsia="Calibri" w:hAnsi="Calibri"/>
        </w:rPr>
        <w:t xml:space="preserve"> (entidades), namespace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pedidoscompras</w:t>
      </w:r>
      <w:r>
        <w:rPr>
          <w:rFonts w:ascii="Calibri" w:cs="Calibri" w:eastAsia="Calibri" w:hAnsi="Calibri"/>
        </w:rPr>
        <w:t xml:space="preserve">. Todas as entidades usam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cuid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managed</w:t>
      </w:r>
      <w:r>
        <w:rPr>
          <w:rFonts w:ascii="Calibri" w:cs="Calibri" w:eastAsia="Calibri" w:hAnsi="Calibri"/>
        </w:rPr>
        <w:t xml:space="preserve">. Convenções: entidades no plural e em português, campos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camelCase</w:t>
      </w:r>
      <w:r>
        <w:rPr>
          <w:rFonts w:ascii="Calibri" w:cs="Calibri" w:eastAsia="Calibri" w:hAnsi="Calibri"/>
        </w:rPr>
        <w:t xml:space="preserve">, códigos de status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UPPER_SNAKE_CASE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4"/>
        <w:gridCol w:w="1314"/>
        <w:gridCol w:w="5722"/>
      </w:tblGrid>
      <w:tr>
        <w:trPr>
          <w:cantSplit/>
          <w:tblHeader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Entidade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Finalidade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Campos e regras principais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Cadastro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cpf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(único, dígitos verificadores),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nome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email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(minúsculas),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telefone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(10–11 dígitos),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dataNascimento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(não futura),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genero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clienteAtivo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scoreCliente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(0–100, sorteado),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fotoCliente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composição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enderecos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Enderecos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Endereços do cliente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cep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(único por cliente),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numero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complemento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logradouro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bairro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cidade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uf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estado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cepGeral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cepStatus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V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X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principal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(um por cliente)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Itens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Estoque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sku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(gerado, único),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nome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descricao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categoria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qtdeEstoque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qtdeReservada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qtdeDisponivel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statusEstoque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(colunas geradas),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precoUnitario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currency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(BRL),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itemAtivo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fotoItem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Cabeçalho do pedido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numeroPedido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(10 dígitos),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(imutável após o registro),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endereco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statusPedido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statusPagamento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valorTotal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observacao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referenciaImportacao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dados de finalização e de cancelamento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ItensPedido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Linhas do pedido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item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(ativo),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qtdeItemPedido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(&gt; 0),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precoUnitarioSnapshot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(fixado no registro),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valorTotal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Pagamentos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Última tentativa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metodoPagamento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statusPagamento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bandeiraCartao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ultimos4DigitosCartao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cartaoMascarado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codigoAutorizacao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mensagemPagamento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dataPagamento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PedidosClienteSnapshots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 e endereço congelados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Cópia dos dados do cliente e do endereço, com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motivoSnapshot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FINALIZACAO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CANCELAMENTO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PedidosItensSnapshots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Itens congelados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SKU, nome, descrição, categoria, quantidade, preço e total de cada linha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Reembolsos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Solicitações de reembolso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statusReembolso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statusPedidoAnterior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valorReembolso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motivo/data/usuário da solicitação e da decisão</w:t>
            </w:r>
          </w:p>
        </w:tc>
      </w:tr>
      <w:tr>
        <w:trPr>
          <w:cantSplit/>
          <w:tblHeader w:val="off"/>
        </w:trPr>
        <w:tc>
          <w:tcPr>
            <w:tcW w:type="dxa" w:w="23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Numeracoes</w:t>
            </w:r>
          </w:p>
        </w:tc>
        <w:tc>
          <w:tcPr>
            <w:tcW w:type="dxa" w:w="131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Sequenciais</w:t>
            </w:r>
          </w:p>
        </w:tc>
        <w:tc>
          <w:tcPr>
            <w:tcW w:type="dxa" w:w="572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objeto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SKU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e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ultimoNumero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incrementado por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UPDATE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atômico</w:t>
            </w:r>
          </w:p>
        </w:tc>
      </w:tr>
    </w:tbl>
    <w:p>
      <w:pPr>
        <w:spacing w:after="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CodeLists</w:t>
      </w:r>
      <w:r>
        <w:rPr>
          <w:rFonts w:ascii="Calibri" w:cs="Calibri" w:eastAsia="Calibri" w:hAnsi="Calibri"/>
        </w:rPr>
        <w:t xml:space="preserve"> (aspect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CodeListOrdenada</w:t>
      </w:r>
      <w:r>
        <w:rPr>
          <w:rFonts w:ascii="Calibri" w:cs="Calibri" w:eastAsia="Calibri" w:hAnsi="Calibri"/>
        </w:rPr>
        <w:t xml:space="preserve">, com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ordem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criticality</w:t>
      </w:r>
      <w:r>
        <w:rPr>
          <w:rFonts w:ascii="Calibri" w:cs="Calibri" w:eastAsia="Calibri" w:hAnsi="Calibri"/>
        </w:rPr>
        <w:t xml:space="preserve"> para colorir os status):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6"/>
        <w:gridCol w:w="6424"/>
      </w:tblGrid>
      <w:tr>
        <w:trPr>
          <w:cantSplit/>
          <w:tblHeader/>
        </w:trPr>
        <w:tc>
          <w:tcPr>
            <w:tcW w:type="dxa" w:w="293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CodeList</w:t>
            </w:r>
          </w:p>
        </w:tc>
        <w:tc>
          <w:tcPr>
            <w:tcW w:type="dxa" w:w="6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Códigos</w:t>
            </w:r>
          </w:p>
        </w:tc>
      </w:tr>
      <w:tr>
        <w:trPr>
          <w:cantSplit/>
          <w:tblHeader w:val="off"/>
        </w:trPr>
        <w:tc>
          <w:tcPr>
            <w:tcW w:type="dxa" w:w="293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Generos</w:t>
            </w:r>
          </w:p>
        </w:tc>
        <w:tc>
          <w:tcPr>
            <w:tcW w:type="dxa" w:w="6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MASCULINO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FEMININO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NAO_BINARIO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OUTRO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NAO_INFORMADO</w:t>
            </w:r>
          </w:p>
        </w:tc>
      </w:tr>
      <w:tr>
        <w:trPr>
          <w:cantSplit/>
          <w:tblHeader w:val="off"/>
        </w:trPr>
        <w:tc>
          <w:tcPr>
            <w:tcW w:type="dxa" w:w="293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Categorias</w:t>
            </w:r>
          </w:p>
        </w:tc>
        <w:tc>
          <w:tcPr>
            <w:tcW w:type="dxa" w:w="6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ELETRONICOS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INFORMATICA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ESCRITORIO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CASA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VESTUARIO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ALIMENTOS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OUTROS</w:t>
            </w:r>
          </w:p>
        </w:tc>
      </w:tr>
      <w:tr>
        <w:trPr>
          <w:cantSplit/>
          <w:tblHeader w:val="off"/>
        </w:trPr>
        <w:tc>
          <w:tcPr>
            <w:tcW w:type="dxa" w:w="293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StatusEstoque</w:t>
            </w:r>
          </w:p>
        </w:tc>
        <w:tc>
          <w:tcPr>
            <w:tcW w:type="dxa" w:w="6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SEM_ESTOQUE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(≤ 0),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ACABANDO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(1–10),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EM_ESTOQUE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(≥ 11)</w:t>
            </w:r>
          </w:p>
        </w:tc>
      </w:tr>
      <w:tr>
        <w:trPr>
          <w:cantSplit/>
          <w:tblHeader w:val="off"/>
        </w:trPr>
        <w:tc>
          <w:tcPr>
            <w:tcW w:type="dxa" w:w="293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StatusPedido</w:t>
            </w:r>
          </w:p>
        </w:tc>
        <w:tc>
          <w:tcPr>
            <w:tcW w:type="dxa" w:w="6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ABERTO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AGUARDANDO_APROVACAO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PROCESSANDO_REEMBOLSO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CANCELADO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FINALIZADO</w:t>
            </w:r>
          </w:p>
        </w:tc>
      </w:tr>
      <w:tr>
        <w:trPr>
          <w:cantSplit/>
          <w:tblHeader w:val="off"/>
        </w:trPr>
        <w:tc>
          <w:tcPr>
            <w:tcW w:type="dxa" w:w="293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StatusPagamento</w:t>
            </w:r>
          </w:p>
        </w:tc>
        <w:tc>
          <w:tcPr>
            <w:tcW w:type="dxa" w:w="6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PENDENTE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APROVADO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RECUSADO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DEVOLVIDO</w:t>
            </w:r>
          </w:p>
        </w:tc>
      </w:tr>
      <w:tr>
        <w:trPr>
          <w:cantSplit/>
          <w:tblHeader w:val="off"/>
        </w:trPr>
        <w:tc>
          <w:tcPr>
            <w:tcW w:type="dxa" w:w="293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StatusReembolso</w:t>
            </w:r>
          </w:p>
        </w:tc>
        <w:tc>
          <w:tcPr>
            <w:tcW w:type="dxa" w:w="6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PENDENTE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APROVADO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REJEITADO</w:t>
            </w:r>
          </w:p>
        </w:tc>
      </w:tr>
      <w:tr>
        <w:trPr>
          <w:cantSplit/>
          <w:tblHeader w:val="off"/>
        </w:trPr>
        <w:tc>
          <w:tcPr>
            <w:tcW w:type="dxa" w:w="293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MetodosPagamento</w:t>
            </w:r>
          </w:p>
        </w:tc>
        <w:tc>
          <w:tcPr>
            <w:tcW w:type="dxa" w:w="642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CARTAO_CREDITO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CARTAO_DEBITO</w:t>
            </w:r>
          </w:p>
        </w:tc>
      </w:tr>
    </w:tbl>
    <w:p>
      <w:pPr>
        <w:spacing w:after="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Validações.</w:t>
      </w:r>
      <w:r>
        <w:rPr>
          <w:rFonts w:ascii="Calibri" w:cs="Calibri" w:eastAsia="Calibri" w:hAnsi="Calibri"/>
        </w:rPr>
        <w:t xml:space="preserve"> Obrigatoriedade, formato e faixas (e-mail, telefone, nascimento, preço, estoque, quantidade) são declarativas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srv/validacoes.cds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@mandatory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@assert.format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@assert</w:t>
      </w:r>
      <w:r>
        <w:rPr>
          <w:rFonts w:ascii="Calibri" w:cs="Calibri" w:eastAsia="Calibri" w:hAnsi="Calibri"/>
        </w:rPr>
        <w:t xml:space="preserve">) e aparecem já no rascunho. Regras que dependem de algoritmo ou de outros registros (CPF, unicidade, ViaCEP, estoque) ficam nos handlers.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Cálculos</w:t>
      </w:r>
      <w:r>
        <w:rPr>
          <w:rFonts w:ascii="Calibri" w:cs="Calibri" w:eastAsia="Calibri" w:hAnsi="Calibri"/>
        </w:rPr>
        <w:t xml:space="preserve"> (sempre no backend):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ItensPedido.valorTotal = arredondar(qtdeItemPedido × precoUnitarioSnapshot, 2)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Pedidos.valorTotal     = arredondar(Σ ItensPedido.valorTotal, 2)</w:t>
      </w:r>
    </w:p>
    <w:p>
      <w:pPr>
        <w:keepNext w:val="false"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Itens.qtdeDisponivel   = qtdeEstoque − qtdeReservada   (coluna gerada)</w:t>
      </w:r>
    </w:p>
    <w:p>
      <w:pPr>
        <w:spacing w:after="60"/>
      </w:pPr>
    </w:p>
    <w:p>
      <w:pPr>
        <w:pStyle w:val="Heading1"/>
        <w:pageBreakBefore/>
      </w:pPr>
      <w:bookmarkStart w:name="_Toc7" w:id="7"/>
      <w:r>
        <w:rPr>
          <w:rFonts w:ascii="Calibri" w:cs="Calibri" w:eastAsia="Calibri" w:hAnsi="Calibri"/>
        </w:rPr>
        <w:t xml:space="preserve">4. Serviços OData</w:t>
      </w:r>
      <w:bookmarkEnd w:id="7"/>
    </w:p>
    <w:p>
      <w:pPr>
        <w:spacing w:after="140"/>
      </w:pPr>
      <w:r>
        <w:rPr>
          <w:rFonts w:ascii="Calibri" w:cs="Calibri" w:eastAsia="Calibri" w:hAnsi="Calibri"/>
        </w:rPr>
        <w:t xml:space="preserve">Todos em OData V4,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/odata/v4/&lt;caminho&gt;</w:t>
      </w:r>
      <w:r>
        <w:rPr>
          <w:rFonts w:ascii="Calibri" w:cs="Calibri" w:eastAsia="Calibri" w:hAnsi="Calibri"/>
        </w:rPr>
        <w:t xml:space="preserve">, um por aplicação.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2"/>
        <w:gridCol w:w="1135"/>
        <w:gridCol w:w="3826"/>
        <w:gridCol w:w="2587"/>
      </w:tblGrid>
      <w:tr>
        <w:trPr>
          <w:cantSplit/>
          <w:tblHeader/>
        </w:trPr>
        <w:tc>
          <w:tcPr>
            <w:tcW w:type="dxa" w:w="1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Serviço</w:t>
            </w:r>
          </w:p>
        </w:tc>
        <w:tc>
          <w:tcPr>
            <w:tcW w:type="dxa" w:w="11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Caminho</w:t>
            </w:r>
          </w:p>
        </w:tc>
        <w:tc>
          <w:tcPr>
            <w:tcW w:type="dxa" w:w="38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Entidades principais</w:t>
            </w:r>
          </w:p>
        </w:tc>
        <w:tc>
          <w:tcPr>
            <w:tcW w:type="dxa" w:w="25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Actions</w:t>
            </w:r>
          </w:p>
        </w:tc>
      </w:tr>
      <w:tr>
        <w:trPr>
          <w:cantSplit/>
          <w:tblHeader w:val="off"/>
        </w:trPr>
        <w:tc>
          <w:tcPr>
            <w:tcW w:type="dxa" w:w="1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ClientesService</w:t>
            </w:r>
          </w:p>
        </w:tc>
        <w:tc>
          <w:tcPr>
            <w:tcW w:type="dxa" w:w="11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clientes</w:t>
            </w:r>
          </w:p>
        </w:tc>
        <w:tc>
          <w:tcPr>
            <w:tcW w:type="dxa" w:w="38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Enderecos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(rascunho),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CepsCadastrados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Permissoes</w:t>
            </w:r>
          </w:p>
        </w:tc>
        <w:tc>
          <w:tcPr>
            <w:tcW w:type="dxa" w:w="25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definirEnderecoPrincipal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importarPlanilha</w:t>
            </w:r>
          </w:p>
        </w:tc>
      </w:tr>
      <w:tr>
        <w:trPr>
          <w:cantSplit/>
          <w:tblHeader w:val="off"/>
        </w:trPr>
        <w:tc>
          <w:tcPr>
            <w:tcW w:type="dxa" w:w="1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EstoqueService</w:t>
            </w:r>
          </w:p>
        </w:tc>
        <w:tc>
          <w:tcPr>
            <w:tcW w:type="dxa" w:w="11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estoque</w:t>
            </w:r>
          </w:p>
        </w:tc>
        <w:tc>
          <w:tcPr>
            <w:tcW w:type="dxa" w:w="38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Itens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(rascunho),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Categorias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Permissoes</w:t>
            </w:r>
          </w:p>
        </w:tc>
        <w:tc>
          <w:tcPr>
            <w:tcW w:type="dxa" w:w="25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importarPlanilha</w:t>
            </w:r>
          </w:p>
        </w:tc>
      </w:tr>
      <w:tr>
        <w:trPr>
          <w:cantSplit/>
          <w:tblHeader w:val="off"/>
        </w:trPr>
        <w:tc>
          <w:tcPr>
            <w:tcW w:type="dxa" w:w="1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PedidosService</w:t>
            </w:r>
          </w:p>
        </w:tc>
        <w:tc>
          <w:tcPr>
            <w:tcW w:type="dxa" w:w="11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pedidos</w:t>
            </w:r>
          </w:p>
        </w:tc>
        <w:tc>
          <w:tcPr>
            <w:tcW w:type="dxa" w:w="38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ItensPedido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(rascunho),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ClientesAtivos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ItensAtivos</w:t>
            </w:r>
          </w:p>
        </w:tc>
        <w:tc>
          <w:tcPr>
            <w:tcW w:type="dxa" w:w="25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efetuarPagamento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aprovarPedido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cancelarPedido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importarPlanilha</w:t>
            </w:r>
          </w:p>
        </w:tc>
      </w:tr>
      <w:tr>
        <w:trPr>
          <w:cantSplit/>
          <w:tblHeader w:val="off"/>
        </w:trPr>
        <w:tc>
          <w:tcPr>
            <w:tcW w:type="dxa" w:w="1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ReembolsosService</w:t>
            </w:r>
          </w:p>
        </w:tc>
        <w:tc>
          <w:tcPr>
            <w:tcW w:type="dxa" w:w="11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reembolsos</w:t>
            </w:r>
          </w:p>
        </w:tc>
        <w:tc>
          <w:tcPr>
            <w:tcW w:type="dxa" w:w="38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Reembolsos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(somente leitura)</w:t>
            </w:r>
          </w:p>
        </w:tc>
        <w:tc>
          <w:tcPr>
            <w:tcW w:type="dxa" w:w="25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aprovarReembolso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rejeitarReembolso</w:t>
            </w:r>
          </w:p>
        </w:tc>
      </w:tr>
      <w:tr>
        <w:trPr>
          <w:cantSplit/>
          <w:tblHeader w:val="off"/>
        </w:trPr>
        <w:tc>
          <w:tcPr>
            <w:tcW w:type="dxa" w:w="181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AnaliticoService</w:t>
            </w:r>
          </w:p>
        </w:tc>
        <w:tc>
          <w:tcPr>
            <w:tcW w:type="dxa" w:w="113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analitico</w:t>
            </w:r>
          </w:p>
        </w:tc>
        <w:tc>
          <w:tcPr>
            <w:tcW w:type="dxa" w:w="3826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PedidosAnalise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ClientesAnalise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ItensAnalise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ReembolsosAnalise</w:t>
            </w:r>
          </w:p>
        </w:tc>
        <w:tc>
          <w:tcPr>
            <w:tcW w:type="dxa" w:w="258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// PedidosService (vinculadas a Pedidos)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action efetuarPagamento(metodoPagamento : String(20), numeroCartao : String(19),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validade : String(5), cvv : String(4)) returns Pedidos;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action aprovarPedido() returns Pedidos;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action cancelarPedido(motivoCancelamento : String(500)) returns Pedidos;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// ReembolsosService (vinculadas a Reembolsos)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action aprovarReembolso(motivoDecisao : String(500)) returns Reembolsos;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action rejeitarReembolso(motivoDecisao : String(500)) returns Reembolsos;   // motivo obrigatório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// ClientesService, EstoqueService e PedidosService</w:t>
      </w:r>
    </w:p>
    <w:p>
      <w:pPr>
        <w:keepNext w:val="false"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action importarPlanilha(arquivo : LargeBinary, nomeArquivo : String(255)) returns ResultadoImportacao;</w:t>
      </w:r>
    </w:p>
    <w:p>
      <w:pPr>
        <w:spacing w:after="60"/>
      </w:pPr>
    </w:p>
    <w:p>
      <w:pPr>
        <w:spacing w:after="140"/>
      </w:pPr>
      <w:r>
        <w:rPr>
          <w:rFonts w:ascii="Calibri" w:cs="Calibri" w:eastAsia="Calibri" w:hAnsi="Calibri"/>
        </w:rPr>
        <w:t xml:space="preserve">As actions têm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@Core.OperationAvailable</w:t>
      </w:r>
      <w:r>
        <w:rPr>
          <w:rFonts w:ascii="Calibri" w:cs="Calibri" w:eastAsia="Calibri" w:hAnsi="Calibri"/>
        </w:rPr>
        <w:t xml:space="preserve"> (botão ativo só no status permitido)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@Common.SideEffects</w:t>
      </w:r>
      <w:r>
        <w:rPr>
          <w:rFonts w:ascii="Calibri" w:cs="Calibri" w:eastAsia="Calibri" w:hAnsi="Calibri"/>
        </w:rPr>
        <w:t xml:space="preserve"> (a tela recarrega após a execução). Reserva, baixa, numeração, snapshots e transições de status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são expostos: ficam nos módulos de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srv/lib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pedidos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estoque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numeracao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enderecos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viacep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pagamento-simulado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planilha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importacao*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permissoes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util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pageBreakBefore/>
      </w:pPr>
      <w:bookmarkStart w:name="_Toc8" w:id="8"/>
      <w:r>
        <w:rPr>
          <w:rFonts w:ascii="Calibri" w:cs="Calibri" w:eastAsia="Calibri" w:hAnsi="Calibri"/>
        </w:rPr>
        <w:t xml:space="preserve">5. Ciclo de Vida do Pedido</w:t>
      </w:r>
      <w:bookmarkEnd w:id="8"/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28612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6B82"/>
          <w:sz w:val="18"/>
          <w:szCs w:val="18"/>
        </w:rPr>
        <w:t xml:space="preserve">Status do pedido, transições e ações disponíveis em cada status.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2285"/>
        <w:gridCol w:w="1883"/>
        <w:gridCol w:w="2907"/>
      </w:tblGrid>
      <w:tr>
        <w:trPr>
          <w:cantSplit/>
          <w:tblHeader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Origem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Destino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Gatilho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Efeitos</w:t>
            </w:r>
          </w:p>
        </w:tc>
      </w:tr>
      <w:tr>
        <w:trPr>
          <w:cantSplit/>
          <w:tblHeader w:val="off"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rascunho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ABERTO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Salvar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Gera número, fixa preços, calcula total, reserva estoque</w:t>
            </w:r>
          </w:p>
        </w:tc>
      </w:tr>
      <w:tr>
        <w:trPr>
          <w:cantSplit/>
          <w:tblHeader w:val="off"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ABERTO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ABERTO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Editar itens / pagamento recusado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Ajusta a reserva pela diferença / pagamento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RECUSADO</w:t>
            </w:r>
          </w:p>
        </w:tc>
      </w:tr>
      <w:tr>
        <w:trPr>
          <w:cantSplit/>
          <w:tblHeader w:val="off"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ABERTO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AGUARDANDO_APROVACAO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efetuarPagamento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aprovado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Pagamento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APROVADO</w:t>
            </w:r>
          </w:p>
        </w:tc>
      </w:tr>
      <w:tr>
        <w:trPr>
          <w:cantSplit/>
          <w:tblHeader w:val="off"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AGUARDANDO_APROVACAO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FINALIZADO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aprovarPedido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Baixa o estoque, gera snapshots</w:t>
            </w:r>
          </w:p>
        </w:tc>
      </w:tr>
      <w:tr>
        <w:trPr>
          <w:cantSplit/>
          <w:tblHeader w:val="off"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ABERTO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CANCELADO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cancelarPedido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Libera a reserva, gera snapshots</w:t>
            </w:r>
          </w:p>
        </w:tc>
      </w:tr>
      <w:tr>
        <w:trPr>
          <w:cantSplit/>
          <w:tblHeader w:val="off"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AGUARDANDO_APROVACAO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PROCESSANDO_REEMBOLSO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cancelarPedido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Cria reembolso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PENDENTE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reserva mantida</w:t>
            </w:r>
          </w:p>
        </w:tc>
      </w:tr>
      <w:tr>
        <w:trPr>
          <w:cantSplit/>
          <w:tblHeader w:val="off"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PROCESSANDO_REEMBOLSO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CANCELADO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aprovarReembolso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Libera a reserva, snapshots, pagamento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DEVOLVIDO</w:t>
            </w:r>
          </w:p>
        </w:tc>
      </w:tr>
      <w:tr>
        <w:trPr>
          <w:cantSplit/>
          <w:tblHeader w:val="off"/>
        </w:trPr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PROCESSANDO_REEMBOLSO</w:t>
            </w:r>
          </w:p>
        </w:tc>
        <w:tc>
          <w:tcPr>
            <w:tcW w:type="dxa" w:w="228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status anterior</w:t>
            </w:r>
          </w:p>
        </w:tc>
        <w:tc>
          <w:tcPr>
            <w:tcW w:type="dxa" w:w="188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rejeitarReembolso</w:t>
            </w:r>
          </w:p>
        </w:tc>
        <w:tc>
          <w:tcPr>
            <w:tcW w:type="dxa" w:w="2907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Retoma o pedido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i/>
          <w:iCs/>
        </w:rPr>
        <w:t xml:space="preserve">Editar</w:t>
      </w:r>
      <w:r>
        <w:rPr>
          <w:rFonts w:ascii="Calibri" w:cs="Calibri" w:eastAsia="Calibri" w:hAnsi="Calibri"/>
        </w:rPr>
        <w:t xml:space="preserve"> só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ABERTO</w:t>
      </w:r>
      <w:r>
        <w:rPr>
          <w:rFonts w:ascii="Calibri" w:cs="Calibri" w:eastAsia="Calibri" w:hAnsi="Calibri"/>
        </w:rPr>
        <w:t xml:space="preserve">;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FINALIZADO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CANCELADO</w:t>
      </w:r>
      <w:r>
        <w:rPr>
          <w:rFonts w:ascii="Calibri" w:cs="Calibri" w:eastAsia="Calibri" w:hAnsi="Calibri"/>
        </w:rPr>
        <w:t xml:space="preserve"> são imutáveis.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As ações só executam sobre o pedido ativo, sem rascunho de edição aberto (HTTP 409,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ACAO_SOMENTE_ATIVO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PEDIDO_EM_EDICAO</w:t>
      </w:r>
      <w:r>
        <w:rPr>
          <w:rFonts w:ascii="Calibri" w:cs="Calibri" w:eastAsia="Calibri" w:hAnsi="Calibri"/>
        </w:rPr>
        <w:t xml:space="preserve">).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Rascunho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Registrado (</w:t>
            </w:r>
            <w:r>
              <w:rPr>
                <w:rFonts w:ascii="Consolas" w:cs="Consolas" w:eastAsia="Consolas" w:hAnsi="Consolas"/>
                <w:b/>
                <w:bCs/>
                <w:color w:val="32363A"/>
                <w:sz w:val="18"/>
                <w:szCs w:val="18"/>
              </w:rPr>
              <w:t xml:space="preserve">ABERTO</w:t>
            </w: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)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Pagamento aprovado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Finalizado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pStyle w:val="Heading1"/>
        <w:pageBreakBefore/>
      </w:pPr>
      <w:bookmarkStart w:name="_Toc9" w:id="9"/>
      <w:r>
        <w:rPr>
          <w:rFonts w:ascii="Calibri" w:cs="Calibri" w:eastAsia="Calibri" w:hAnsi="Calibri"/>
        </w:rPr>
        <w:t xml:space="preserve">6. Regras de Negócio</w:t>
      </w:r>
      <w:bookmarkEnd w:id="9"/>
    </w:p>
    <w:p>
      <w:pPr>
        <w:pStyle w:val="Heading2"/>
        <w:keepNext/>
      </w:pPr>
      <w:bookmarkStart w:name="_Toc10" w:id="10"/>
      <w:r>
        <w:rPr>
          <w:rFonts w:ascii="Calibri" w:cs="Calibri" w:eastAsia="Calibri" w:hAnsi="Calibri"/>
        </w:rPr>
        <w:t xml:space="preserve">6.1 Clientes e endereços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cliente nasce ativo, com score sorteado; CPF e telefone gravados só com dígitos.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Save, o CPF precisa ter dígitos verificadores válidos e ser único.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Exclusão bloqueada se houver pedido do cliente, gravado ou em rascunho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CLIENTE_COM_PEDIDO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primeiro endereço vira principal; </w:t>
      </w:r>
      <w:r>
        <w:rPr>
          <w:rFonts w:ascii="Calibri" w:cs="Calibri" w:eastAsia="Calibri" w:hAnsi="Calibri"/>
          <w:i/>
          <w:iCs/>
        </w:rPr>
        <w:t xml:space="preserve">Definir como principal</w:t>
      </w:r>
      <w:r>
        <w:rPr>
          <w:rFonts w:ascii="Calibri" w:cs="Calibri" w:eastAsia="Calibri" w:hAnsi="Calibri"/>
        </w:rPr>
        <w:t xml:space="preserve"> desmarca os demais.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Ao informar o CEP, o backend preenche logradouro, bairro, cidade e UF: reaproveita um CEP já validado ou consulta o ViaCEP (timeout de 5 s, cache por processo).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CEP inexistente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</w:t>
      </w:r>
      <w:r>
        <w:rPr>
          <w:rFonts w:ascii="Calibri" w:cs="Calibri" w:eastAsia="Calibri" w:hAnsi="Calibri"/>
        </w:rPr>
        <w:t xml:space="preserve">) ou ViaCEP indisponível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X</w:t>
      </w:r>
      <w:r>
        <w:rPr>
          <w:rFonts w:ascii="Calibri" w:cs="Calibri" w:eastAsia="Calibri" w:hAnsi="Calibri"/>
        </w:rPr>
        <w:t xml:space="preserve">) bloqueia o Save. </w:t>
      </w:r>
      <w:r>
        <w:rPr>
          <w:rFonts w:ascii="Calibri" w:cs="Calibri" w:eastAsia="Calibri" w:hAnsi="Calibri"/>
          <w:b/>
          <w:bCs/>
        </w:rPr>
        <w:t xml:space="preserve">CEP geral</w:t>
      </w:r>
      <w:r>
        <w:rPr>
          <w:rFonts w:ascii="Calibri" w:cs="Calibri" w:eastAsia="Calibri" w:hAnsi="Calibri"/>
        </w:rPr>
        <w:t xml:space="preserve"> (município sem logradouro) torna logradouro e bairro editáveis e obrigatórios.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mesmo CEP não se repete no mesmo cliente; número obrigatório.</w:t>
      </w:r>
    </w:p>
    <w:p>
      <w:pPr>
        <w:spacing w:after="60"/>
      </w:pP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553402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Rascunho do cliente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1847850" cy="11049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Endereço preenchido pelo CEP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1847850" cy="11049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Cliente criado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1847850" cy="11049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1" w:id="11"/>
      <w:r>
        <w:rPr>
          <w:rFonts w:ascii="Calibri" w:cs="Calibri" w:eastAsia="Calibri" w:hAnsi="Calibri"/>
        </w:rPr>
        <w:t xml:space="preserve">6.2 Itens e estoque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item nasce ativo, em BRL, com estoque e reserva 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SKU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SKU-&lt;3 letras da categoria&gt;-&lt;10 dígitos&gt;</w:t>
      </w:r>
      <w:r>
        <w:rPr>
          <w:rFonts w:ascii="Calibri" w:cs="Calibri" w:eastAsia="Calibri" w:hAnsi="Calibri"/>
        </w:rPr>
        <w:t xml:space="preserve"> (ex.: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SKU-ELE-0000000042</w:t>
      </w:r>
      <w:r>
        <w:rPr>
          <w:rFonts w:ascii="Calibri" w:cs="Calibri" w:eastAsia="Calibri" w:hAnsi="Calibri"/>
        </w:rPr>
        <w:t xml:space="preserve">), gerado no Save e regenerado se a categoria mudar de prefixo.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32363A"/>
          <w:sz w:val="19"/>
          <w:szCs w:val="19"/>
        </w:rPr>
        <w:t xml:space="preserve">qtdeReservada</w:t>
      </w:r>
      <w:r>
        <w:rPr>
          <w:rFonts w:ascii="Calibri" w:cs="Calibri" w:eastAsia="Calibri" w:hAnsi="Calibri"/>
        </w:rPr>
        <w:t xml:space="preserve"> só é alterada pelos pedidos; o Save do item preserva reservas feitas durante a edição.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Inativação bloqueada com estoque disponível ou pedido ativo; exclusão bloqueada com reserva ou pedido.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Novo item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Item criado com SKU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2" w:id="12"/>
      <w:r>
        <w:rPr>
          <w:rFonts w:ascii="Calibri" w:cs="Calibri" w:eastAsia="Calibri" w:hAnsi="Calibri"/>
        </w:rPr>
        <w:t xml:space="preserve">6.3 Registro e edição do pedido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rascunho, ao escolher o cliente o endereço principal é preenchido; ao escolher item ou quantidade, preço e totais são recalculados. O rascunho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reserva estoque e barra itens sem disponível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ITEM_SEM_ESTOQUE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primeiro </w:t>
      </w:r>
      <w:r>
        <w:rPr>
          <w:rFonts w:ascii="Calibri" w:cs="Calibri" w:eastAsia="Calibri" w:hAnsi="Calibri"/>
          <w:b/>
          <w:bCs/>
        </w:rPr>
        <w:t xml:space="preserve">Salvar</w:t>
      </w:r>
      <w:r>
        <w:rPr>
          <w:rFonts w:ascii="Calibri" w:cs="Calibri" w:eastAsia="Calibri" w:hAnsi="Calibri"/>
        </w:rPr>
        <w:t xml:space="preserve"> valida cliente ativo com endereço principal, ao menos um item ativo, quantidade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&gt; 0</w:t>
      </w:r>
      <w:r>
        <w:rPr>
          <w:rFonts w:ascii="Calibri" w:cs="Calibri" w:eastAsia="Calibri" w:hAnsi="Calibri"/>
        </w:rPr>
        <w:t xml:space="preserve"> e disponível suficiente; então fixa preços, gera o número e reserva o estoque. Qualquer erro desfaz tudo.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 edição (só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ABERTO</w:t>
      </w:r>
      <w:r>
        <w:rPr>
          <w:rFonts w:ascii="Calibri" w:cs="Calibri" w:eastAsia="Calibri" w:hAnsi="Calibri"/>
        </w:rPr>
        <w:t xml:space="preserve">), o cliente é imutável e a reserva é ajustada pela diferença.</w:t>
      </w:r>
    </w:p>
    <w:p>
      <w:pPr>
        <w:spacing w:after="60"/>
      </w:pP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5534025"/>
            <wp:effectExtent t="0" r="0" b="0" l="0"/>
            <wp:docPr id="1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bookmarkStart w:name="_Toc13" w:id="13"/>
      <w:r>
        <w:rPr>
          <w:rFonts w:ascii="Calibri" w:cs="Calibri" w:eastAsia="Calibri" w:hAnsi="Calibri"/>
        </w:rPr>
        <w:t xml:space="preserve">6.4 Pagamento simulado</w:t>
      </w:r>
      <w:bookmarkEnd w:id="13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ABERTO</w:t>
      </w:r>
      <w:r>
        <w:rPr>
          <w:rFonts w:ascii="Calibri" w:cs="Calibri" w:eastAsia="Calibri" w:hAnsi="Calibri"/>
        </w:rPr>
        <w:t xml:space="preserve"> (inclusive após recusa). Os dados do cartão existem apenas em memória.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Dados inválidos (número fora de 13–19 dígitos, validade fora de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MM/AA</w:t>
      </w:r>
      <w:r>
        <w:rPr>
          <w:rFonts w:ascii="Calibri" w:cs="Calibri" w:eastAsia="Calibri" w:hAnsi="Calibri"/>
        </w:rPr>
        <w:t xml:space="preserve"> ou expirada, CVV sem 3–4 dígitos) são erro de entrada (HTTP 400,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CARTAO_DADOS_INVALIDOS</w:t>
      </w:r>
      <w:r>
        <w:rPr>
          <w:rFonts w:ascii="Calibri" w:cs="Calibri" w:eastAsia="Calibri" w:hAnsi="Calibri"/>
        </w:rPr>
        <w:t xml:space="preserve">), não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Bandeira pelo primeiro dígito (4 →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VISA</w:t>
      </w:r>
      <w:r>
        <w:rPr>
          <w:rFonts w:ascii="Calibri" w:cs="Calibri" w:eastAsia="Calibri" w:hAnsi="Calibri"/>
        </w:rPr>
        <w:t xml:space="preserve">, 5 →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MASTERCARD</w:t>
      </w:r>
      <w:r>
        <w:rPr>
          <w:rFonts w:ascii="Calibri" w:cs="Calibri" w:eastAsia="Calibri" w:hAnsi="Calibri"/>
        </w:rPr>
        <w:t xml:space="preserve">, demais →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OUTRA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CVV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000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RECUSADO</w:t>
      </w:r>
      <w:r>
        <w:rPr>
          <w:rFonts w:ascii="Calibri" w:cs="Calibri" w:eastAsia="Calibri" w:hAnsi="Calibri"/>
        </w:rPr>
        <w:t xml:space="preserve"> (pedido segue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ABERTO</w:t>
      </w:r>
      <w:r>
        <w:rPr>
          <w:rFonts w:ascii="Calibri" w:cs="Calibri" w:eastAsia="Calibri" w:hAnsi="Calibri"/>
        </w:rPr>
        <w:t xml:space="preserve">); demais →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APROVADO</w:t>
      </w:r>
      <w:r>
        <w:rPr>
          <w:rFonts w:ascii="Calibri" w:cs="Calibri" w:eastAsia="Calibri" w:hAnsi="Calibri"/>
        </w:rPr>
        <w:t xml:space="preserve"> com código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SIMnnnnnn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Só a última tentativa é mantida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Pagamentos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diálogo é uma ação customizada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webapp/ext/EfetuarPagamento.js</w:t>
      </w:r>
      <w:r>
        <w:rPr>
          <w:rFonts w:ascii="Calibri" w:cs="Calibri" w:eastAsia="Calibri" w:hAnsi="Calibri"/>
        </w:rPr>
        <w:t xml:space="preserve">) com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sap.m.MaskInput</w:t>
      </w:r>
      <w:r>
        <w:rPr>
          <w:rFonts w:ascii="Calibri" w:cs="Calibri" w:eastAsia="Calibri" w:hAnsi="Calibri"/>
        </w:rPr>
        <w:t xml:space="preserve"> no cartão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9999 9999 9999 9999</w:t>
      </w:r>
      <w:r>
        <w:rPr>
          <w:rFonts w:ascii="Calibri" w:cs="Calibri" w:eastAsia="Calibri" w:hAnsi="Calibri"/>
        </w:rPr>
        <w:t xml:space="preserve">), validade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99/99</w:t>
      </w:r>
      <w:r>
        <w:rPr>
          <w:rFonts w:ascii="Calibri" w:cs="Calibri" w:eastAsia="Calibri" w:hAnsi="Calibri"/>
        </w:rPr>
        <w:t xml:space="preserve">) e CVV; o botão só habilita com tudo preenchido.</w:t>
      </w:r>
    </w:p>
    <w:p>
      <w:pPr>
        <w:spacing w:after="60"/>
      </w:pP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5238750"/>
            <wp:effectExtent t="0" r="0" b="0" l="0"/>
            <wp:docPr id="1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552825"/>
            <wp:effectExtent t="0" r="0" b="0" l="0"/>
            <wp:docPr id="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6B82"/>
          <w:sz w:val="18"/>
          <w:szCs w:val="18"/>
        </w:rPr>
        <w:t xml:space="preserve">Diálogo Efetuar Pagamento com máscara no cartão, na validade e no CVV.</w:t>
      </w:r>
    </w:p>
    <w:p>
      <w:pPr>
        <w:pStyle w:val="Heading2"/>
        <w:keepNext/>
      </w:pPr>
      <w:bookmarkStart w:name="_Toc14" w:id="14"/>
      <w:r>
        <w:rPr>
          <w:rFonts w:ascii="Calibri" w:cs="Calibri" w:eastAsia="Calibri" w:hAnsi="Calibri"/>
        </w:rPr>
        <w:t xml:space="preserve">6.5 Aprovação</w:t>
      </w:r>
      <w:bookmarkEnd w:id="14"/>
    </w:p>
    <w:p>
      <w:pPr>
        <w:spacing w:after="140"/>
      </w:pPr>
      <w:r>
        <w:rPr>
          <w:rFonts w:ascii="Calibri" w:cs="Calibri" w:eastAsia="Calibri" w:hAnsi="Calibri"/>
        </w:rPr>
        <w:t xml:space="preserve">Só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AGUARDANDO_APROVACAO</w:t>
      </w:r>
      <w:r>
        <w:rPr>
          <w:rFonts w:ascii="Calibri" w:cs="Calibri" w:eastAsia="Calibri" w:hAnsi="Calibri"/>
        </w:rPr>
        <w:t xml:space="preserve"> com pagamento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APROVADO</w:t>
      </w:r>
      <w:r>
        <w:rPr>
          <w:rFonts w:ascii="Calibri" w:cs="Calibri" w:eastAsia="Calibri" w:hAnsi="Calibri"/>
        </w:rPr>
        <w:t xml:space="preserve">. Baixa estoque e reserva, gera os snapshots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FINALIZACAO</w:t>
      </w:r>
      <w:r>
        <w:rPr>
          <w:rFonts w:ascii="Calibri" w:cs="Calibri" w:eastAsia="Calibri" w:hAnsi="Calibri"/>
        </w:rPr>
        <w:t xml:space="preserve">), preenche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dataFinalizacao</w:t>
      </w:r>
      <w:r>
        <w:rPr>
          <w:rFonts w:ascii="Calibri" w:cs="Calibri" w:eastAsia="Calibri" w:hAnsi="Calibri"/>
        </w:rPr>
        <w:t xml:space="preserve"> e muda para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FINALIZADO</w:t>
      </w:r>
      <w:r>
        <w:rPr>
          <w:rFonts w:ascii="Calibri" w:cs="Calibri" w:eastAsia="Calibri" w:hAnsi="Calibri"/>
        </w:rPr>
        <w:t xml:space="preserve">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4724400"/>
            <wp:effectExtent t="0" r="0" b="0" l="0"/>
            <wp:docPr id="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</w:pPr>
      <w:bookmarkStart w:name="_Toc15" w:id="15"/>
      <w:r>
        <w:rPr>
          <w:rFonts w:ascii="Calibri" w:cs="Calibri" w:eastAsia="Calibri" w:hAnsi="Calibri"/>
        </w:rPr>
        <w:t xml:space="preserve">6.6 Cancelamento e reembolso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Cancelamento permitido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ABERTO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AGUARDANDO_APROVACAO</w:t>
      </w:r>
      <w:r>
        <w:rPr>
          <w:rFonts w:ascii="Calibri" w:cs="Calibri" w:eastAsia="Calibri" w:hAnsi="Calibri"/>
        </w:rPr>
        <w:t xml:space="preserve">, com motivo obrigatório.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Sem pagamento aprovado:</w:t>
      </w:r>
      <w:r>
        <w:rPr>
          <w:rFonts w:ascii="Calibri" w:cs="Calibri" w:eastAsia="Calibri" w:hAnsi="Calibri"/>
        </w:rPr>
        <w:t xml:space="preserve"> libera a reserva, gera snapshots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CANCELAMENTO</w:t>
      </w:r>
      <w:r>
        <w:rPr>
          <w:rFonts w:ascii="Calibri" w:cs="Calibri" w:eastAsia="Calibri" w:hAnsi="Calibri"/>
        </w:rPr>
        <w:t xml:space="preserve">) e cancela.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Com pagamento aprovado:</w:t>
      </w:r>
      <w:r>
        <w:rPr>
          <w:rFonts w:ascii="Calibri" w:cs="Calibri" w:eastAsia="Calibri" w:hAnsi="Calibri"/>
        </w:rPr>
        <w:t xml:space="preserve"> cria o reembolso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PENDENTE</w:t>
      </w:r>
      <w:r>
        <w:rPr>
          <w:rFonts w:ascii="Calibri" w:cs="Calibri" w:eastAsia="Calibri" w:hAnsi="Calibri"/>
        </w:rPr>
        <w:t xml:space="preserve"> e o pedido vai para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PROCESSANDO_REEMBOLSO</w:t>
      </w:r>
      <w:r>
        <w:rPr>
          <w:rFonts w:ascii="Calibri" w:cs="Calibri" w:eastAsia="Calibri" w:hAnsi="Calibri"/>
        </w:rPr>
        <w:t xml:space="preserve">, mantendo a reserva.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Aprovar reembolso</w:t>
      </w:r>
      <w:r>
        <w:rPr>
          <w:rFonts w:ascii="Calibri" w:cs="Calibri" w:eastAsia="Calibri" w:hAnsi="Calibri"/>
        </w:rPr>
        <w:t xml:space="preserve"> (motivo opcional): cancela o pedido, libera a reserva, gera snapshots e marca o pagamento como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DEVOLVIDO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Rejeitar reembolso</w:t>
      </w:r>
      <w:r>
        <w:rPr>
          <w:rFonts w:ascii="Calibri" w:cs="Calibri" w:eastAsia="Calibri" w:hAnsi="Calibri"/>
        </w:rPr>
        <w:t xml:space="preserve"> (motivo obrigatório): o pedido volta ao status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solicitação é decidida uma única vez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REEMBOLSO_STATUS_INVALIDO</w:t>
      </w:r>
      <w:r>
        <w:rPr>
          <w:rFonts w:ascii="Calibri" w:cs="Calibri" w:eastAsia="Calibri" w:hAnsi="Calibri"/>
        </w:rPr>
        <w:t xml:space="preserve">).</w:t>
      </w:r>
    </w:p>
    <w:p>
      <w:pPr>
        <w:spacing w:after="60"/>
      </w:pP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3819525"/>
            <wp:effectExtent t="0" r="0" b="0" l="0"/>
            <wp:docPr id="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Motivo do cancelamento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Pedido pago enviado para reembolso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Pedido em processamento de reembolso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Pedido aberto cancelado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Solicitação pendente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Aprovar reembolso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Reembolso aprovado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Pedido cancelado e pagamento devolvido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Rejeitar com motivo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Reembolso rejeitado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2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pStyle w:val="Heading2"/>
        <w:keepNext/>
      </w:pPr>
      <w:bookmarkStart w:name="_Toc16" w:id="16"/>
      <w:r>
        <w:rPr>
          <w:rFonts w:ascii="Calibri" w:cs="Calibri" w:eastAsia="Calibri" w:hAnsi="Calibri"/>
        </w:rPr>
        <w:t xml:space="preserve">6.7 Snapshots</w:t>
      </w:r>
      <w:bookmarkEnd w:id="16"/>
    </w:p>
    <w:p>
      <w:pPr>
        <w:spacing w:after="140"/>
      </w:pPr>
      <w:r>
        <w:rPr>
          <w:rFonts w:ascii="Calibri" w:cs="Calibri" w:eastAsia="Calibri" w:hAnsi="Calibri"/>
        </w:rPr>
        <w:t xml:space="preserve">Criados uma única vez, na aprovação ou no cancelamento. Na Object Page do pedido encerrado, as seções Dados do Cliente e Itens passam a mostrar os snapshots, então mudanças posteriores no cadastro não alteram o histórico.</w:t>
      </w:r>
    </w:p>
    <w:p>
      <w:pPr>
        <w:pStyle w:val="Heading1"/>
        <w:pageBreakBefore/>
      </w:pPr>
      <w:bookmarkStart w:name="_Toc17" w:id="17"/>
      <w:r>
        <w:rPr>
          <w:rFonts w:ascii="Calibri" w:cs="Calibri" w:eastAsia="Calibri" w:hAnsi="Calibri"/>
        </w:rPr>
        <w:t xml:space="preserve">7. Estoque e Concorrência</w:t>
      </w:r>
      <w:bookmarkEnd w:id="1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2892"/>
        <w:gridCol w:w="2375"/>
        <w:gridCol w:w="2589"/>
      </w:tblGrid>
      <w:tr>
        <w:trPr>
          <w:cantSplit/>
          <w:tblHeader/>
        </w:trPr>
        <w:tc>
          <w:tcPr>
            <w:tcW w:type="dxa" w:w="15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Movimento</w:t>
            </w:r>
          </w:p>
        </w:tc>
        <w:tc>
          <w:tcPr>
            <w:tcW w:type="dxa" w:w="28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Quando</w:t>
            </w:r>
          </w:p>
        </w:tc>
        <w:tc>
          <w:tcPr>
            <w:tcW w:type="dxa" w:w="237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Efeito</w:t>
            </w:r>
          </w:p>
        </w:tc>
        <w:tc>
          <w:tcPr>
            <w:tcW w:type="dxa" w:w="25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Condição no banco</w:t>
            </w:r>
          </w:p>
        </w:tc>
      </w:tr>
      <w:tr>
        <w:trPr>
          <w:cantSplit/>
          <w:tblHeader w:val="off"/>
        </w:trPr>
        <w:tc>
          <w:tcPr>
            <w:tcW w:type="dxa" w:w="15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Reservar</w:t>
            </w:r>
          </w:p>
        </w:tc>
        <w:tc>
          <w:tcPr>
            <w:tcW w:type="dxa" w:w="28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Registro; acréscimo na edição</w:t>
            </w:r>
          </w:p>
        </w:tc>
        <w:tc>
          <w:tcPr>
            <w:tcW w:type="dxa" w:w="237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qtdeReservada += q</w:t>
            </w:r>
          </w:p>
        </w:tc>
        <w:tc>
          <w:tcPr>
            <w:tcW w:type="dxa" w:w="25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 ativo e disponível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&gt;= q</w:t>
            </w:r>
          </w:p>
        </w:tc>
      </w:tr>
      <w:tr>
        <w:trPr>
          <w:cantSplit/>
          <w:tblHeader w:val="off"/>
        </w:trPr>
        <w:tc>
          <w:tcPr>
            <w:tcW w:type="dxa" w:w="15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Liberar</w:t>
            </w:r>
          </w:p>
        </w:tc>
        <w:tc>
          <w:tcPr>
            <w:tcW w:type="dxa" w:w="28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Redução na edição; cancelamento; reembolso aprovado</w:t>
            </w:r>
          </w:p>
        </w:tc>
        <w:tc>
          <w:tcPr>
            <w:tcW w:type="dxa" w:w="237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qtdeReservada -= q</w:t>
            </w:r>
          </w:p>
        </w:tc>
        <w:tc>
          <w:tcPr>
            <w:tcW w:type="dxa" w:w="25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qtdeReservada &gt;= q</w:t>
            </w:r>
          </w:p>
        </w:tc>
      </w:tr>
      <w:tr>
        <w:trPr>
          <w:cantSplit/>
          <w:tblHeader w:val="off"/>
        </w:trPr>
        <w:tc>
          <w:tcPr>
            <w:tcW w:type="dxa" w:w="1504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Baixar</w:t>
            </w:r>
          </w:p>
        </w:tc>
        <w:tc>
          <w:tcPr>
            <w:tcW w:type="dxa" w:w="289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Aprovação</w:t>
            </w:r>
          </w:p>
        </w:tc>
        <w:tc>
          <w:tcPr>
            <w:tcW w:type="dxa" w:w="237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qtdeReservada -= q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qtdeEstoque -= q</w:t>
            </w:r>
          </w:p>
        </w:tc>
        <w:tc>
          <w:tcPr>
            <w:tcW w:type="dxa" w:w="25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reserva e estoque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&gt;= q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movimento é um único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UPDATE ... WHERE ID = ? AND &lt;condição&gt;</w:t>
      </w:r>
      <w:r>
        <w:rPr>
          <w:rFonts w:ascii="Calibri" w:cs="Calibri" w:eastAsia="Calibri" w:hAnsi="Calibri"/>
        </w:rPr>
        <w:t xml:space="preserve"> sobre o saldo atual do banco. Se outra transação consumiu o saldo, nenhuma linha muda e o pedido recebe um erro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ITEM_ESTOQUE_INSUFICIENTE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ITEM_ESTOQUE_CONCORRENTE</w:t>
      </w:r>
      <w:r>
        <w:rPr>
          <w:rFonts w:ascii="Calibri" w:cs="Calibri" w:eastAsia="Calibri" w:hAnsi="Calibri"/>
        </w:rPr>
        <w:t xml:space="preserve">...).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Toda ação do pedido começa por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transicionarPedido</w:t>
      </w:r>
      <w:r>
        <w:rPr>
          <w:rFonts w:ascii="Calibri" w:cs="Calibri" w:eastAsia="Calibri" w:hAnsi="Calibri"/>
        </w:rPr>
        <w:t xml:space="preserve">, um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UPDATE</w:t>
      </w:r>
      <w:r>
        <w:rPr>
          <w:rFonts w:ascii="Calibri" w:cs="Calibri" w:eastAsia="Calibri" w:hAnsi="Calibri"/>
        </w:rPr>
        <w:t xml:space="preserve"> condicionado ao status lido. Entre duas ações simultâneas, só a primeira é aplicada; a outra recebe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PEDIDO_ALTERADO_CONCORRENTE</w:t>
      </w:r>
      <w:r>
        <w:rPr>
          <w:rFonts w:ascii="Calibri" w:cs="Calibri" w:eastAsia="Calibri" w:hAnsi="Calibri"/>
        </w:rPr>
        <w:t xml:space="preserve"> (HTTP 409) antes de tocar no estoque.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a requisição roda numa transação, qualquer erro desfaz movimentos, número e snapshots.</w:t>
      </w:r>
    </w:p>
    <w:p>
      <w:pPr>
        <w:spacing w:after="60"/>
      </w:pPr>
    </w:p>
    <w:p>
      <w:pPr>
        <w:pStyle w:val="Heading1"/>
        <w:pageBreakBefore/>
      </w:pPr>
      <w:bookmarkStart w:name="_Toc18" w:id="18"/>
      <w:r>
        <w:rPr>
          <w:rFonts w:ascii="Calibri" w:cs="Calibri" w:eastAsia="Calibri" w:hAnsi="Calibri"/>
        </w:rPr>
        <w:t xml:space="preserve">8. Importação por Planilha</w:t>
      </w:r>
      <w:bookmarkEnd w:id="18"/>
    </w:p>
    <w:p>
      <w:pPr>
        <w:spacing w:after="140"/>
      </w:pPr>
      <w:r>
        <w:rPr>
          <w:rFonts w:ascii="Calibri" w:cs="Calibri" w:eastAsia="Calibri" w:hAnsi="Calibri"/>
        </w:rPr>
        <w:t xml:space="preserve">Botão </w:t>
      </w:r>
      <w:r>
        <w:rPr>
          <w:rFonts w:ascii="Calibri" w:cs="Calibri" w:eastAsia="Calibri" w:hAnsi="Calibri"/>
          <w:b/>
          <w:bCs/>
        </w:rPr>
        <w:t xml:space="preserve">Importar planilha</w:t>
      </w:r>
      <w:r>
        <w:rPr>
          <w:rFonts w:ascii="Calibri" w:cs="Calibri" w:eastAsia="Calibri" w:hAnsi="Calibri"/>
        </w:rPr>
        <w:t xml:space="preserve"> nas listas de Clientes, Estoque e Pedidos.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32363A"/>
          <w:sz w:val="19"/>
          <w:szCs w:val="19"/>
        </w:rPr>
        <w:t xml:space="preserve">.xlsx</w:t>
      </w:r>
      <w:r>
        <w:rPr>
          <w:rFonts w:ascii="Calibri" w:cs="Calibri" w:eastAsia="Calibri" w:hAnsi="Calibri"/>
        </w:rPr>
        <w:t xml:space="preserve"> ou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.csv</w:t>
      </w:r>
      <w:r>
        <w:rPr>
          <w:rFonts w:ascii="Calibri" w:cs="Calibri" w:eastAsia="Calibri" w:hAnsi="Calibri"/>
        </w:rPr>
        <w:t xml:space="preserve"> (separador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;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,</w:t>
      </w:r>
      <w:r>
        <w:rPr>
          <w:rFonts w:ascii="Calibri" w:cs="Calibri" w:eastAsia="Calibri" w:hAnsi="Calibri"/>
        </w:rPr>
        <w:t xml:space="preserve"> ou tabulação); até 500 linhas; nomes de coluna comparados sem acento, espaço ou caixa.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Tudo ou nada:</w:t>
      </w:r>
      <w:r>
        <w:rPr>
          <w:rFonts w:ascii="Calibri" w:cs="Calibri" w:eastAsia="Calibri" w:hAnsi="Calibri"/>
        </w:rPr>
        <w:t xml:space="preserve"> todas as linhas são validadas antes de gravar; com qualquer erro nada é gravado e os erros são listados por linha.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gravação passa pelo próprio serviço, com as mesmas regras da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Modelos em </w:t>
      </w:r>
      <w:hyperlink w:history="1" r:id="rIdchcip-d3emga91a09q1ik">
        <w:r>
          <w:rPr>
            <w:rFonts w:ascii="Consolas" w:cs="Consolas" w:eastAsia="Consolas" w:hAnsi="Consolas"/>
            <w:color w:val="32363A"/>
            <w:sz w:val="19"/>
            <w:szCs w:val="19"/>
            <w:u w:val="single"/>
          </w:rPr>
          <w:t xml:space="preserve">modelos-importacao</w:t>
        </w:r>
      </w:hyperlink>
      <w:r>
        <w:rPr>
          <w:rFonts w:ascii="Calibri" w:cs="Calibri" w:eastAsia="Calibri" w:hAnsi="Calibri"/>
        </w:rPr>
        <w:t xml:space="preserve">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3881"/>
        <w:gridCol w:w="4459"/>
      </w:tblGrid>
      <w:tr>
        <w:trPr>
          <w:cantSplit/>
          <w:tblHeader/>
        </w:trPr>
        <w:tc>
          <w:tcPr>
            <w:tcW w:type="dxa" w:w="10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Planilha</w:t>
            </w:r>
          </w:p>
        </w:tc>
        <w:tc>
          <w:tcPr>
            <w:tcW w:type="dxa" w:w="388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Colunas obrigatórias</w:t>
            </w:r>
          </w:p>
        </w:tc>
        <w:tc>
          <w:tcPr>
            <w:tcW w:type="dxa" w:w="44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Observações</w:t>
            </w:r>
          </w:p>
        </w:tc>
      </w:tr>
      <w:tr>
        <w:trPr>
          <w:cantSplit/>
          <w:tblHeader w:val="off"/>
        </w:trPr>
        <w:tc>
          <w:tcPr>
            <w:tcW w:type="dxa" w:w="10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Clientes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88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CPF, Nome, E-mail, Telefone, Data de nascimento, CEP, Número</w:t>
            </w:r>
          </w:p>
        </w:tc>
        <w:tc>
          <w:tcPr>
            <w:tcW w:type="dxa" w:w="44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Um cliente por linha, com o endereço principal</w:t>
            </w:r>
          </w:p>
        </w:tc>
      </w:tr>
      <w:tr>
        <w:trPr>
          <w:cantSplit/>
          <w:tblHeader w:val="off"/>
        </w:trPr>
        <w:tc>
          <w:tcPr>
            <w:tcW w:type="dxa" w:w="10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Estoque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Admin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388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Nome, Categoria, Quantidade em estoque, Preço unitário</w:t>
            </w:r>
          </w:p>
        </w:tc>
        <w:tc>
          <w:tcPr>
            <w:tcW w:type="dxa" w:w="44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Nome já cadastrado é recusado, sem diferenciar maiúsculas</w:t>
            </w:r>
          </w:p>
        </w:tc>
      </w:tr>
      <w:tr>
        <w:trPr>
          <w:cantSplit/>
          <w:tblHeader w:val="off"/>
        </w:trPr>
        <w:tc>
          <w:tcPr>
            <w:tcW w:type="dxa" w:w="10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</w:t>
            </w:r>
          </w:p>
        </w:tc>
        <w:tc>
          <w:tcPr>
            <w:tcW w:type="dxa" w:w="388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 (referência), CPF, SKU, Quantidade</w:t>
            </w:r>
          </w:p>
        </w:tc>
        <w:tc>
          <w:tcPr>
            <w:tcW w:type="dxa" w:w="445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Linhas com a mesma referência formam um pedido; reenviar a planilha não duplica pedidos</w:t>
            </w:r>
          </w:p>
        </w:tc>
      </w:tr>
    </w:tbl>
    <w:p>
      <w:pPr>
        <w:spacing w:after="60"/>
      </w:pP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5029200"/>
            <wp:effectExtent t="0" r="0" b="0" l="0"/>
            <wp:docPr id="3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Escolha da planilha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1847850" cy="1104900"/>
                  <wp:effectExtent t="0" r="0" b="0" l="0"/>
                  <wp:docPr id="3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Importação concluída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1847850" cy="1104900"/>
                  <wp:effectExtent t="0" r="0" b="0" l="0"/>
                  <wp:docPr id="3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Recusa por nome duplicado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1847850" cy="1104900"/>
                  <wp:effectExtent t="0" r="0" b="0" l="0"/>
                  <wp:docPr id="3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850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pStyle w:val="Heading1"/>
        <w:pageBreakBefore/>
      </w:pPr>
      <w:bookmarkStart w:name="_Toc19" w:id="19"/>
      <w:r>
        <w:rPr>
          <w:rFonts w:ascii="Calibri" w:cs="Calibri" w:eastAsia="Calibri" w:hAnsi="Calibri"/>
        </w:rPr>
        <w:t xml:space="preserve">9. Análises</w:t>
      </w:r>
      <w:bookmarkEnd w:id="19"/>
    </w:p>
    <w:p>
      <w:pPr>
        <w:spacing w:after="140"/>
      </w:pPr>
      <w:r>
        <w:rPr>
          <w:rFonts w:ascii="Consolas" w:cs="Consolas" w:eastAsia="Consolas" w:hAnsi="Consolas"/>
          <w:color w:val="32363A"/>
          <w:sz w:val="19"/>
          <w:szCs w:val="19"/>
        </w:rPr>
        <w:t xml:space="preserve">AnaliticoService</w:t>
      </w:r>
      <w:r>
        <w:rPr>
          <w:rFonts w:ascii="Calibri" w:cs="Calibri" w:eastAsia="Calibri" w:hAnsi="Calibri"/>
        </w:rPr>
        <w:t xml:space="preserve"> expõe quatro visões somente leitura, consultadas com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$apply=groupby((dimensão),aggregate(medida))</w:t>
      </w:r>
      <w:r>
        <w:rPr>
          <w:rFonts w:ascii="Calibri" w:cs="Calibri" w:eastAsia="Calibri" w:hAnsi="Calibri"/>
        </w:rPr>
        <w:t xml:space="preserve">. Cada domínio tem uma app freestyle com barra de filtros, indicadores, 5 gráficos, página de detalhe por análise e o botão </w:t>
      </w:r>
      <w:r>
        <w:rPr>
          <w:rFonts w:ascii="Calibri" w:cs="Calibri" w:eastAsia="Calibri" w:hAnsi="Calibri"/>
          <w:b/>
          <w:bCs/>
        </w:rPr>
        <w:t xml:space="preserve">Abrir gestão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9"/>
        <w:gridCol w:w="2042"/>
        <w:gridCol w:w="5549"/>
      </w:tblGrid>
      <w:tr>
        <w:trPr>
          <w:cantSplit/>
          <w:tblHeader/>
        </w:trPr>
        <w:tc>
          <w:tcPr>
            <w:tcW w:type="dxa" w:w="1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App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Indicadores</w:t>
            </w:r>
          </w:p>
        </w:tc>
        <w:tc>
          <w:tcPr>
            <w:tcW w:type="dxa" w:w="55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Análises</w:t>
            </w:r>
          </w:p>
        </w:tc>
      </w:tr>
      <w:tr>
        <w:trPr>
          <w:cantSplit/>
          <w:tblHeader w:val="off"/>
        </w:trPr>
        <w:tc>
          <w:tcPr>
            <w:tcW w:type="dxa" w:w="1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 de Pedidos de Compras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Valor total, pedidos, ticket médio</w:t>
            </w:r>
          </w:p>
        </w:tc>
        <w:tc>
          <w:tcPr>
            <w:tcW w:type="dxa" w:w="55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Valor por status, quantidade por mês, valor por UF, status de pagamento, ticket médio</w:t>
            </w:r>
          </w:p>
        </w:tc>
      </w:tr>
      <w:tr>
        <w:trPr>
          <w:cantSplit/>
          <w:tblHeader w:val="off"/>
        </w:trPr>
        <w:tc>
          <w:tcPr>
            <w:tcW w:type="dxa" w:w="1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 de Clientes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Clientes, score médio</w:t>
            </w:r>
          </w:p>
        </w:tc>
        <w:tc>
          <w:tcPr>
            <w:tcW w:type="dxa" w:w="55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Por gênero, por UF, por faixa de score, cadastros por mês, score médio por UF</w:t>
            </w:r>
          </w:p>
        </w:tc>
      </w:tr>
      <w:tr>
        <w:trPr>
          <w:cantSplit/>
          <w:tblHeader w:val="off"/>
        </w:trPr>
        <w:tc>
          <w:tcPr>
            <w:tcW w:type="dxa" w:w="1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 de Itens do Estoque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Itens, estoque, reservada, disponível, valor</w:t>
            </w:r>
          </w:p>
        </w:tc>
        <w:tc>
          <w:tcPr>
            <w:tcW w:type="dxa" w:w="55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Reservado × disponível, situação, valor por categoria, 10 mais reservados, itens por categoria</w:t>
            </w:r>
          </w:p>
        </w:tc>
      </w:tr>
      <w:tr>
        <w:trPr>
          <w:cantSplit/>
          <w:tblHeader w:val="off"/>
        </w:trPr>
        <w:tc>
          <w:tcPr>
            <w:tcW w:type="dxa" w:w="176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 de Pedidos de Reembolsos</w:t>
            </w:r>
          </w:p>
        </w:tc>
        <w:tc>
          <w:tcPr>
            <w:tcW w:type="dxa" w:w="20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Reembolsos, valor</w:t>
            </w:r>
          </w:p>
        </w:tc>
        <w:tc>
          <w:tcPr>
            <w:tcW w:type="dxa" w:w="55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Valor e quantidade por status, valor por mês, valor por UF, quantidade por motivo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Pedidos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3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Clientes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3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Estoque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3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Reembolsos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3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Filtro por status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3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Detalhe de uma análise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3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pStyle w:val="Heading1"/>
        <w:pageBreakBefore/>
      </w:pPr>
      <w:bookmarkStart w:name="_Toc20" w:id="20"/>
      <w:r>
        <w:rPr>
          <w:rFonts w:ascii="Calibri" w:cs="Calibri" w:eastAsia="Calibri" w:hAnsi="Calibri"/>
        </w:rPr>
        <w:t xml:space="preserve">10. Interface do Usuário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3"/>
        <w:gridCol w:w="2342"/>
        <w:gridCol w:w="4755"/>
      </w:tblGrid>
      <w:tr>
        <w:trPr>
          <w:cantSplit/>
          <w:tblHeader/>
        </w:trPr>
        <w:tc>
          <w:tcPr>
            <w:tcW w:type="dxa" w:w="226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Aplicação</w:t>
            </w:r>
          </w:p>
        </w:tc>
        <w:tc>
          <w:tcPr>
            <w:tcW w:type="dxa" w:w="23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4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Caminho</w:t>
            </w:r>
          </w:p>
        </w:tc>
      </w:tr>
      <w:tr>
        <w:trPr>
          <w:cantSplit/>
          <w:tblHeader w:val="off"/>
        </w:trPr>
        <w:tc>
          <w:tcPr>
            <w:tcW w:type="dxa" w:w="226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Gestão de Clientes</w:t>
            </w:r>
          </w:p>
        </w:tc>
        <w:tc>
          <w:tcPr>
            <w:tcW w:type="dxa" w:w="23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Elements V4</w:t>
            </w:r>
          </w:p>
        </w:tc>
        <w:tc>
          <w:tcPr>
            <w:tcW w:type="dxa" w:w="4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/gestaoclientes/index.html</w:t>
            </w:r>
          </w:p>
        </w:tc>
      </w:tr>
      <w:tr>
        <w:trPr>
          <w:cantSplit/>
          <w:tblHeader w:val="off"/>
        </w:trPr>
        <w:tc>
          <w:tcPr>
            <w:tcW w:type="dxa" w:w="226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Gestão de Estoque</w:t>
            </w:r>
          </w:p>
        </w:tc>
        <w:tc>
          <w:tcPr>
            <w:tcW w:type="dxa" w:w="23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Elements V4</w:t>
            </w:r>
          </w:p>
        </w:tc>
        <w:tc>
          <w:tcPr>
            <w:tcW w:type="dxa" w:w="4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/gestaoestoque/index.html</w:t>
            </w:r>
          </w:p>
        </w:tc>
      </w:tr>
      <w:tr>
        <w:trPr>
          <w:cantSplit/>
          <w:tblHeader w:val="off"/>
        </w:trPr>
        <w:tc>
          <w:tcPr>
            <w:tcW w:type="dxa" w:w="226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Pedidos de Compras</w:t>
            </w:r>
          </w:p>
        </w:tc>
        <w:tc>
          <w:tcPr>
            <w:tcW w:type="dxa" w:w="23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Elements V4</w:t>
            </w:r>
          </w:p>
        </w:tc>
        <w:tc>
          <w:tcPr>
            <w:tcW w:type="dxa" w:w="4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/pedidoscompras/index.html</w:t>
            </w:r>
          </w:p>
        </w:tc>
      </w:tr>
      <w:tr>
        <w:trPr>
          <w:cantSplit/>
          <w:tblHeader w:val="off"/>
        </w:trPr>
        <w:tc>
          <w:tcPr>
            <w:tcW w:type="dxa" w:w="226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Gestão de Reembolsos</w:t>
            </w:r>
          </w:p>
        </w:tc>
        <w:tc>
          <w:tcPr>
            <w:tcW w:type="dxa" w:w="23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Fiori Elements V4</w:t>
            </w:r>
          </w:p>
        </w:tc>
        <w:tc>
          <w:tcPr>
            <w:tcW w:type="dxa" w:w="4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/gestaoreembolsos/index.html</w:t>
            </w:r>
          </w:p>
        </w:tc>
      </w:tr>
      <w:tr>
        <w:trPr>
          <w:cantSplit/>
          <w:tblHeader w:val="off"/>
        </w:trPr>
        <w:tc>
          <w:tcPr>
            <w:tcW w:type="dxa" w:w="226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Análises (4 apps)</w:t>
            </w:r>
          </w:p>
        </w:tc>
        <w:tc>
          <w:tcPr>
            <w:tcW w:type="dxa" w:w="23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SAPUI5 freestyle</w:t>
            </w:r>
          </w:p>
        </w:tc>
        <w:tc>
          <w:tcPr>
            <w:tcW w:type="dxa" w:w="4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/analisepedidos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/analiseclientes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/analiseestoque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/analisereembolsos</w:t>
            </w:r>
          </w:p>
        </w:tc>
      </w:tr>
      <w:tr>
        <w:trPr>
          <w:cantSplit/>
          <w:tblHeader w:val="off"/>
        </w:trPr>
        <w:tc>
          <w:tcPr>
            <w:tcW w:type="dxa" w:w="2263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Launchpad local</w:t>
            </w:r>
          </w:p>
        </w:tc>
        <w:tc>
          <w:tcPr>
            <w:tcW w:type="dxa" w:w="2342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Sandbox do SAP Fiori launchpad</w:t>
            </w:r>
          </w:p>
        </w:tc>
        <w:tc>
          <w:tcPr>
            <w:tcW w:type="dxa" w:w="47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/launchpad.html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Gestão de Clientes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4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Gestão de Estoque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4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Pedidos de Compras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4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2D3E"/>
                <w:sz w:val="18"/>
                <w:szCs w:val="18"/>
              </w:rPr>
              <w:t xml:space="preserve">Gestão de Reembolsos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838450" cy="1695450"/>
                  <wp:effectExtent t="0" r="0" b="0" l="0"/>
                  <wp:docPr id="4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8450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Object Page do pedido.</w:t>
      </w:r>
      <w:r>
        <w:rPr>
          <w:rFonts w:ascii="Calibri" w:cs="Calibri" w:eastAsia="Calibri" w:hAnsi="Calibri"/>
        </w:rPr>
        <w:t xml:space="preserve"> Cabeçalho com status e total; menu </w:t>
      </w:r>
      <w:r>
        <w:rPr>
          <w:rFonts w:ascii="Calibri" w:cs="Calibri" w:eastAsia="Calibri" w:hAnsi="Calibri"/>
          <w:i/>
          <w:iCs/>
        </w:rPr>
        <w:t xml:space="preserve">Ações</w:t>
      </w:r>
      <w:r>
        <w:rPr>
          <w:rFonts w:ascii="Calibri" w:cs="Calibri" w:eastAsia="Calibri" w:hAnsi="Calibri"/>
        </w:rPr>
        <w:t xml:space="preserve"> (Efetuar Pagamento, Aprovar, Cancelar) habilitado conforme o status; seções Dados do Cliente, Dados do Pedido, Itens, Pagamento, Finalização e Cancelamento. O usuário informa só o cliente (na criação) e os itens.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3400425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Navegação entre apps.</w:t>
      </w:r>
      <w:r>
        <w:rPr>
          <w:rFonts w:ascii="Calibri" w:cs="Calibri" w:eastAsia="Calibri" w:hAnsi="Calibri"/>
        </w:rPr>
        <w:t xml:space="preserve"> Cliente/CPF, Item/SKU, Pedido e Solicitação de reembolso viram links que abrem o registro na app de destino (intents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Cliente-manage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ItemEstoque-manage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PedidoCompra-manage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Reembolso-manage</w:t>
      </w:r>
      <w:r>
        <w:rPr>
          <w:rFonts w:ascii="Calibri" w:cs="Calibri" w:eastAsia="Calibri" w:hAnsi="Calibri"/>
        </w:rPr>
        <w:t xml:space="preserve">). As análises navegam pela ação </w:t>
      </w:r>
      <w:r>
        <w:rPr>
          <w:rFonts w:ascii="Calibri" w:cs="Calibri" w:eastAsia="Calibri" w:hAnsi="Calibri"/>
          <w:i/>
          <w:iCs/>
        </w:rPr>
        <w:t xml:space="preserve">Abrir gestão</w:t>
      </w:r>
      <w:r>
        <w:rPr>
          <w:rFonts w:ascii="Calibri" w:cs="Calibri" w:eastAsia="Calibri" w:hAnsi="Calibri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552825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6B82"/>
          <w:sz w:val="18"/>
          <w:szCs w:val="18"/>
        </w:rPr>
        <w:t xml:space="preserve">Gestão de Reembolsos aberta pelo botão Abrir gestão da análise de reembolsos.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Mensagens.</w:t>
      </w:r>
      <w:r>
        <w:rPr>
          <w:rFonts w:ascii="Calibri" w:cs="Calibri" w:eastAsia="Calibri" w:hAnsi="Calibri"/>
        </w:rPr>
        <w:t xml:space="preserve"> Todas as mensagens de negócio estão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_i18n/messages.properties</w:t>
      </w:r>
      <w:r>
        <w:rPr>
          <w:rFonts w:ascii="Calibri" w:cs="Calibri" w:eastAsia="Calibri" w:hAnsi="Calibri"/>
        </w:rPr>
        <w:t xml:space="preserve">, com chaves por domínio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CLIENTE_*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CEP_*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ITEM_*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PEDIDO_*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PAGAMENTO_*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REEMBOLSO_*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IMPORTACAO_*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pageBreakBefore/>
      </w:pPr>
      <w:bookmarkStart w:name="_Toc21" w:id="21"/>
      <w:r>
        <w:rPr>
          <w:rFonts w:ascii="Calibri" w:cs="Calibri" w:eastAsia="Calibri" w:hAnsi="Calibri"/>
        </w:rPr>
        <w:t xml:space="preserve">11. JavaScript × TypeScript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1"/>
        <w:gridCol w:w="2949"/>
        <w:gridCol w:w="4120"/>
      </w:tblGrid>
      <w:tr>
        <w:trPr>
          <w:cantSplit/>
          <w:tblHeader/>
        </w:trPr>
        <w:tc>
          <w:tcPr>
            <w:tcW w:type="dxa" w:w="229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Aspecto</w:t>
            </w:r>
          </w:p>
        </w:tc>
        <w:tc>
          <w:tcPr>
            <w:tcW w:type="dxa" w:w="29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32363A"/>
                <w:sz w:val="19"/>
                <w:szCs w:val="19"/>
              </w:rPr>
              <w:t xml:space="preserve">nodejs-padrao</w:t>
            </w:r>
          </w:p>
        </w:tc>
        <w:tc>
          <w:tcPr>
            <w:tcW w:type="dxa" w:w="4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32363A"/>
                <w:sz w:val="19"/>
                <w:szCs w:val="19"/>
              </w:rPr>
              <w:t xml:space="preserve">nodejs-typescript</w:t>
            </w:r>
          </w:p>
        </w:tc>
      </w:tr>
      <w:tr>
        <w:trPr>
          <w:cantSplit/>
          <w:tblHeader w:val="off"/>
        </w:trPr>
        <w:tc>
          <w:tcPr>
            <w:tcW w:type="dxa" w:w="229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Handlers</w:t>
            </w:r>
          </w:p>
        </w:tc>
        <w:tc>
          <w:tcPr>
            <w:tcW w:type="dxa" w:w="29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JavaScript ESM</w:t>
            </w:r>
          </w:p>
        </w:tc>
        <w:tc>
          <w:tcPr>
            <w:tcW w:type="dxa" w:w="4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TypeScript 6.0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strict</w:t>
            </w:r>
          </w:p>
        </w:tc>
      </w:tr>
      <w:tr>
        <w:trPr>
          <w:cantSplit/>
          <w:tblHeader w:val="off"/>
        </w:trPr>
        <w:tc>
          <w:tcPr>
            <w:tcW w:type="dxa" w:w="229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Entidades e consultas</w:t>
            </w:r>
          </w:p>
        </w:tc>
        <w:tc>
          <w:tcPr>
            <w:tcW w:type="dxa" w:w="29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cds.entities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cds.ql</w:t>
            </w:r>
          </w:p>
        </w:tc>
        <w:tc>
          <w:tcPr>
            <w:tcW w:type="dxa" w:w="4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Classes do cds-typer (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#cds-models/...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consultas tipadas</w:t>
            </w:r>
          </w:p>
        </w:tc>
      </w:tr>
      <w:tr>
        <w:trPr>
          <w:cantSplit/>
          <w:tblHeader w:val="off"/>
        </w:trPr>
        <w:tc>
          <w:tcPr>
            <w:tcW w:type="dxa" w:w="229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Execução</w:t>
            </w:r>
          </w:p>
        </w:tc>
        <w:tc>
          <w:tcPr>
            <w:tcW w:type="dxa" w:w="29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cds watch</w:t>
            </w:r>
          </w:p>
        </w:tc>
        <w:tc>
          <w:tcPr>
            <w:tcW w:type="dxa" w:w="4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cds-tsx watch</w:t>
            </w:r>
          </w:p>
        </w:tc>
      </w:tr>
      <w:tr>
        <w:trPr>
          <w:cantSplit/>
          <w:tblHeader w:val="off"/>
        </w:trPr>
        <w:tc>
          <w:tcPr>
            <w:tcW w:type="dxa" w:w="229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Build</w:t>
            </w:r>
          </w:p>
        </w:tc>
        <w:tc>
          <w:tcPr>
            <w:tcW w:type="dxa" w:w="29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cds build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copia os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.js</w:t>
            </w:r>
          </w:p>
        </w:tc>
        <w:tc>
          <w:tcPr>
            <w:tcW w:type="dxa" w:w="4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cds build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compila com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tsc</w:t>
            </w:r>
          </w:p>
        </w:tc>
      </w:tr>
      <w:tr>
        <w:trPr>
          <w:cantSplit/>
          <w:tblHeader w:val="off"/>
        </w:trPr>
        <w:tc>
          <w:tcPr>
            <w:tcW w:type="dxa" w:w="229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Modelo CDS, apps, dados e i18n</w:t>
            </w:r>
          </w:p>
        </w:tc>
        <w:tc>
          <w:tcPr>
            <w:tcW w:type="dxa" w:w="294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Idênticos</w:t>
            </w:r>
          </w:p>
        </w:tc>
        <w:tc>
          <w:tcPr>
            <w:tcW w:type="dxa" w:w="4120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Idênticos</w:t>
            </w:r>
          </w:p>
        </w:tc>
      </w:tr>
    </w:tbl>
    <w:p>
      <w:pPr>
        <w:spacing w:after="60"/>
      </w:pPr>
    </w:p>
    <w:p>
      <w:pPr>
        <w:spacing w:after="140"/>
      </w:pPr>
      <w:r>
        <w:rPr>
          <w:rFonts w:ascii="Calibri" w:cs="Calibri" w:eastAsia="Calibri" w:hAnsi="Calibri"/>
        </w:rPr>
        <w:t xml:space="preserve">Regra de manutenção: toda mudança de regra de negócio é feita nas duas versões, com teste nas duas suítes.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1"/>
        <w:gridCol w:w="6229"/>
      </w:tblGrid>
      <w:tr>
        <w:trPr>
          <w:cantSplit/>
          <w:tblHeader/>
        </w:trPr>
        <w:tc>
          <w:tcPr>
            <w:tcW w:type="dxa" w:w="313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Comando</w:t>
            </w:r>
          </w:p>
        </w:tc>
        <w:tc>
          <w:tcPr>
            <w:tcW w:type="dxa" w:w="62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Ação</w:t>
            </w:r>
          </w:p>
        </w:tc>
      </w:tr>
      <w:tr>
        <w:trPr>
          <w:cantSplit/>
          <w:tblHeader w:val="off"/>
        </w:trPr>
        <w:tc>
          <w:tcPr>
            <w:tcW w:type="dxa" w:w="313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npm install</w:t>
            </w:r>
          </w:p>
        </w:tc>
        <w:tc>
          <w:tcPr>
            <w:tcW w:type="dxa" w:w="62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Instala as dependências</w:t>
            </w:r>
          </w:p>
        </w:tc>
      </w:tr>
      <w:tr>
        <w:trPr>
          <w:cantSplit/>
          <w:tblHeader w:val="off"/>
        </w:trPr>
        <w:tc>
          <w:tcPr>
            <w:tcW w:type="dxa" w:w="313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npm run watch</w:t>
            </w:r>
          </w:p>
        </w:tc>
        <w:tc>
          <w:tcPr>
            <w:tcW w:type="dxa" w:w="62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Executa (cria o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db.sqlite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na primeira vez)</w:t>
            </w:r>
          </w:p>
        </w:tc>
      </w:tr>
      <w:tr>
        <w:trPr>
          <w:cantSplit/>
          <w:tblHeader w:val="off"/>
        </w:trPr>
        <w:tc>
          <w:tcPr>
            <w:tcW w:type="dxa" w:w="313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npm run db:deploy</w:t>
            </w:r>
          </w:p>
        </w:tc>
        <w:tc>
          <w:tcPr>
            <w:tcW w:type="dxa" w:w="62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Recria o banco local</w:t>
            </w:r>
          </w:p>
        </w:tc>
      </w:tr>
      <w:tr>
        <w:trPr>
          <w:cantSplit/>
          <w:tblHeader w:val="off"/>
        </w:trPr>
        <w:tc>
          <w:tcPr>
            <w:tcW w:type="dxa" w:w="313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npm test</w:t>
            </w:r>
          </w:p>
        </w:tc>
        <w:tc>
          <w:tcPr>
            <w:tcW w:type="dxa" w:w="62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Executa os testes</w:t>
            </w:r>
          </w:p>
        </w:tc>
      </w:tr>
      <w:tr>
        <w:trPr>
          <w:cantSplit/>
          <w:tblHeader w:val="off"/>
        </w:trPr>
        <w:tc>
          <w:tcPr>
            <w:tcW w:type="dxa" w:w="313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npm run lint</w:t>
            </w:r>
          </w:p>
        </w:tc>
        <w:tc>
          <w:tcPr>
            <w:tcW w:type="dxa" w:w="62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Lint (no TypeScript, inclui verificação de tipos)</w:t>
            </w:r>
          </w:p>
        </w:tc>
      </w:tr>
      <w:tr>
        <w:trPr>
          <w:cantSplit/>
          <w:tblHeader w:val="off"/>
        </w:trPr>
        <w:tc>
          <w:tcPr>
            <w:tcW w:type="dxa" w:w="313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npm run dados:demo</w:t>
            </w:r>
          </w:p>
        </w:tc>
        <w:tc>
          <w:tcPr>
            <w:tcW w:type="dxa" w:w="622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Regenera os dados de demonstração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bookmarkStart w:name="_Toc22" w:id="22"/>
      <w:r>
        <w:rPr>
          <w:rFonts w:ascii="Calibri" w:cs="Calibri" w:eastAsia="Calibri" w:hAnsi="Calibri"/>
        </w:rPr>
        <w:t xml:space="preserve">12. Testes e Critérios de Aceite</w:t>
      </w:r>
      <w:bookmarkEnd w:id="22"/>
    </w:p>
    <w:p>
      <w:pPr>
        <w:spacing w:after="140"/>
      </w:pPr>
      <w:r>
        <w:rPr>
          <w:rFonts w:ascii="Calibri" w:cs="Calibri" w:eastAsia="Calibri" w:hAnsi="Calibri"/>
        </w:rPr>
        <w:t xml:space="preserve">Testes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node:test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@cap-js/cds-test</w:t>
      </w:r>
      <w:r>
        <w:rPr>
          <w:rFonts w:ascii="Calibri" w:cs="Calibri" w:eastAsia="Calibri" w:hAnsi="Calibri"/>
        </w:rPr>
        <w:t xml:space="preserve"> em SQLite em memória, com ViaCEP falso local: 74 em JavaScript e 76 em TypeScript. As apps de análise têm testes QUnit em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/&lt;app&gt;/test/testsuite.qunit.html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1"/>
        <w:gridCol w:w="7289"/>
      </w:tblGrid>
      <w:tr>
        <w:trPr>
          <w:cantSplit/>
          <w:tblHeader/>
        </w:trPr>
        <w:tc>
          <w:tcPr>
            <w:tcW w:type="dxa" w:w="207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Arquivo</w:t>
            </w:r>
          </w:p>
        </w:tc>
        <w:tc>
          <w:tcPr>
            <w:tcW w:type="dxa" w:w="72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Critérios cobertos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unidade.test</w:t>
            </w:r>
          </w:p>
        </w:tc>
        <w:tc>
          <w:tcPr>
            <w:tcW w:type="dxa" w:w="72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CPF, e-mail, telefone, imagens, SKU, status de estoque, pagamento simulado, leitor XLSX/CSV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clientes.test</w:t>
            </w:r>
          </w:p>
        </w:tc>
        <w:tc>
          <w:tcPr>
            <w:tcW w:type="dxa" w:w="72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ViaCEP e reaproveitamento de CEP, CEP geral, endereço principal, CPF, permissões, exclusão, foto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estoque.test</w:t>
            </w:r>
          </w:p>
        </w:tc>
        <w:tc>
          <w:tcPr>
            <w:tcW w:type="dxa" w:w="72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SKU, status, reserva preservada na edição, inativação, exclusão, permissões, foto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pedidos.test</w:t>
            </w:r>
          </w:p>
        </w:tc>
        <w:tc>
          <w:tcPr>
            <w:tcW w:type="dxa" w:w="72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Registro com reserva, edição pela diferença, pagamento, aprovação, cancelamento, ações simultâneas, campos somente leitura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reembolsos.test</w:t>
            </w:r>
          </w:p>
        </w:tc>
        <w:tc>
          <w:tcPr>
            <w:tcW w:type="dxa" w:w="72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Aprovar, rejeitar com motivo, decisão única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importacao.test</w:t>
            </w:r>
          </w:p>
        </w:tc>
        <w:tc>
          <w:tcPr>
            <w:tcW w:type="dxa" w:w="72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Tudo ou nada, duplicidades recusadas, modelos de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docs/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analitico.test</w:t>
            </w:r>
          </w:p>
        </w:tc>
        <w:tc>
          <w:tcPr>
            <w:tcW w:type="dxa" w:w="7289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Agregações </w:t>
            </w:r>
            <w:r>
              <w:rPr>
                <w:rFonts w:ascii="Consolas" w:cs="Consolas" w:eastAsia="Consolas" w:hAnsi="Consolas"/>
                <w:color w:val="32363A"/>
                <w:sz w:val="19"/>
                <w:szCs w:val="19"/>
              </w:rPr>
              <w:t xml:space="preserve">$apply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dos quatro domínios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bookmarkStart w:name="_Toc23" w:id="23"/>
      <w:r>
        <w:rPr>
          <w:rFonts w:ascii="Calibri" w:cs="Calibri" w:eastAsia="Calibri" w:hAnsi="Calibri"/>
        </w:rPr>
        <w:t xml:space="preserve">13. Estrutura de Cada Implementação</w:t>
      </w:r>
      <w:bookmarkEnd w:id="23"/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_i18n/messages.properties   mensagens de negócio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app/                        apps, launchpad e anotações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db/                         common.cds, schema.cds e data/ (CSV)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srv/                        serviços, handlers, validações e lib/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scripts/                    gerador de dados e preparação do SQLite</w:t>
      </w:r>
    </w:p>
    <w:p>
      <w:pPr>
        <w:keepNext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├── test/                       testes automatizados</w:t>
      </w:r>
    </w:p>
    <w:p>
      <w:pPr>
        <w:keepNext w:val="false"/>
        <w:keepLines/>
        <w:shd w:fill="F4F5F6" w:color="auto" w:val="clear"/>
        <w:spacing w:after="0" w:line="240"/>
      </w:pPr>
      <w:r>
        <w:rPr>
          <w:rFonts w:ascii="Consolas" w:cs="Consolas" w:eastAsia="Consolas" w:hAnsi="Consolas"/>
          <w:sz w:val="17"/>
          <w:szCs w:val="17"/>
        </w:rPr>
        <w:t xml:space="preserve">└── package.json</w:t>
      </w:r>
    </w:p>
    <w:p>
      <w:pPr>
        <w:spacing w:after="60"/>
      </w:pPr>
    </w:p>
    <w:p>
      <w:pPr>
        <w:pStyle w:val="Heading1"/>
        <w:pageBreakBefore/>
      </w:pPr>
      <w:bookmarkStart w:name="_Toc24" w:id="24"/>
      <w:r>
        <w:rPr>
          <w:rFonts w:ascii="Calibri" w:cs="Calibri" w:eastAsia="Calibri" w:hAnsi="Calibri"/>
        </w:rPr>
        <w:t xml:space="preserve">14. Implantação na SAP BTP (pendente)</w:t>
      </w:r>
      <w:bookmarkEnd w:id="24"/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943600" cy="3390900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Calibri" w:cs="Calibri" w:eastAsia="Calibri" w:hAnsi="Calibri"/>
          <w:i/>
          <w:iCs/>
        </w:rPr>
        <w:t xml:space="preserve">SAP Build Work Zone e HTML5 Application Repository, serviço CAP e db-deployer no Cloud Foundry, HDI container no SAP HANA Cloud e XSUAA.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SAP HANA Cloud: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@cap-js/hana</w:t>
      </w:r>
      <w:r>
        <w:rPr>
          <w:rFonts w:ascii="Calibri" w:cs="Calibri" w:eastAsia="Calibri" w:hAnsi="Calibri"/>
        </w:rPr>
        <w:t xml:space="preserve"> e o perfil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[production]</w:t>
      </w:r>
      <w:r>
        <w:rPr>
          <w:rFonts w:ascii="Calibri" w:cs="Calibri" w:eastAsia="Calibri" w:hAnsi="Calibri"/>
        </w:rPr>
        <w:t xml:space="preserve"> já configurados; falta implantar.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XSUAA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xs-security.json</w:t>
      </w:r>
      <w:r>
        <w:rPr>
          <w:rFonts w:ascii="Calibri" w:cs="Calibri" w:eastAsia="Calibri" w:hAnsi="Calibri"/>
        </w:rPr>
        <w:t xml:space="preserve"> com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Admin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Comum</w:t>
      </w:r>
      <w:r>
        <w:rPr>
          <w:rFonts w:ascii="Calibri" w:cs="Calibri" w:eastAsia="Calibri" w:hAnsi="Calibri"/>
        </w:rPr>
        <w:t xml:space="preserve">) e </w:t>
      </w:r>
      <w:r>
        <w:rPr>
          <w:rFonts w:ascii="Calibri" w:cs="Calibri" w:eastAsia="Calibri" w:hAnsi="Calibri"/>
          <w:i/>
          <w:iCs/>
        </w:rPr>
        <w:t xml:space="preserve">role collections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32363A"/>
          <w:sz w:val="19"/>
          <w:szCs w:val="19"/>
        </w:rPr>
        <w:t xml:space="preserve">mta.yaml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cds add xsuaa,html5-repo,workzone,mta</w:t>
      </w:r>
      <w:r>
        <w:rPr>
          <w:rFonts w:ascii="Calibri" w:cs="Calibri" w:eastAsia="Calibri" w:hAnsi="Calibri"/>
        </w:rPr>
        <w:t xml:space="preserve">),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mbt build</w:t>
      </w:r>
      <w:r>
        <w:rPr>
          <w:rFonts w:ascii="Calibri" w:cs="Calibri" w:eastAsia="Calibri" w:hAnsi="Calibri"/>
        </w:rPr>
        <w:t xml:space="preserve"> e </w:t>
      </w:r>
      <w:r>
        <w:rPr>
          <w:rFonts w:ascii="Consolas" w:cs="Consolas" w:eastAsia="Consolas" w:hAnsi="Consolas"/>
          <w:color w:val="32363A"/>
          <w:sz w:val="19"/>
          <w:szCs w:val="19"/>
        </w:rPr>
        <w:t xml:space="preserve">cf deploy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Apps no SAP Build Work Zone.</w:t>
      </w:r>
    </w:p>
    <w:p>
      <w:pPr>
        <w:spacing w:after="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Evoluções futuras:</w:t>
      </w:r>
      <w:r>
        <w:rPr>
          <w:rFonts w:ascii="Calibri" w:cs="Calibri" w:eastAsia="Calibri" w:hAnsi="Calibri"/>
        </w:rPr>
        <w:t xml:space="preserve"> histórico de tentativas de pagamento, auditoria e logs estruturados, monitoramento, armazenamento externo de imagens, gateway de pagamento e frete reais, estoque mínimo por item.</w:t>
      </w:r>
    </w:p>
    <w:p>
      <w:pPr>
        <w:pStyle w:val="Heading1"/>
        <w:pageBreakBefore/>
      </w:pPr>
      <w:bookmarkStart w:name="_Toc25" w:id="25"/>
      <w:r>
        <w:rPr>
          <w:rFonts w:ascii="Calibri" w:cs="Calibri" w:eastAsia="Calibri" w:hAnsi="Calibri"/>
        </w:rPr>
        <w:t xml:space="preserve">15. Histórico de Revisões</w:t>
      </w:r>
      <w:bookmarkEnd w:id="2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5"/>
        <w:gridCol w:w="8305"/>
      </w:tblGrid>
      <w:tr>
        <w:trPr>
          <w:cantSplit/>
          <w:tblHeader/>
        </w:trPr>
        <w:tc>
          <w:tcPr>
            <w:tcW w:type="dxa" w:w="10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83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shd w:fill="EAF1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Principais mudanças</w:t>
            </w:r>
          </w:p>
        </w:tc>
      </w:tr>
      <w:tr>
        <w:trPr>
          <w:cantSplit/>
          <w:tblHeader w:val="off"/>
        </w:trPr>
        <w:tc>
          <w:tcPr>
            <w:tcW w:type="dxa" w:w="10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2.0</w:t>
            </w:r>
          </w:p>
        </w:tc>
        <w:tc>
          <w:tcPr>
            <w:tcW w:type="dxa" w:w="83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implementado: novos status do pedido, registro no Salvar, reembolsos, importação, análises, 8 apps e testes</w:t>
            </w:r>
          </w:p>
        </w:tc>
      </w:tr>
      <w:tr>
        <w:trPr>
          <w:cantSplit/>
          <w:tblHeader w:val="off"/>
        </w:trPr>
        <w:tc>
          <w:tcPr>
            <w:tcW w:type="dxa" w:w="10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2.1</w:t>
            </w:r>
          </w:p>
        </w:tc>
        <w:tc>
          <w:tcPr>
            <w:tcW w:type="dxa" w:w="83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Campos somente leitura no pedido, navegação entre apps, importação de pedidos sem duplicidade</w:t>
            </w:r>
          </w:p>
        </w:tc>
      </w:tr>
      <w:tr>
        <w:trPr>
          <w:cantSplit/>
          <w:tblHeader w:val="off"/>
        </w:trPr>
        <w:tc>
          <w:tcPr>
            <w:tcW w:type="dxa" w:w="10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2.2</w:t>
            </w:r>
          </w:p>
        </w:tc>
        <w:tc>
          <w:tcPr>
            <w:tcW w:type="dxa" w:w="83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Quatro apps de análise, máscara no pagamento, navegações das Object Pages</w:t>
            </w:r>
          </w:p>
        </w:tc>
      </w:tr>
      <w:tr>
        <w:trPr>
          <w:cantSplit/>
          <w:tblHeader w:val="off"/>
        </w:trPr>
        <w:tc>
          <w:tcPr>
            <w:tcW w:type="dxa" w:w="10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2.3</w:t>
            </w:r>
          </w:p>
        </w:tc>
        <w:tc>
          <w:tcPr>
            <w:tcW w:type="dxa" w:w="83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Permissões na UI, ações recusadas no rascunho (HTTP 409), limites na importação</w:t>
            </w:r>
          </w:p>
        </w:tc>
      </w:tr>
      <w:tr>
        <w:trPr>
          <w:cantSplit/>
          <w:tblHeader w:val="off"/>
        </w:trPr>
        <w:tc>
          <w:tcPr>
            <w:tcW w:type="dxa" w:w="10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2.4</w:t>
            </w:r>
          </w:p>
        </w:tc>
        <w:tc>
          <w:tcPr>
            <w:tcW w:type="dxa" w:w="83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Transições de status atômicas nas ações do pedido</w:t>
            </w:r>
          </w:p>
        </w:tc>
      </w:tr>
      <w:tr>
        <w:trPr>
          <w:cantSplit/>
          <w:tblHeader w:val="off"/>
        </w:trPr>
        <w:tc>
          <w:tcPr>
            <w:tcW w:type="dxa" w:w="10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2.5</w:t>
            </w:r>
          </w:p>
        </w:tc>
        <w:tc>
          <w:tcPr>
            <w:tcW w:type="dxa" w:w="83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Fotos gravadas corretamente, SQLite em arquivo e SAP HANA Cloud configurado</w:t>
            </w:r>
          </w:p>
        </w:tc>
      </w:tr>
      <w:tr>
        <w:trPr>
          <w:cantSplit/>
          <w:tblHeader w:val="off"/>
        </w:trPr>
        <w:tc>
          <w:tcPr>
            <w:tcW w:type="dxa" w:w="105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2.6</w:t>
            </w:r>
          </w:p>
        </w:tc>
        <w:tc>
          <w:tcPr>
            <w:tcW w:type="dxa" w:w="8305"/>
            <w:tcBorders>
              <w:top w:val="single" w:color="C9CED3" w:sz="4"/>
              <w:left w:val="single" w:color="C9CED3" w:sz="4"/>
              <w:bottom w:val="single" w:color="C9CED3" w:sz="4"/>
              <w:right w:val="single" w:color="C9CED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Especificação simplificada, com diagramas e capturas de tela</w:t>
            </w:r>
          </w:p>
        </w:tc>
      </w:tr>
    </w:tbl>
    <w:p>
      <w:pPr>
        <w:spacing w:after="60"/>
      </w:pP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B82"/>
        <w:sz w:val="18"/>
        <w:szCs w:val="18"/>
      </w:rPr>
      <w:fldChar w:fldCharType="begin"/>
    </w:r>
    <w:r>
      <w:rPr>
        <w:rFonts w:ascii="Calibri" w:cs="Calibri" w:eastAsia="Calibri" w:hAnsi="Calibri"/>
        <w:color w:val="556B82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56B82"/>
        <w:sz w:val="18"/>
        <w:szCs w:val="18"/>
      </w:rPr>
      <w:fldChar w:fldCharType="separate"/>
    </w:r>
    <w:r>
      <w:rPr>
        <w:rFonts w:ascii="Calibri" w:cs="Calibri" w:eastAsia="Calibri" w:hAnsi="Calibri"/>
        <w:color w:val="556B8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Calibri" w:cs="Calibri" w:eastAsia="Calibri" w:hAnsi="Calibri"/>
      <w:b/>
      <w:bCs/>
      <w:color w:val="1D2D3E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60" w:before="120"/>
      <w:outlineLvl w:val="0"/>
    </w:pPr>
    <w:rPr>
      <w:rFonts w:ascii="Calibri" w:cs="Calibri" w:eastAsia="Calibri" w:hAnsi="Calibri"/>
      <w:b/>
      <w:bCs/>
      <w:color w:val="0A6ED1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D2D3E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q0veuywk1vfuaq5l7axvt" Type="http://schemas.openxmlformats.org/officeDocument/2006/relationships/hyperlink" Target="https://github.com/AdrianoBispo/sap-cap-nodejs-pedidos-de-compras-app/tree/main/nodejs-padrao" TargetMode="External"/><Relationship Id="rIdvhwalcbx_ov8wxzqugaob" Type="http://schemas.openxmlformats.org/officeDocument/2006/relationships/hyperlink" Target="https://github.com/AdrianoBispo/sap-cap-nodejs-pedidos-de-compras-app/tree/main/nodejs-typescript" TargetMode="External"/><Relationship Id="rIdnxdih2phy_hvki1j_tfbn" Type="http://schemas.openxmlformats.org/officeDocument/2006/relationships/hyperlink" Target="https://github.com/AdrianoBispo/sap-cap-nodejs-pedidos-de-compras-app/tree/main/docs/arquitetura-e-processos.drawio" TargetMode="External"/><Relationship Id="rIdwussvtuppwkyrplijler-" Type="http://schemas.openxmlformats.org/officeDocument/2006/relationships/hyperlink" Target="https://github.com/AdrianoBispo/sap-abap-rap-pedidos-de-compras-app" TargetMode="External"/><Relationship Id="rIdchcip-d3emga91a09q1ik" Type="http://schemas.openxmlformats.org/officeDocument/2006/relationships/hyperlink" Target="https://github.com/AdrianoBispo/sap-cap-nodejs-pedidos-de-compras-app/tree/main/docs/modelos-importacao" TargetMode="External"/><Relationship Id="rId13" Type="http://schemas.openxmlformats.org/officeDocument/2006/relationships/image" Target="media/bc8524f5792bed86e779cf6405d14d46fab9c169.png"/><Relationship Id="rId14" Type="http://schemas.openxmlformats.org/officeDocument/2006/relationships/image" Target="media/1facd70a58c2a4db5ff1854d91f2af9d38b7af2a.png"/><Relationship Id="rId15" Type="http://schemas.openxmlformats.org/officeDocument/2006/relationships/image" Target="media/836ca351db943b491446088d3547869292a514ac.png"/><Relationship Id="rId16" Type="http://schemas.openxmlformats.org/officeDocument/2006/relationships/image" Target="media/6079379324dea37faa281ab5d2ffd290e159a55b.png"/><Relationship Id="rId17" Type="http://schemas.openxmlformats.org/officeDocument/2006/relationships/image" Target="media/c50c00729d01b2fff4301560c365cc32ce369c9d.png"/><Relationship Id="rId18" Type="http://schemas.openxmlformats.org/officeDocument/2006/relationships/image" Target="media/da75344bd76dbe6a5835133e7698e532f516be7c.png"/><Relationship Id="rId19" Type="http://schemas.openxmlformats.org/officeDocument/2006/relationships/image" Target="media/135dd740e1ee7ee82581500c84955abf08db6e37.png"/><Relationship Id="rId20" Type="http://schemas.openxmlformats.org/officeDocument/2006/relationships/image" Target="media/d904e08385a2a2c123f2dd67ea3e96d6962c1460.png"/><Relationship Id="rId21" Type="http://schemas.openxmlformats.org/officeDocument/2006/relationships/image" Target="media/1efb5214bc6aaabc9cdd0e530999a85065cde145.png"/><Relationship Id="rId22" Type="http://schemas.openxmlformats.org/officeDocument/2006/relationships/image" Target="media/864af5952c25ae1fabfb01249289e4c7cb1e4523.png"/><Relationship Id="rId23" Type="http://schemas.openxmlformats.org/officeDocument/2006/relationships/image" Target="media/2efc4fd6b1cdbfe9cc1981b92bc36a6b149dac0b.png"/><Relationship Id="rId24" Type="http://schemas.openxmlformats.org/officeDocument/2006/relationships/image" Target="media/a67b8ce4aa8c6e0fd8094562446ee85531fb3a16.png"/><Relationship Id="rId25" Type="http://schemas.openxmlformats.org/officeDocument/2006/relationships/image" Target="media/6ee81bfe706d7c499c5d1bddf33850be9b4d09f8.png"/><Relationship Id="rId26" Type="http://schemas.openxmlformats.org/officeDocument/2006/relationships/image" Target="media/868817ac1415efcf721215869f8f2fce2a87e303.png"/><Relationship Id="rId27" Type="http://schemas.openxmlformats.org/officeDocument/2006/relationships/image" Target="media/3239ced8fc5b195bd4f615cc8bbab1124b684a29.png"/><Relationship Id="rId28" Type="http://schemas.openxmlformats.org/officeDocument/2006/relationships/image" Target="media/101008e6ffd78a4563345ae660b18c725bf8a87b.png"/><Relationship Id="rId29" Type="http://schemas.openxmlformats.org/officeDocument/2006/relationships/image" Target="media/8d6051b1e4784eb8dc0d51b72edcdc6a9e2f7c9d.png"/><Relationship Id="rId30" Type="http://schemas.openxmlformats.org/officeDocument/2006/relationships/image" Target="media/6e7d5a9cb218e39c5d0dfa29d35572ba43ce2913.png"/><Relationship Id="rId31" Type="http://schemas.openxmlformats.org/officeDocument/2006/relationships/image" Target="media/c23eb28d7c69fb7fa98921f4eb1393bbb6ef0ae3.png"/><Relationship Id="rId32" Type="http://schemas.openxmlformats.org/officeDocument/2006/relationships/image" Target="media/f37e7604c39e89952191fdbdb3d2f05d24150d6c.png"/><Relationship Id="rId33" Type="http://schemas.openxmlformats.org/officeDocument/2006/relationships/image" Target="media/8a9efed78eae83ebdaf24fd5a94d102acc5b43dc.png"/><Relationship Id="rId34" Type="http://schemas.openxmlformats.org/officeDocument/2006/relationships/image" Target="media/f3b842c1cc9a2f028292318e1db87c57a93d3685.png"/><Relationship Id="rId35" Type="http://schemas.openxmlformats.org/officeDocument/2006/relationships/image" Target="media/f62a0ef097fbd97810f19406c1a94fafed983361.png"/><Relationship Id="rId36" Type="http://schemas.openxmlformats.org/officeDocument/2006/relationships/image" Target="media/f3e0971609b0b8c345479e47cf42c97d9f7c6b50.png"/><Relationship Id="rId37" Type="http://schemas.openxmlformats.org/officeDocument/2006/relationships/image" Target="media/f226fc7e60e05280f5f473b139c26911ad26e8e3.png"/><Relationship Id="rId38" Type="http://schemas.openxmlformats.org/officeDocument/2006/relationships/image" Target="media/7249f5ba132bf326c16b66d3ebc28529ed5bf07b.png"/><Relationship Id="rId39" Type="http://schemas.openxmlformats.org/officeDocument/2006/relationships/image" Target="media/1f65e85be584949ee80670d63d0caa618cd68b90.png"/><Relationship Id="rId40" Type="http://schemas.openxmlformats.org/officeDocument/2006/relationships/image" Target="media/697f41e64b425df779bf9dc44e1cb086e50ae85d.png"/><Relationship Id="rId41" Type="http://schemas.openxmlformats.org/officeDocument/2006/relationships/image" Target="media/0f5c90f494fe8ccf9a03365bf3eab17f7b96b80e.png"/><Relationship Id="rId42" Type="http://schemas.openxmlformats.org/officeDocument/2006/relationships/image" Target="media/b7854e6957e54702d34002bb9626929dca6a727e.png"/><Relationship Id="rId43" Type="http://schemas.openxmlformats.org/officeDocument/2006/relationships/image" Target="media/7fc17f3d9d187b29e88dd1286d8c5569cee0c8cd.png"/><Relationship Id="rId44" Type="http://schemas.openxmlformats.org/officeDocument/2006/relationships/image" Target="media/ad5f1771b5853d227b4cc09d0f7e0e7a176b6273.png"/><Relationship Id="rId45" Type="http://schemas.openxmlformats.org/officeDocument/2006/relationships/image" Target="media/c154ae3d896f4e2dcb908d53c190c4a91173de4c.png"/><Relationship Id="rId46" Type="http://schemas.openxmlformats.org/officeDocument/2006/relationships/image" Target="media/593bfcd019b65af36cd4191af47f2255a9cf5246.png"/><Relationship Id="rId47" Type="http://schemas.openxmlformats.org/officeDocument/2006/relationships/image" Target="media/e20cda653b1a9f8a84548c21c81e07771a044a23.png"/><Relationship Id="rId48" Type="http://schemas.openxmlformats.org/officeDocument/2006/relationships/image" Target="media/6d8a68752e406c83fe506ec5a2524c4a08b57f20.png"/><Relationship Id="rId49" Type="http://schemas.openxmlformats.org/officeDocument/2006/relationships/image" Target="media/cb4f56e32beb2c8c03eb915f187d3c09b1319744.png"/><Relationship Id="rId50" Type="http://schemas.openxmlformats.org/officeDocument/2006/relationships/image" Target="media/029fcd263d8c9f80448e267e5a72e5b80a44d203.png"/><Relationship Id="rId51" Type="http://schemas.openxmlformats.org/officeDocument/2006/relationships/image" Target="media/3d6e1fa9d0bc610e779162ca1e4090870e7118e1.png"/><Relationship Id="rId52" Type="http://schemas.openxmlformats.org/officeDocument/2006/relationships/image" Target="media/a61a09cf5a360b327816300485e44966011f1504.png"/><Relationship Id="rId53" Type="http://schemas.openxmlformats.org/officeDocument/2006/relationships/image" Target="media/c93ef62d119b4c1a8f920d17594a93fd875339bb.png"/><Relationship Id="rId54" Type="http://schemas.openxmlformats.org/officeDocument/2006/relationships/image" Target="media/b38b23dce6d7159e42ba5f0975fa8b567821997d.png"/><Relationship Id="rId55" Type="http://schemas.openxmlformats.org/officeDocument/2006/relationships/image" Target="media/7fc9aee81cdaded803a15e933b2d7622ea8444b6.png"/><Relationship Id="rId56" Type="http://schemas.openxmlformats.org/officeDocument/2006/relationships/image" Target="media/b7d1a4ffedf09d66b9886d9a631554349da0a1e4.png"/><Relationship Id="rId57" Type="http://schemas.openxmlformats.org/officeDocument/2006/relationships/image" Target="media/2275752c396923eb8be2b64c754866089636eb7d.png"/><Relationship Id="rId58" Type="http://schemas.openxmlformats.org/officeDocument/2006/relationships/image" Target="media/d50daedaaf6f12941c814b38690a0f4af30ce6c1.png"/><Relationship Id="rId5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creator>Adriano Bispo</dc:creator>
  <cp:lastModifiedBy>Un-named</cp:lastModifiedBy>
  <cp:revision>1</cp:revision>
  <dcterms:created xsi:type="dcterms:W3CDTF">2026-10-21T04:42:50.919Z</dcterms:created>
  <dcterms:modified xsi:type="dcterms:W3CDTF">2026-10-21T04:42:50.919Z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