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>Versão 2.0 — outubro de 2026.</w:t>
      </w:r>
      <w:r>
        <w:rPr>
          <w:rFonts w:ascii="72" w:hAnsi="72" w:cs="72" w:eastAsia="72"/>
          <w:b w:val="0"/>
          <w:sz w:val="20"/>
        </w:rPr>
        <w:t xml:space="preserve"> Esta revisão descreve o sistema </w:t>
      </w:r>
      <w:r>
        <w:rPr>
          <w:rFonts w:ascii="72" w:hAnsi="72" w:cs="72" w:eastAsia="72"/>
          <w:b/>
          <w:sz w:val="20"/>
        </w:rPr>
        <w:t>como implementado</w:t>
      </w:r>
      <w:r>
        <w:rPr>
          <w:rFonts w:ascii="72" w:hAnsi="72" w:cs="72" w:eastAsia="72"/>
          <w:b w:val="0"/>
          <w:sz w:val="20"/>
        </w:rPr>
        <w:t xml:space="preserve"> nas duas versões do repositório: </w:t>
      </w:r>
      <w:r>
        <w:rPr>
          <w:rFonts w:ascii="Consolas" w:hAnsi="Consolas" w:cs="Consolas" w:eastAsia="Consolas"/>
          <w:b w:val="0"/>
          <w:sz w:val="18"/>
        </w:rPr>
        <w:t>nodejs-padrao</w:t>
      </w:r>
      <w:r>
        <w:rPr>
          <w:rFonts w:ascii="72" w:hAnsi="72" w:cs="72" w:eastAsia="72"/>
          <w:b w:val="0"/>
          <w:sz w:val="20"/>
        </w:rPr>
        <w:t xml:space="preserve"> (JavaScript) e </w:t>
      </w:r>
      <w:r>
        <w:rPr>
          <w:rFonts w:ascii="Consolas" w:hAnsi="Consolas" w:cs="Consolas" w:eastAsia="Consolas"/>
          <w:b w:val="0"/>
          <w:sz w:val="18"/>
        </w:rPr>
        <w:t>nodejs-typescript</w:t>
      </w:r>
      <w:r>
        <w:rPr>
          <w:rFonts w:ascii="72" w:hAnsi="72" w:cs="72" w:eastAsia="72"/>
          <w:b w:val="0"/>
          <w:sz w:val="20"/>
        </w:rPr>
        <w:t xml:space="preserve"> (TypeScript). As duas compartilham o mesmo modelo CDS, os mesmos serviços, as mesmas aplicações SAPUI5 e a mesma suíte de testes; diferem apenas na linguagem dos handlers (seção 19). A seção 22 resume o que mudou em relação à versão 1.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porte para o SAP Cloud Application Programming Model (CAP) do projeto SAP RAP original (pacote </w:t>
      </w:r>
      <w:r>
        <w:rPr>
          <w:rFonts w:ascii="Consolas" w:hAnsi="Consolas" w:cs="Consolas" w:eastAsia="Consolas"/>
          <w:b w:val="0"/>
          <w:sz w:val="18"/>
        </w:rPr>
        <w:t>ZAVBS_PC</w:t>
      </w:r>
      <w:r>
        <w:rPr>
          <w:rFonts w:ascii="72" w:hAnsi="72" w:cs="72" w:eastAsia="72"/>
          <w:b w:val="0"/>
          <w:sz w:val="20"/>
        </w:rPr>
        <w:t>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+ 1 app freestyle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 + @cap-js/cds-test (66 testes por versão), ESLint 10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app freestyle.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Tabela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ZTA_PC_ITEM_PED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ZTA_PC_SNAP_CLI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ZTA_PC_SNAP_ITM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 na tela; preenchida na importação por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CepsCadastrados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dados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ClientesAtivos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, CodeLists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leitura, com dados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ZCL_PC_UTIL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ZCL_PC_VIACEP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ZCL_PC_NUMERACAO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Registro, edição, snapshots, cancelamento, reembolso,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ZBP_R_PC_PEDIDO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(somente itens)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>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mudam; o cliente é imutável (PEDIDO_CLIENTE_IMUTAVEL).</w:t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>. Como toda a requisição roda numa transação, qualquer erro desfaz também os movimentos já aplicados, o número do pedido e os snapshots — não há dupla reserva, dupla baixa ou dupla liberação.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Máximo de 500 linhas de dados.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Linhas com a mesma referência formam um pedido; cliente ativo com endereço principal; itens ativos; o disponível precisa cobrir a soma da planilha inteira; cada pedido nasce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reserva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app freestyle </w:t>
      </w:r>
      <w:r>
        <w:rPr>
          <w:rFonts w:ascii="72" w:hAnsi="72" w:cs="72" w:eastAsia="72"/>
          <w:b/>
          <w:sz w:val="20"/>
        </w:rPr>
        <w:t>Análises de Compras</w:t>
      </w:r>
      <w:r>
        <w:rPr>
          <w:rFonts w:ascii="72" w:hAnsi="72" w:cs="72" w:eastAsia="72"/>
          <w:b w:val="0"/>
          <w:sz w:val="20"/>
        </w:rPr>
        <w:t xml:space="preserve"> oferece 20 análises (5 por domínio), com KPIs, gráfico (colunas ou rosca), tabela, filtros e detalhe: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Domínio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launchpad tem um tile por aplicação. Os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Cliente-manage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ItemEstoque-manage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PedidoCompra-manage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Reembolso-manage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AnaliseCompras-display</w:t>
      </w:r>
      <w:r>
        <w:rPr>
          <w:rFonts w:ascii="72" w:hAnsi="72" w:cs="72" w:eastAsia="72"/>
          <w:b w:val="0"/>
          <w:sz w:val="20"/>
        </w:rPr>
        <w:t xml:space="preserve">) são os mesmos dos </w:t>
      </w:r>
      <w:r>
        <w:rPr>
          <w:rFonts w:ascii="72" w:hAnsi="72" w:cs="72" w:eastAsia="72"/>
          <w:b w:val="0"/>
          <w:i/>
          <w:sz w:val="20"/>
        </w:rPr>
        <w:t>inbounds</w:t>
      </w:r>
      <w:r>
        <w:rPr>
          <w:rFonts w:ascii="72" w:hAnsi="72" w:cs="72" w:eastAsia="72"/>
          <w:b w:val="0"/>
          <w:sz w:val="20"/>
        </w:rPr>
        <w:t xml:space="preserve"> dos manifests, o que habilita a navegação entre apps (ex.: cliente e item do pedido abrem as apps de Clientes e Estoque).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botões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 xml:space="preserve"> habilitados conforme o status (seção 8.4).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usuário informa apenas o Cliente (só na criação) e os itens. CPF, e-mail, telefone, gênero, nascimento e endereço de entrega são preenchidos automaticamente pela associação cliente e são somente leitura (@Core.Computed); os demais campos do pedido são mantidos pelo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seção Pagamento é somente leitura (Pagamentos é @readonly no PedidosService): só a ação Efetuar Pagamento grava o pagamento, e a edição dos itens não o altera.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 (porte da message class </w:t>
      </w:r>
      <w:r>
        <w:rPr>
          <w:rFonts w:ascii="Consolas" w:hAnsi="Consolas" w:cs="Consolas" w:eastAsia="Consolas"/>
          <w:b w:val="0"/>
          <w:sz w:val="18"/>
        </w:rPr>
        <w:t>ZPC_MSG</w:t>
      </w:r>
      <w:r>
        <w:rPr>
          <w:rFonts w:ascii="72" w:hAnsi="72" w:cs="72" w:eastAsia="72"/>
          <w:b w:val="0"/>
          <w:sz w:val="20"/>
        </w:rPr>
        <w:t>). Parâmetros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em edição ou um rascunho, quando uma ação for executada, então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Modelo CDS, apps,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>66 testes por versão (node:test + @cap-js/cds-test), com um servidor ViaCEP falso local (sem rede externa) e um gerador de .xlsx mínimo. São permanentes, como a suíte ABAP Unit do RAP.</w:t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Classes de teste RAP equivalentes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status de estoque, SKU, pagamento simulado, leitor XLSX/CSV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ltcl_digitos_cpf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ltcl_email_imagem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ltcl_estoque_endereco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Rascunho, ViaCEP, CEP geral, CEP único, endereço principal, CPF, autorização, exclusão, foto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ltcl_persistencia_endereco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disponibilidade e status, concorrência com edição, inativação e exclusão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ltcl_sku_item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com reserva, edição pela diferença, pagamento, aprovação, cancelamento, reembolso, campos somente leitura (cliente e pagamento)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ltcl_registro_pedido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ltcl_edicao_pedido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ltcl_ciclo_pedido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Clientes, estoque e pedidos (tudo ou nada) e modelos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docs/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analise-compras/              SAPUI5 freestyle (20 análises)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>22. Diferenças em Relação ao RAP e à Versão 1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22.1 RAP (</w:t>
      </w:r>
      <w:r>
        <w:rPr>
          <w:rFonts w:ascii="Consolas" w:hAnsi="Consolas" w:cs="Consolas" w:eastAsia="Consolas"/>
          <w:b w:val="0"/>
          <w:sz w:val="24"/>
        </w:rPr>
        <w:t>ZAVBS_PC</w:t>
      </w:r>
      <w:r>
        <w:rPr>
          <w:rFonts w:ascii="72" w:hAnsi="72" w:cs="72" w:eastAsia="72"/>
          <w:b w:val="0"/>
          <w:sz w:val="26"/>
        </w:rPr>
        <w:t>) × CAP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Numeração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Object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Tabela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incremento atômico na transação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Disponível/status do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mantidas por determinations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geradas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 no banco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dinâmica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Colunas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xfeld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persistidas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AtualizarFlagsStatus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na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do endereço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Chave da tabela, somente leitura após gravar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Chave é só 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ID</w:t>
            </w:r>
            <w:r>
              <w:rPr>
                <w:rFonts w:ascii="72" w:hAnsi="72" w:cs="72" w:eastAsia="72"/>
                <w:b w:val="0"/>
                <w:sz w:val="18"/>
              </w:rPr>
              <w:t>: o CEP pode ser alterado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Concorrência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Lock do BO Item via EML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 atômico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Autorização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IAM App, objetos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c_modo_trial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@requires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XCO (sem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inlineStr</w:t>
            </w:r>
            <w:r>
              <w:rPr>
                <w:rFonts w:ascii="72" w:hAnsi="72" w:cs="72" w:eastAsia="72"/>
                <w:b w:val="0"/>
                <w:sz w:val="18"/>
              </w:rPr>
              <w:t>, recusa LibreOffice)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próprio (ZIP + XML), aceita ambos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22.2 O que mudou da versão 1 para a 2 desta especificação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5 apps independentes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66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