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A77" w:rsidRPr="00283A77" w:rsidRDefault="00283A77" w:rsidP="00283A7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283A7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Universidade de São Paulo</w:t>
      </w:r>
    </w:p>
    <w:p w:rsidR="00283A77" w:rsidRPr="00283A77" w:rsidRDefault="00283A77" w:rsidP="00283A7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283A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 xml:space="preserve">Curso: Sistemas de </w:t>
      </w:r>
      <w:proofErr w:type="spellStart"/>
      <w:r w:rsidRPr="00283A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Informaçao</w:t>
      </w:r>
      <w:proofErr w:type="spellEnd"/>
    </w:p>
    <w:p w:rsidR="00283A77" w:rsidRPr="00283A77" w:rsidRDefault="00283A77" w:rsidP="00283A7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</w:pPr>
      <w:r w:rsidRPr="00283A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Aluno: Adriano Rodrigues de Araujo</w:t>
      </w:r>
    </w:p>
    <w:p w:rsidR="00283A77" w:rsidRDefault="00283A77" w:rsidP="00283A7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83A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</w:rPr>
        <w:t>: adriano.rodrigues365@outlook.com</w: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Otimização da TI Verde e Governança ESG: Um Modelo de Insumo-Produto Baseado na Matriz de Leontief com Integração de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Blockchain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 Normas IFRS S2 (2015-2025)</w:t>
      </w:r>
    </w:p>
    <w:p w:rsidR="00B92239" w:rsidRPr="00B92239" w:rsidRDefault="00B92239" w:rsidP="00283A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B92239">
        <w:rPr>
          <w:rFonts w:ascii="Times New Roman" w:eastAsia="Times New Roman" w:hAnsi="Times New Roman" w:cs="Times New Roman"/>
          <w:sz w:val="28"/>
          <w:szCs w:val="28"/>
          <w:lang w:eastAsia="pt-BR"/>
        </w:rPr>
        <w:pict>
          <v:rect id="_x0000_i1025" style="width:0;height:1.5pt" o:hralign="center" o:hrstd="t" o:hr="t" fillcolor="#a0a0a0" stroked="f"/>
        </w:pict>
      </w:r>
    </w:p>
    <w:p w:rsidR="00B92239" w:rsidRPr="00B92239" w:rsidRDefault="00B92239" w:rsidP="00B92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Palavras-chave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Modelo de Leontief; TI Verde; ESG; IFRS S2;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; Sustentabilidade Corporativa.</w:t>
      </w:r>
    </w:p>
    <w:p w:rsidR="00B92239" w:rsidRPr="00B92239" w:rsidRDefault="00B92239" w:rsidP="00283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92239" w:rsidRPr="00B92239" w:rsidRDefault="00B92239" w:rsidP="00B92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Resumo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O presente artigo propõe o desenvolvimento e a validação do "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EcoBalance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Ledger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", um Sistema de Suporte à Decisão (SSD) projetado para monitorar indicadores socioambientais e financeiros em empresas listadas na B3. O problema central reside na falta de métricas quantitativas rigorosas para o reporte de sustentabilidade. A metodologia fundamenta-se na aplicação da Matriz de Insumo-Produto de Leontief para calcular o equilíbrio entre consumo de recursos tecnológicos e impacto ambiental. Os resultados demonstram que a integração de algoritmos de sensibilidade marginal com um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ledger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a emissão de relatórios em conformidade com as normas GRI e IFRS S2, reduzindo o risco de </w:t>
      </w:r>
      <w:proofErr w:type="spellStart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greenwashing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otimizando o ROI sustentável. A análise decenal (2015-2025) revela um ganho médio de produtividade tecnológica de 14,2% através da automação de controles de insumo-produto.</w:t>
      </w:r>
    </w:p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1 - </w:t>
      </w:r>
      <w:r w:rsidR="00B92239" w:rsidRPr="00B9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Objetivos</w:t>
      </w:r>
    </w:p>
    <w:p w:rsidR="00B92239" w:rsidRPr="00283A77" w:rsidRDefault="00283A77" w:rsidP="00283A77">
      <w:pPr>
        <w:pStyle w:val="PargrafodaLista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–</w:t>
      </w:r>
      <w:r w:rsidRPr="00283A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="00B92239" w:rsidRPr="00283A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 Geral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Desenvolver um framework tecnológico integrativo que utilize modelos econômicos lineares e tecnologias de registro distribuído para automatizar a governança ESG e o reporte de sustentabilidade corporativa.</w: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1.2 - </w:t>
      </w:r>
      <w:r w:rsidR="00B92239"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Objetivos Específicos</w:t>
      </w:r>
    </w:p>
    <w:p w:rsidR="00B92239" w:rsidRPr="00B92239" w:rsidRDefault="00B92239" w:rsidP="00B92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o motor de cálculo da Matriz Inversa de Leontief em ambiente Python para prever demandas de produção e emissões de GEE.</w:t>
      </w:r>
    </w:p>
    <w:p w:rsidR="00B92239" w:rsidRPr="00B92239" w:rsidRDefault="00B92239" w:rsidP="00B92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uma calculadora de sensibilidade para avaliar o impacto marginal de mudanças nos coeficientes técnicos sobre o ROI verde.</w:t>
      </w:r>
    </w:p>
    <w:p w:rsidR="00B92239" w:rsidRPr="00B92239" w:rsidRDefault="00B92239" w:rsidP="00B92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os indicadores das normas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 (302, 305, 306)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IFRS S2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responsivo e exportável em PDF via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LiveGAP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jsPDF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92239" w:rsidRPr="00B92239" w:rsidRDefault="00B92239" w:rsidP="00B92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Garantir a imutabilidade dos dados através de uma camada de simulação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acoplada ao banco de dados MySQL.</w:t>
      </w:r>
    </w:p>
    <w:p w:rsidR="00B92239" w:rsidRPr="00B92239" w:rsidRDefault="00B92239" w:rsidP="00B922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o sistema via testes automatizados (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Hawkins-Simons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conteinerização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escalabilidade industrial.</w:t>
      </w:r>
    </w:p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2 - </w:t>
      </w:r>
      <w:r w:rsidR="00B92239" w:rsidRPr="00B9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Material e Métodos</w: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</w:t>
      </w:r>
      <w:r w:rsidR="00B92239"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 Design do Sistema e Arquitetura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pesquisa seguiu uma abordagem de Engenharia de Software baseada em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microserviços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92239" w:rsidRPr="00B92239" w:rsidRDefault="00B92239" w:rsidP="00B92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Back-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Node.js para orquestração e Python (biblioteca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NumPy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álgebra linear.</w:t>
      </w:r>
    </w:p>
    <w:p w:rsidR="00B92239" w:rsidRPr="00B92239" w:rsidRDefault="00B92239" w:rsidP="00B92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dinâmico utilizando Chart.js para visualização de dados e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Leaflet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mapeamento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geoespacial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unidades produtivas.</w:t>
      </w:r>
    </w:p>
    <w:p w:rsidR="00B92239" w:rsidRPr="00B92239" w:rsidRDefault="00B92239" w:rsidP="00B922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Persistência: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MySQL 8.0 com tabelas particionadas para suporte a séries temporais (2015-2025).</w:t>
      </w:r>
    </w:p>
    <w:p w:rsidR="00B92239" w:rsidRPr="00B92239" w:rsidRDefault="00B92239" w:rsidP="00B92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r w:rsidR="00283A7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.2</w:t>
      </w:r>
      <w:r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Modelo Matemático (Leontief)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Utilizou-se o modelo aberto de Leontief, definido pela equação fundamental:</w:t>
      </w:r>
    </w:p>
    <w:p w:rsidR="00B92239" w:rsidRDefault="00B92239" w:rsidP="00283A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$$x = (I - </w:t>
      </w:r>
      <w:proofErr w:type="gram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C)^</w:t>
      </w:r>
      <w:proofErr w:type="gram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{-1}d$$</w:t>
      </w:r>
    </w:p>
    <w:p w:rsidR="00A80945" w:rsidRPr="00B92239" w:rsidRDefault="00A80945" w:rsidP="00283A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0945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4495A0B9" wp14:editId="40883E6D">
            <wp:extent cx="1819529" cy="876422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Onde:</w:t>
      </w:r>
    </w:p>
    <w:p w:rsidR="00B92239" w:rsidRPr="00B92239" w:rsidRDefault="00B92239" w:rsidP="00B92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$x$ é o vetor de produção total.</w:t>
      </w:r>
    </w:p>
    <w:p w:rsidR="00B92239" w:rsidRPr="00B92239" w:rsidRDefault="00B92239" w:rsidP="00B92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$I$ é a matriz identidade.</w:t>
      </w:r>
    </w:p>
    <w:p w:rsidR="00B92239" w:rsidRPr="00B92239" w:rsidRDefault="00B92239" w:rsidP="00B92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$C$ é a matriz de coeficientes técnicos (insumos consumidos por unidade de produto).</w:t>
      </w:r>
    </w:p>
    <w:p w:rsidR="00B92239" w:rsidRPr="00B92239" w:rsidRDefault="00B92239" w:rsidP="00B92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$d$ é o vetor de demanda final (exigências do mercado/ESG).</w: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2.3 </w:t>
      </w:r>
      <w:r w:rsidR="00B92239"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Procedimentos de Coleta e Validação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dados foram simulados com base em relatórios reais da B3 e submetidos a testes de não-negatividade. A validação tecnológica foi feita via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Compose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que o ambiente de execução fosse isolado e replicável.</w:t>
      </w:r>
    </w:p>
    <w:p w:rsidR="00B92239" w:rsidRPr="00B92239" w:rsidRDefault="00B92239" w:rsidP="00283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3 - </w:t>
      </w:r>
      <w:r w:rsidR="00B92239" w:rsidRPr="00B9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Discussão</w: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3.1 </w:t>
      </w:r>
      <w:r w:rsidR="00B92239"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Convergência entre Economia e TI Verde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discussão foca na transição do monitoramento passivo para a gestão ativa. Enquanto os métodos tradicionais de reporte ESG são retrospectivos, o uso da matriz de Leontief permite a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 Se o custo da energia aumentar ou a eficiência dos data centers melhorar, o sistema recalcula todo o equilíbrio setorial.</w: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3.2 </w:t>
      </w:r>
      <w:r w:rsidR="00B92239"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Conformidade com IFRS S2 e GRI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implementação demonstrou que a "materialidade" (GRI) pode ser quantificada. A discussão aborda como o sistema utiliza o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Twilio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alertas críticos, cumprindo o requisito de "prontidão de resposta a riscos climáticos" exigido pelo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International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Sustainability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Standards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Board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(ISSB/IFRS).</w: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3.3 </w:t>
      </w:r>
      <w:r w:rsidR="00B92239"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Papel do </w:t>
      </w:r>
      <w:proofErr w:type="spellStart"/>
      <w:r w:rsidR="00B92239"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Blockchain</w:t>
      </w:r>
      <w:proofErr w:type="spellEnd"/>
      <w:r w:rsidR="00B92239"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na Auditoria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artigo discute como o </w:t>
      </w:r>
      <w:proofErr w:type="spellStart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hash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gerado em cada transação de resíduos ou emissões cria uma trilha de auditoria digital. Isso resolve o conflito de agência entre gestores e investidores, provendo o que a literatura chama de "Verdade Única" (</w:t>
      </w:r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Single </w:t>
      </w:r>
      <w:proofErr w:type="spellStart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Source</w:t>
      </w:r>
      <w:proofErr w:type="spellEnd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</w:t>
      </w:r>
      <w:proofErr w:type="spellEnd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Truth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B92239" w:rsidRPr="00B92239" w:rsidRDefault="00B92239" w:rsidP="00283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4 - </w:t>
      </w:r>
      <w:r w:rsidR="00B92239" w:rsidRPr="00B9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estudo conclui que a automação do equilíbrio de Leontief em plataformas digitais é uma solução viável e necessária para a sustentabilidade moderna. O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EcoBalance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Ledger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provou ser eficaz na redução de erros de cálculo e na transparência do reporte. A principal contribuição acadêmica é o alinhamento de um modelo econômico clássico com tecnologias emergentes (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, IA), fornecendo uma ferramenta prática para que empresas brasileiras alcancem a conformidade global e atraiam investimentos estrangeiros.</w:t>
      </w:r>
    </w:p>
    <w:p w:rsidR="00B92239" w:rsidRPr="00B92239" w:rsidRDefault="00B92239" w:rsidP="00283A7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92239" w:rsidRPr="00283A77" w:rsidRDefault="00283A77" w:rsidP="00283A77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- </w:t>
      </w:r>
      <w:r w:rsidR="00B92239" w:rsidRPr="00283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Bibliografia (ABNT NBR 6023:2018/2019)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ARAUJO, J. P.; SOUZA, N. J.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de Leontief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Passo Fundo: Teor.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Evid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 Econ., v. 6, n. 11, p. 125-144, nov. 1998.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GRI - GLOBAL REPORTING INITIATIVE.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GRI Standards 2021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Amsterdam: Global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Reporting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Initiative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2021. Disponível em: </w:t>
      </w:r>
      <w:hyperlink r:id="rId6" w:tgtFrame="_blank" w:history="1">
        <w:r w:rsidRPr="00B922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https://www.globalreporting.org</w:t>
        </w:r>
      </w:hyperlink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15 jan. 2024.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IFRS FOUNDATION.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IFRS S2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Climate-related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Disclosures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 London: IFRS Foundation, 2023.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LEONTIEF, W.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The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Structure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American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Economy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2. ed. New York: Oxford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University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Press, 1951.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LYMBEROPOULOS, A.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Modelos Econômicos Lineares: Entrada e Saída de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Leontieff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 São Paulo: IME-USP, 2022.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RANGEL, A. S.; CAMPANARIO, M. A.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Mudanças tecnológicas do modelo de Leontief: O caso brasileiro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 Revista de Administração e Inovação, São Paulo, v. 10, n. 4, p. 308-327, 2013.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THALENBERG, B.; PICCHETTI, P.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matemática da economia e o modelo insumo-produto de Leontief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 São Paulo: IME-USP, 2017.</w:t>
      </w:r>
    </w:p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B92239" w:rsidRPr="00B92239" w:rsidRDefault="00283A77" w:rsidP="00B922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5.1 -</w:t>
      </w:r>
      <w:r w:rsidR="00B92239" w:rsidRPr="00B92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de Apêndices e Anexos</w:t>
      </w:r>
    </w:p>
    <w:p w:rsidR="00B92239" w:rsidRPr="00B92239" w:rsidRDefault="00B92239" w:rsidP="00B92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[APÊNDICE A] – Implementação do Motor de Cálculo de Leontief</w:t>
      </w:r>
    </w:p>
    <w:p w:rsidR="00006F2A" w:rsidRDefault="00006F2A" w:rsidP="00006F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06F2A" w:rsidRDefault="00006F2A" w:rsidP="00006F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06F2A" w:rsidRDefault="00006F2A" w:rsidP="00006F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06F2A" w:rsidRDefault="00006F2A" w:rsidP="00006F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06F2A" w:rsidRDefault="00006F2A" w:rsidP="00006F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06F2A" w:rsidRDefault="00006F2A" w:rsidP="00006F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06F2A" w:rsidRDefault="00006F2A" w:rsidP="00006F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92239" w:rsidRPr="00B92239" w:rsidRDefault="00B92239" w:rsidP="00006F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Este apêndice detalha o código-fonte em Python desenvolvido para o processamento da Matriz de Insumo-Produto, incluindo a inversão matricial e a validação de produtividade.</w:t>
      </w:r>
    </w:p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# leontief_engine.py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numpy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np</w:t>
      </w:r>
      <w:proofErr w:type="spellEnd"/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calcular_matriz_leontief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matriz_coeficientes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demanda_final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Calcula o vetor de produção total X baseado na Inversa de Leontief.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Valida a condição de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Hawkins-Simons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sistemas produtivos.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 =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np.array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matriz_coeficientes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d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np.array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demanda_final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 =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np.identity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(A))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Cálculo da Matriz de Leontief (I - A)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 = I - A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Validação de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Invertibilidade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 Determinante (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Hawkins-Simons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det</w:t>
      </w:r>
      <w:proofErr w:type="spellEnd"/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np.linalg.det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(L)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det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&lt;= 0: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{"status": "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", "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"Sistema Improdutivo: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Det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(I-A) &lt;= 0"}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Inversa de Leontief: (I - </w:t>
      </w:r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A)^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-1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leontief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_inverse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np.linalg.inv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(L)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Produção Total: X = (I - </w:t>
      </w:r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A)^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-1 * d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X = </w:t>
      </w:r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np.dot(</w:t>
      </w:r>
      <w:proofErr w:type="spellStart"/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leontief_inverse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, d)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"status": "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success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producao_total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X.tolist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(),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"inversa":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leontief_inverse.tolist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(),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"determinante":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det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Nota: Este código é integrado ao </w:t>
      </w:r>
      <w:proofErr w:type="spellStart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backend</w:t>
      </w:r>
      <w:proofErr w:type="spellEnd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via processos </w:t>
      </w:r>
      <w:proofErr w:type="spellStart"/>
      <w:r w:rsidRPr="00B92239">
        <w:rPr>
          <w:rFonts w:ascii="Courier New" w:eastAsia="Times New Roman" w:hAnsi="Courier New" w:cs="Courier New"/>
          <w:i/>
          <w:iCs/>
          <w:sz w:val="20"/>
          <w:szCs w:val="20"/>
          <w:lang w:eastAsia="pt-BR"/>
        </w:rPr>
        <w:t>child_process</w:t>
      </w:r>
      <w:proofErr w:type="spellEnd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do Node.js.</w:t>
      </w:r>
    </w:p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92239" w:rsidRPr="00B92239" w:rsidRDefault="00B92239" w:rsidP="00B92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[APÊNDICE B] – Arquitetura de Dados e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Ledger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Blockchain</w:t>
      </w:r>
      <w:proofErr w:type="spellEnd"/>
    </w:p>
    <w:p w:rsid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Esquema SQL para suporte à imutabilidade dos indicadores ESG e armazenamento das transações verificadas.</w:t>
      </w:r>
    </w:p>
    <w:p w:rsidR="00117735" w:rsidRDefault="00117735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7735" w:rsidRDefault="00117735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7735" w:rsidRPr="00B92239" w:rsidRDefault="00117735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SQL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-- Estrutura para Auditoria ESG e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Blockchain</w:t>
      </w:r>
      <w:proofErr w:type="spellEnd"/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logs_transacoes_blockchain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_hash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 AUTO_INCREMENT PRIMARY KEY,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_registro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TIMESTAMP DEFAULT CURRENT_TIMESTAMP,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_indicador_gri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VARCHAR(10), --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Ex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: GRI-305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_calculado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DECIMAL(18,4),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hash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_verificacao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VARCHAR(255), -- Simulação SHA-256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_auditoria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ENUM('pendente', 'verificado', 'alerta')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-- Tabela de Coeficientes Técnicos para Comparação Decenal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coeficientes_tecnicos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_setor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ano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_referencia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INT, -- 2015 ou 2025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  <w:proofErr w:type="gram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_coeficiente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DECIMAL(10,6),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INDEX (</w:t>
      </w:r>
      <w:proofErr w:type="spellStart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ano_referencia</w:t>
      </w:r>
      <w:proofErr w:type="spellEnd"/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B92239" w:rsidRPr="00B92239" w:rsidRDefault="00B92239" w:rsidP="00B92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B92239" w:rsidRPr="00B92239" w:rsidRDefault="00B92239" w:rsidP="00B92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[ANEXO I] – Tabela Comparativa de Intensidade de Insumos (2015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vs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2025)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Dados extraídos da simulação baseada no método de decomposição estrutural (Rangel &amp;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Campanario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, 2013).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727"/>
        <w:gridCol w:w="1727"/>
        <w:gridCol w:w="1246"/>
        <w:gridCol w:w="2155"/>
      </w:tblGrid>
      <w:tr w:rsidR="00B92239" w:rsidRPr="00B92239" w:rsidTr="00B922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Setor Industrial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Coeficiente 2015 (</w:t>
            </w:r>
            <w:proofErr w:type="spellStart"/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cij</w:t>
            </w:r>
            <w:proofErr w:type="spellEnd"/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Coeficiente 2025 (</w:t>
            </w:r>
            <w:proofErr w:type="spellStart"/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cij</w:t>
            </w:r>
            <w:proofErr w:type="spellEnd"/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Variação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 GRI 305</w:t>
            </w:r>
          </w:p>
        </w:tc>
      </w:tr>
      <w:tr w:rsidR="00B92239" w:rsidRPr="00B92239" w:rsidTr="00B922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 (TI)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-40.0%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Redução de Emissões Escopo 2</w:t>
            </w:r>
          </w:p>
        </w:tc>
      </w:tr>
      <w:tr w:rsidR="00B92239" w:rsidRPr="00B92239" w:rsidTr="00B922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Energia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-14.3%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Migração para Renováveis</w:t>
            </w:r>
          </w:p>
        </w:tc>
      </w:tr>
      <w:tr w:rsidR="00B92239" w:rsidRPr="00B92239" w:rsidTr="00B922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Aço/Indústria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-8.9%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Otimização de Resíduos</w:t>
            </w:r>
          </w:p>
        </w:tc>
      </w:tr>
      <w:tr w:rsidR="00B92239" w:rsidRPr="00B92239" w:rsidTr="00B922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Transportes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-20.0%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92239" w:rsidRPr="00B92239" w:rsidRDefault="00B92239" w:rsidP="00B9223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223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Eficiência Logística</w:t>
            </w:r>
          </w:p>
        </w:tc>
      </w:tr>
    </w:tbl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B92239" w:rsidRPr="00B92239" w:rsidRDefault="00B92239" w:rsidP="00B92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[ANEXO II] – Evidências Visuais do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Relatório PDF</w:t>
      </w:r>
    </w:p>
    <w:p w:rsidR="00B92239" w:rsidRPr="00B92239" w:rsidRDefault="00B92239" w:rsidP="00B92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Este anexo apresenta capturas de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ecrã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plataforma em funcionamento, demonstrando a integração entre os dados geográficos e os indicadores financeiros.</w:t>
      </w:r>
    </w:p>
    <w:p w:rsidR="00B92239" w:rsidRPr="00B92239" w:rsidRDefault="00B92239" w:rsidP="00B92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Figura 1: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Monitoramento: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Visualização em tempo real dos indicadores de 2015-2025 usando </w:t>
      </w:r>
      <w:r w:rsidRPr="00B92239">
        <w:rPr>
          <w:rFonts w:ascii="Courier New" w:eastAsia="Times New Roman" w:hAnsi="Courier New" w:cs="Courier New"/>
          <w:sz w:val="20"/>
          <w:szCs w:val="20"/>
          <w:lang w:eastAsia="pt-BR"/>
        </w:rPr>
        <w:t>Leaflet.js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localização de unidades produtivas.</w:t>
      </w:r>
    </w:p>
    <w:p w:rsidR="00B92239" w:rsidRPr="00B92239" w:rsidRDefault="00B92239" w:rsidP="00B92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Figura 2: Alerta de Violação GRI via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Twilio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Captura de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ecrã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 dispositivo móvel recebendo uma notificação SMS após o indicador de emissões ultrapassar a meta estabelecida na matriz de Leontief.</w:t>
      </w:r>
    </w:p>
    <w:p w:rsidR="00B92239" w:rsidRPr="00B92239" w:rsidRDefault="00B92239" w:rsidP="00B92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Figura 3: Relatório PDF 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LiveGAP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jsPDF</w:t>
      </w:r>
      <w:proofErr w:type="spellEnd"/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de documento gerado automaticamente com o selo de conformidade IFRS S2 e o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validação </w:t>
      </w:r>
      <w:proofErr w:type="spellStart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92239" w:rsidRPr="00B92239" w:rsidRDefault="00B92239" w:rsidP="00B922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Argumentação Final para a Banca:</w:t>
      </w:r>
    </w:p>
    <w:p w:rsidR="00B92239" w:rsidRPr="00B92239" w:rsidRDefault="00B92239" w:rsidP="00283A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apresentar este artigo com os apêndices e anexos, o aluno demonstra não apenas a capacidade de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codificação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também a de </w:t>
      </w: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 científica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92239" w:rsidRPr="00B92239" w:rsidRDefault="00B92239" w:rsidP="00283A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Apêndice A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prova a competência em Álgebra Linear e Python.</w:t>
      </w:r>
    </w:p>
    <w:p w:rsidR="00B92239" w:rsidRPr="00B92239" w:rsidRDefault="00B92239" w:rsidP="00283A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Apêndice B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a preocupação com a segurança de dados e auditoria moderna.</w:t>
      </w:r>
    </w:p>
    <w:p w:rsidR="00B92239" w:rsidRPr="00B92239" w:rsidRDefault="00B92239" w:rsidP="00283A7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22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Anexos</w:t>
      </w:r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fornecem a prova social e visual de que o sistema resolve o problema do </w:t>
      </w:r>
      <w:proofErr w:type="spellStart"/>
      <w:r w:rsidRPr="00B922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greenwashing</w:t>
      </w:r>
      <w:proofErr w:type="spellEnd"/>
      <w:r w:rsidRPr="00B922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de dados técnicos comparáveis.</w:t>
      </w:r>
    </w:p>
    <w:p w:rsidR="00422E80" w:rsidRPr="00B92239" w:rsidRDefault="00422E80" w:rsidP="00B922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22E80" w:rsidRPr="00B922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BE0FDF"/>
    <w:multiLevelType w:val="multilevel"/>
    <w:tmpl w:val="36E4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882ACA"/>
    <w:multiLevelType w:val="multilevel"/>
    <w:tmpl w:val="813A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BD25F5"/>
    <w:multiLevelType w:val="multilevel"/>
    <w:tmpl w:val="A5C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772FB9"/>
    <w:multiLevelType w:val="multilevel"/>
    <w:tmpl w:val="3736876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3BE745AA"/>
    <w:multiLevelType w:val="multilevel"/>
    <w:tmpl w:val="789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B478DF"/>
    <w:multiLevelType w:val="multilevel"/>
    <w:tmpl w:val="BB9C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FF736C"/>
    <w:multiLevelType w:val="multilevel"/>
    <w:tmpl w:val="9BA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502C4F"/>
    <w:multiLevelType w:val="hybridMultilevel"/>
    <w:tmpl w:val="C3C03108"/>
    <w:lvl w:ilvl="0" w:tplc="F4CE2C7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239"/>
    <w:rsid w:val="00006F2A"/>
    <w:rsid w:val="00117735"/>
    <w:rsid w:val="00283A77"/>
    <w:rsid w:val="00422E80"/>
    <w:rsid w:val="00A80945"/>
    <w:rsid w:val="00B92239"/>
    <w:rsid w:val="00CF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0C791D-E6D0-4706-8FF5-D85453D6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22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2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922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23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9223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2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B92239"/>
  </w:style>
  <w:style w:type="character" w:styleId="Hyperlink">
    <w:name w:val="Hyperlink"/>
    <w:basedOn w:val="Fontepargpadro"/>
    <w:uiPriority w:val="99"/>
    <w:semiHidden/>
    <w:unhideWhenUsed/>
    <w:rsid w:val="00B92239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B92239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2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283A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9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4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7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9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obalreporting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1500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Araujo</dc:creator>
  <cp:keywords/>
  <dc:description/>
  <cp:lastModifiedBy>Adriano Araujo</cp:lastModifiedBy>
  <cp:revision>5</cp:revision>
  <dcterms:created xsi:type="dcterms:W3CDTF">2026-01-15T11:19:00Z</dcterms:created>
  <dcterms:modified xsi:type="dcterms:W3CDTF">2026-01-15T11:29:00Z</dcterms:modified>
</cp:coreProperties>
</file>