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Google Data Analyst Certificate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Case Study: How Does a Bike-Share Navigate Speedy Success?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29313" cy="4237938"/>
            <wp:effectExtent b="0" l="0" r="0" t="0"/>
            <wp:docPr descr="Placeholder image" id="6" name="image8.jpg"/>
            <a:graphic>
              <a:graphicData uri="http://schemas.openxmlformats.org/drawingml/2006/picture">
                <pic:pic>
                  <pic:nvPicPr>
                    <pic:cNvPr descr="Placeholder image" id="0" name="image8.jpg"/>
                    <pic:cNvPicPr preferRelativeResize="0"/>
                  </pic:nvPicPr>
                  <pic:blipFill>
                    <a:blip r:embed="rId7"/>
                    <a:srcRect b="0" l="3442" r="34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423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Cyclistic is a  bike-share program that features more than 5,800 bicycles and 600 docking stations. Cyclistic’s offerings include  reclining bikes, hand tricycles, and cargo bikes, making bike-share more inclusive to people with  disabilities and riders who can’t use a standard two-wheeled bike. The majority of riders opt for traditional bikes; about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8% of riders use the assistive options. Cyclistic users are more likely to ride for leisure, but about 30% use them to commute to work each day.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Cyclisitc was founded in 2016, and since then, the fleet  has grown to a fleet of 5,824 bicycles that are geotracked and locked into a network of 692 stations across Chicago. The bikes can be unlocked from one station and returned to any other station in the system anytime.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There exist three pricing plans: single-ride passes,full-day passes and annual memberships. Customers who purchase single-ride or full-day passes are referred to as casual riders. Customers who purchase annual memberships are Cyclistic members.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Financial analysis has shown that the annual memberships model is far more profitable than the casual rider model. However, most customers choose the ride option.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The sales manager has established that maximizing the number of annual members is the optimal growth strategy; particularly given that brand awareness is already good.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b w:val="1"/>
          <w:rtl w:val="0"/>
        </w:rPr>
        <w:t xml:space="preserve">My Role:</w:t>
      </w:r>
      <w:r w:rsidDel="00000000" w:rsidR="00000000" w:rsidRPr="00000000">
        <w:rPr>
          <w:rtl w:val="0"/>
        </w:rPr>
        <w:t xml:space="preserve"> A junior data analyst charged with the responsibility of leveraging data analytics to inform the design of a marketing strategy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 Re-design  marketing strategies aimed at converting casual riders into annual members.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b w:val="1"/>
          <w:rtl w:val="0"/>
        </w:rPr>
        <w:t xml:space="preserve">Core Business Question</w:t>
      </w:r>
      <w:r w:rsidDel="00000000" w:rsidR="00000000" w:rsidRPr="00000000">
        <w:rPr>
          <w:rtl w:val="0"/>
        </w:rPr>
        <w:t xml:space="preserve">: "How do annual members and casual riders use Cyclistic bikes differently?"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clear statement of the business task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description of all data sources used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of any cleaning or manipulation of data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summary of your analysis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Supporting visualizations and key findings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top three recommendations based on your analysis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The step by step process used in the analysis is briefly described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la5jp5tnimjw" w:id="4"/>
      <w:bookmarkEnd w:id="4"/>
      <w:r w:rsidDel="00000000" w:rsidR="00000000" w:rsidRPr="00000000">
        <w:rPr>
          <w:rtl w:val="0"/>
        </w:rPr>
        <w:t xml:space="preserve">Process &amp; Analyze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/>
      </w:pPr>
      <w:r w:rsidDel="00000000" w:rsidR="00000000" w:rsidRPr="00000000">
        <w:rPr>
          <w:rtl w:val="0"/>
        </w:rPr>
        <w:t xml:space="preserve">I uploaded the monthly datasets on kaggle. I then proceeded to read in the individual datasets into an R notebook. I cleaned up the data, combined the datasets, and then performed exploratory data analysis. I later performed some data aggregation and used the outcome to do some visualizations on kaggle. The procedure used in Kaggle is detailed below: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data: Downloading all the 35 datafiles(in zipm file format) from the AWS repository, and then uploading these as a new dataset on Kaggle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a new kaggle notebook with introductory notes in markdown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relevant packages : tidyverse, lubridate,ggplot2,dplyr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all relevant packages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two sample files into the notebook as r dataframes, suing the R “read_csv” function. The idea was to ensure consistency across the individual csv files in terms of column names and datatypes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the files for the last 12 months into a single r dataframe using the “map_df” function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Intiti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new columns for: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Ride Length - did this by subtracting end_at time from start_at time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of the Week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- convert the time to HH:MM:SS format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Hour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 - Spring, Summer, Winter or Fall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of Day - Night, Morning, Afternoon or Evening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the data by: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missing(null values)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duplicates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new fields such as: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Ride_length /duration: subtracting end time from start-time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Extracted hours, day periods, months, seasons from the start_time field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Hours: 1-24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 periods: Dawn, Morning, Afternoon,Evening,Night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Months: 1-12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Seasons: Winter,Spring,Summer,Fall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Renamed some fields to ensure ease of readability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data cleaning: Dropped rows with negative ride durations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&amp; Visualization: Visualized the data using the ggplot library, and summarized the findings and inferences. The following aspects were visualized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of bike types used overall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of rides for each category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Bike types used for each member category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weekday rides for each member category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rides for each member category for each day period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rides for each member category for each Season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Median duration for each member category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Median duration for each member category for each weekday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Trimmed off some columns and downloaded the resulting dataframe as csv to use in creating tableau visualizations.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 Visualizations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86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48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Tableau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then proceeded to create a simple tableau dashboard. Check out the screenshot below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0688" cy="6991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6"/>
    <w:bookmarkEnd w:id="6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