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/>
          <w:sz w:val="44"/>
        </w:rPr>
        <w:t>股票涨跌方向预测</w:t>
      </w:r>
    </w:p>
    <w:p>
      <w:pPr>
        <w:ind w:firstLine="0"/>
        <w:jc w:val="center"/>
      </w:pPr>
      <w:r>
        <w:rPr>
          <w:rFonts w:ascii="Times New Roman" w:hAnsi="Times New Roman" w:eastAsia="宋体"/>
          <w:sz w:val="28"/>
        </w:rPr>
        <w:t>——基于机器学习分类模型的金融时间序列预测研究报告</w:t>
      </w:r>
    </w:p>
    <w:p/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标的资产：兆易创新（603986.SH）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数据范围：2022-01-04 ~ 2026-07-09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报告日期：2026年07月16日</w:t>
      </w:r>
    </w:p>
    <w:p>
      <w:r>
        <w:br w:type="page"/>
      </w:r>
    </w:p>
    <w:p>
      <w:pPr>
        <w:pStyle w:val="Heading1"/>
        <w:spacing w:before="120" w:after="60"/>
        <w:ind w:firstLine="0"/>
      </w:pPr>
      <w:r>
        <w:rPr>
          <w:rFonts w:ascii="Times New Roman" w:hAnsi="Times New Roman" w:eastAsia="宋体"/>
        </w:rPr>
        <w:t>目  录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b w:val="0"/>
          <w:sz w:val="21"/>
        </w:rPr>
        <w:t>一、项目背景与目标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b w:val="0"/>
          <w:sz w:val="21"/>
        </w:rPr>
        <w:t>二、数据概览与探索性分析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b w:val="0"/>
          <w:sz w:val="21"/>
        </w:rPr>
        <w:t>三、方法论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  3.1 特征工程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  3.2 标签构造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  3.3 Purged Walk-Forward 交叉验证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b w:val="0"/>
          <w:sz w:val="21"/>
        </w:rPr>
        <w:t>四、模型评估与分析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  4.1 逻辑回归（Logistic Regression）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  4.2 随机森林（Random Forest）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  4.3 XGBoost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 xml:space="preserve">  4.4 支持向量机（SVC）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b w:val="0"/>
          <w:sz w:val="21"/>
        </w:rPr>
        <w:t>五、模型横向对比</w:t>
      </w:r>
    </w:p>
    <w:p>
      <w:pPr>
        <w:spacing w:line="360" w:lineRule="auto" w:before="0" w:after="0"/>
        <w:ind w:firstLine="0"/>
      </w:pPr>
      <w:r>
        <w:rPr>
          <w:rFonts w:ascii="Times New Roman" w:hAnsi="Times New Roman" w:eastAsia="宋体"/>
          <w:b w:val="0"/>
          <w:sz w:val="21"/>
        </w:rPr>
        <w:t>六、结论与建议</w:t>
      </w:r>
    </w:p>
    <w:p>
      <w:r>
        <w:br w:type="page"/>
      </w:r>
    </w:p>
    <w:p>
      <w:pPr>
        <w:pStyle w:val="Heading1"/>
        <w:spacing w:before="120" w:after="60"/>
        <w:ind w:firstLine="0"/>
      </w:pPr>
      <w:r>
        <w:rPr>
          <w:rFonts w:ascii="Times New Roman" w:hAnsi="Times New Roman" w:eastAsia="宋体"/>
        </w:rPr>
        <w:t>一、项目背景与目标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股票价格方向预测是量化金融领域的经典问题，其核心挑战在于金融时间序列的低信噪比和非平稳特性。本报告以兆易创新（603986.SH）2022年1月至2026年7月的日线交易数据为研究对象，构建四种机器学习分类模型——逻辑回归（Logistic Regression）、随机森林（Random Forest）、XGBoost和支持向量机（SVC），对其未来20个交易日的涨跌方向进行分类预测。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本项目采用Purged Walk-Forward Cross-Validation（时间序列交叉验证）作为评估框架，有效避免了未来信息泄露问题。通过对比四个模型在ROC曲线、AUC值、年化收益率、夏普比率和胜率等维度的表现，筛选出适合该标的的预测模型。</w:t>
      </w:r>
    </w:p>
    <w:p>
      <w:pPr>
        <w:pStyle w:val="Heading1"/>
        <w:spacing w:before="120" w:after="60"/>
        <w:ind w:firstLine="0"/>
      </w:pPr>
      <w:r>
        <w:rPr>
          <w:rFonts w:ascii="Times New Roman" w:hAnsi="Times New Roman" w:eastAsia="宋体"/>
        </w:rPr>
        <w:t>二、数据概览与探索性分析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原始数据包含兆易创新自2022年1月4日至2026年7月8日共计1091个交易日的日线数据，字段包括开盘价、收盘价、最高价、最低价、昨收价、涨跌幅、成交量和成交额等。样本期内日均涨跌比约为48.9%:51.1%，基本平衡；年化波动率达53.13%，属于高波动科技股品种，为机器学习模型提供了丰富的价格形态信息。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38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8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图1  兆易创新探索性数据分析总览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图1展示了兆易创新样本期内的基本特征。收盘价走势显示该股经历了从约176元到超过800元的大幅上涨行情，年化收益率达42.82%。日收益率分布近似正态但呈现一定的尖峰厚尾特征，体现了金融时间序列的典型波动聚集效应。月度收益率热力图显示，样本期内多数月份录得正收益，但波动较大。</w:t>
      </w:r>
    </w:p>
    <w:p>
      <w:pPr>
        <w:pStyle w:val="Heading1"/>
        <w:spacing w:before="120" w:after="60"/>
        <w:ind w:firstLine="0"/>
      </w:pPr>
      <w:r>
        <w:rPr>
          <w:rFonts w:ascii="Times New Roman" w:hAnsi="Times New Roman" w:eastAsia="宋体"/>
        </w:rPr>
        <w:t>三、方法论</w:t>
      </w:r>
    </w:p>
    <w:p>
      <w:pPr>
        <w:pStyle w:val="Heading2"/>
        <w:spacing w:before="120" w:after="60"/>
        <w:ind w:firstLine="0"/>
      </w:pPr>
      <w:r>
        <w:rPr>
          <w:rFonts w:ascii="Times New Roman" w:hAnsi="Times New Roman" w:eastAsia="宋体"/>
        </w:rPr>
        <w:t>3.1 特征工程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本项目构建了36个预测特征，涵盖价格衍生特征、技术指标特征、新增高级特征和滞后特征四大类别。价格衍生特征包括1日/5日/10日/20日收益率、日内振幅比和涨跌幅比等6项；技术指标特征包括20日均线及其偏离度、均线交叉信号、20日滚动标准差、14日ATR、布林带（上轨/下轨/带宽）、14日RSI、MACD（DIF/DEA/柱状图）、OBV能量潮及相对成交量等13项；新增高级特征包括量价背离信号、Carhart风格动量因子、相对强度、波动率比、20日偏度和峰度等6项；滞后特征为核心指标的1日滞后项共6项。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90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图2  特征相关性矩阵与Top10特征重要性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左图展示了36个特征之间的Pearson相关系数矩阵（层次聚类排序），右上三角遮罩避免重复。右图展示了与目标变量（未来20日涨跌方向）绝对相关性最高的Top10特征，红色表示正相关（增加上涨概率），蓝色表示负相关。布林带宽度（bb_width）、20日滚动标准差（std_20）和OBV能量潮是与目标变量相关性最高的三个指标。</w:t>
      </w:r>
    </w:p>
    <w:p>
      <w:pPr>
        <w:pStyle w:val="Heading2"/>
        <w:spacing w:before="120" w:after="60"/>
        <w:ind w:firstLine="0"/>
      </w:pPr>
      <w:r>
        <w:rPr>
          <w:rFonts w:ascii="Times New Roman" w:hAnsi="Times New Roman" w:eastAsia="宋体"/>
        </w:rPr>
        <w:t>3.2 标签构造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标签以未来20个交易日的收盘价相对于当前收盘价的收益率为基础，将收益率处于前30%分位的样本标记为"涨"（1），后30%分位的样本标记为"跌"（0），中间40%的弱信号样本予以剔除。经处理，最终保留604个有效样本，其中上涨样本315个（52.15%），下跌样本289个（47.85%），类别分布基本均衡。</w:t>
      </w:r>
    </w:p>
    <w:p>
      <w:pPr>
        <w:pStyle w:val="Heading2"/>
        <w:spacing w:before="120" w:after="60"/>
        <w:ind w:firstLine="0"/>
      </w:pPr>
      <w:r>
        <w:rPr>
          <w:rFonts w:ascii="Times New Roman" w:hAnsi="Times New Roman" w:eastAsia="宋体"/>
        </w:rPr>
        <w:t>3.3 Purged Walk-Forward 交叉验证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本项目采用5折Purged Walk-Forward Cross-Validation作为评估框架，在训练集与测试集之间引入20个交易日的purging缓冲区（gap=20），有效避免了滞后特征从训练集泄漏到测试集。5折划分如下：Fold 1训练84条→测试100条；Fold 2训练184条→测试100条；Fold 3训练284条→测试100条；Fold 4训练384条→测试100条；Fold 5训练484条→测试100条。最终评估指标取5折均值。</w:t>
      </w:r>
    </w:p>
    <w:p>
      <w:pPr>
        <w:pStyle w:val="Heading1"/>
        <w:spacing w:before="120" w:after="60"/>
        <w:ind w:firstLine="0"/>
      </w:pPr>
      <w:r>
        <w:rPr>
          <w:rFonts w:ascii="Times New Roman" w:hAnsi="Times New Roman" w:eastAsia="宋体"/>
        </w:rPr>
        <w:t>四、模型评估与分析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以下分别对四个模型进行单独的评估分析。评估维度包括5折交叉验证的AUC均值、最后一折ROC曲线、特征重要性排序、模拟交易策略的年化收益率、夏普比率和胜率。</w:t>
      </w:r>
    </w:p>
    <w:p>
      <w:pPr>
        <w:pStyle w:val="Heading2"/>
        <w:spacing w:before="120" w:after="60"/>
        <w:ind w:firstLine="0"/>
      </w:pPr>
      <w:r>
        <w:rPr>
          <w:rFonts w:ascii="Times New Roman" w:hAnsi="Times New Roman" w:eastAsia="宋体"/>
        </w:rPr>
        <w:t>4.1 逻辑回归（Logistic Regression）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5折AUC均值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0.712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最后一折AUC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0.910</w:t>
            </w:r>
          </w:p>
        </w:tc>
      </w:tr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年化收益率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+572.00%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胜率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81.82%</w:t>
            </w:r>
          </w:p>
        </w:tc>
      </w:tr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夏普比率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4.020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最大回撤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-11.25%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spacing w:before="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0300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roc_L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030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ind w:firstLine="0"/>
              <w:jc w:val="center"/>
            </w:pPr>
            <w:r>
              <w:rPr>
                <w:b/>
                <w:sz w:val="16"/>
              </w:rPr>
              <w:t>图3.1a  逻辑回归（Logistic Regression）ROC曲线</w:t>
            </w:r>
          </w:p>
        </w:tc>
        <w:tc>
          <w:tcPr>
            <w:tcW w:type="dxa" w:w="4317"/>
          </w:tcPr>
          <w:p>
            <w:pPr>
              <w:spacing w:before="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263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ature_imp_L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6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ind w:firstLine="0"/>
              <w:jc w:val="center"/>
            </w:pPr>
            <w:r>
              <w:rPr>
                <w:b/>
                <w:sz w:val="16"/>
              </w:rPr>
              <w:t>图3.1b  逻辑回归（Logistic Regression）特征重要性</w:t>
            </w:r>
          </w:p>
        </w:tc>
      </w:tr>
    </w:tbl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11658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ty_L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16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图3.1c  逻辑回归（Logistic Regression）模拟交易净值与回撤曲线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逻辑回归作为线性分类器的代表，模型可解释性强。其5折AUC均值0.712为四个模型中最高，说明其排序能力在多个时间窗口上整体稳定。特征重要性分析显示，布林带宽度（bb_width）和20日波动率（std_20）是最重要的两个特征，说明该模型主要依赖波动率结构变化进行判断。模拟交易年化收益率+572%、夏普比率4.020表现优异，最大回撤仅-11.25%，风险控制最佳。但Fold 4的AUC仅为0.420，说明在某些市场环境下表现不稳定。</w:t>
      </w:r>
    </w:p>
    <w:p/>
    <w:p>
      <w:pPr>
        <w:pStyle w:val="Heading2"/>
        <w:spacing w:before="120" w:after="60"/>
        <w:ind w:firstLine="0"/>
      </w:pPr>
      <w:r>
        <w:rPr>
          <w:rFonts w:ascii="Times New Roman" w:hAnsi="Times New Roman" w:eastAsia="宋体"/>
        </w:rPr>
        <w:t>4.2 随机森林（Random Forest）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5折AUC均值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0.568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最后一折AUC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0.571</w:t>
            </w:r>
          </w:p>
        </w:tc>
      </w:tr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年化收益率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+857.21%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胜率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59.60%</w:t>
            </w:r>
          </w:p>
        </w:tc>
      </w:tr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夏普比率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3.387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最大回撤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-26.44%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spacing w:before="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0300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roc_RF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030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ind w:firstLine="0"/>
              <w:jc w:val="center"/>
            </w:pPr>
            <w:r>
              <w:rPr>
                <w:b/>
                <w:sz w:val="16"/>
              </w:rPr>
              <w:t>图3.2a  随机森林（Random Forest）ROC曲线</w:t>
            </w:r>
          </w:p>
        </w:tc>
        <w:tc>
          <w:tcPr>
            <w:tcW w:type="dxa" w:w="4317"/>
          </w:tcPr>
          <w:p>
            <w:pPr>
              <w:spacing w:before="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2321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ature_imp_R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3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ind w:firstLine="0"/>
              <w:jc w:val="center"/>
            </w:pPr>
            <w:r>
              <w:rPr>
                <w:b/>
                <w:sz w:val="16"/>
              </w:rPr>
              <w:t>图3.2b  随机森林（Random Forest）特征重要性</w:t>
            </w:r>
          </w:p>
        </w:tc>
      </w:tr>
    </w:tbl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11658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ty_R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16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图3.2c  随机森林（Random Forest）模拟交易净值与回撤曲线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随机森林5折AUC均值0.568，略高于随机基准但波动较大。OBV能量潮和布林带下轨是最重要特征。模拟交易年化收益率+857%，但最大回撤达-26.44%，说明在某些时间段出现连续误判。Fold 5的Recall为0.974，即模型高度倾向于预测上涨，在持续上升行情中表现优异，但下跌行情中抗风险能力较弱。</w:t>
      </w:r>
    </w:p>
    <w:p/>
    <w:p>
      <w:pPr>
        <w:pStyle w:val="Heading2"/>
        <w:spacing w:before="120" w:after="60"/>
        <w:ind w:firstLine="0"/>
      </w:pPr>
      <w:r>
        <w:rPr>
          <w:rFonts w:ascii="Times New Roman" w:hAnsi="Times New Roman" w:eastAsia="宋体"/>
        </w:rPr>
        <w:t>4.3 XGBoost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5折AUC均值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0.573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最后一折AUC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0.670</w:t>
            </w:r>
          </w:p>
        </w:tc>
      </w:tr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年化收益率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+787.63%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胜率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66.67%</w:t>
            </w:r>
          </w:p>
        </w:tc>
      </w:tr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夏普比率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3.399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最大回撤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-24.28%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spacing w:before="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03009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roc_XG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030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ind w:firstLine="0"/>
              <w:jc w:val="center"/>
            </w:pPr>
            <w:r>
              <w:rPr>
                <w:b/>
                <w:sz w:val="16"/>
              </w:rPr>
              <w:t>图3.3a  XGBoostROC曲线</w:t>
            </w:r>
          </w:p>
        </w:tc>
        <w:tc>
          <w:tcPr>
            <w:tcW w:type="dxa" w:w="4317"/>
          </w:tcPr>
          <w:p>
            <w:pPr>
              <w:spacing w:before="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2321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ature_imp_XG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3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ind w:firstLine="0"/>
              <w:jc w:val="center"/>
            </w:pPr>
            <w:r>
              <w:rPr>
                <w:b/>
                <w:sz w:val="16"/>
              </w:rPr>
              <w:t>图3.3b  XGBoost特征重要性</w:t>
            </w:r>
          </w:p>
        </w:tc>
      </w:tr>
    </w:tbl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11658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ty_XG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16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图3.3c  XGBoost模拟交易净值与回撤曲线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XGBoost的5折AUC均值为0.573，与随机森林接近。macd_hist_lag2和布林带上轨是最重要特征，体现对动量指标和价格边界信号的敏感度。模拟交易年化收益率+787.63%，最大回撤-24.28%，胜率66.67%，整体介于随机森林和逻辑回归之间，具有较好的平衡性。</w:t>
      </w:r>
    </w:p>
    <w:p/>
    <w:p>
      <w:pPr>
        <w:pStyle w:val="Heading2"/>
        <w:spacing w:before="120" w:after="60"/>
        <w:ind w:firstLine="0"/>
      </w:pPr>
      <w:r>
        <w:rPr>
          <w:rFonts w:ascii="Times New Roman" w:hAnsi="Times New Roman" w:eastAsia="宋体"/>
        </w:rPr>
        <w:t>4.4 支持向量机（SVC）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5折AUC均值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0.694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最后一折AUC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0.916</w:t>
            </w:r>
          </w:p>
        </w:tc>
      </w:tr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年化收益率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+1047.71%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胜率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79.80%</w:t>
            </w:r>
          </w:p>
        </w:tc>
      </w:tr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夏普比率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4.734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最大回撤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-11.25%</w:t>
            </w:r>
          </w:p>
        </w:tc>
        <w:tc>
          <w:tcPr>
            <w:tcW w:type="dxa" w:w="1701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spacing w:before="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03009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roc_SV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030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ind w:firstLine="0"/>
              <w:jc w:val="center"/>
            </w:pPr>
            <w:r>
              <w:rPr>
                <w:b/>
                <w:sz w:val="16"/>
              </w:rPr>
              <w:t>图3.4a  支持向量机（SVC）ROC曲线</w:t>
            </w:r>
          </w:p>
        </w:tc>
        <w:tc>
          <w:tcPr>
            <w:tcW w:type="dxa" w:w="4317"/>
          </w:tcPr>
          <w:p>
            <w:pPr>
              <w:spacing w:before="0" w:after="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1824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ature_imp_SV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4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ind w:firstLine="0"/>
              <w:jc w:val="center"/>
            </w:pPr>
            <w:r>
              <w:rPr>
                <w:b/>
                <w:sz w:val="16"/>
              </w:rPr>
              <w:t>图3.4b  支持向量机（SVC）特征重要性</w:t>
            </w:r>
          </w:p>
        </w:tc>
      </w:tr>
    </w:tbl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116580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ty_SV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16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图3.4c  支持向量机（SVC）模拟交易净值与回撤曲线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支持向量机（线性核）5折AUC均值0.694，与逻辑回归接近。最后一折AUC达0.916，为所有模型中最高。std_20、macd和macd_signal是最重要特征。模拟交易年化收益率+1047.71%、夏普比率4.734、最大回撤仅-11.25%、胜率79.80%，四项指标综合最优，被评为综合最佳模型。线性SVM的最大间隔分类特性使其在小样本高维空间具有良好泛化能力。</w:t>
      </w:r>
    </w:p>
    <w:p>
      <w:r>
        <w:br w:type="page"/>
      </w:r>
    </w:p>
    <w:p>
      <w:pPr>
        <w:pStyle w:val="Heading1"/>
        <w:spacing w:before="120" w:after="60"/>
        <w:ind w:firstLine="0"/>
      </w:pPr>
      <w:r>
        <w:rPr>
          <w:rFonts w:ascii="Times New Roman" w:hAnsi="Times New Roman" w:eastAsia="宋体"/>
        </w:rPr>
        <w:t>五、模型横向对比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51662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16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图4  四个模型横向对比（ROC叠图、分类指标、交易指标）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模型</w:t>
            </w:r>
          </w:p>
        </w:tc>
        <w:tc>
          <w:tcPr>
            <w:tcW w:type="dxa" w:w="102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5折AUC</w:t>
            </w:r>
          </w:p>
        </w:tc>
        <w:tc>
          <w:tcPr>
            <w:tcW w:type="dxa" w:w="102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末折AUC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年化收益率</w:t>
            </w:r>
          </w:p>
        </w:tc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夏普比率</w:t>
            </w:r>
          </w:p>
        </w:tc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最大回撤</w:t>
            </w:r>
          </w:p>
        </w:tc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胜率</w:t>
            </w:r>
          </w:p>
        </w:tc>
      </w:tr>
      <w:tr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逻辑回归</w:t>
            </w:r>
          </w:p>
        </w:tc>
        <w:tc>
          <w:tcPr>
            <w:tcW w:type="dxa" w:w="102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0.712</w:t>
            </w:r>
          </w:p>
        </w:tc>
        <w:tc>
          <w:tcPr>
            <w:tcW w:type="dxa" w:w="102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0.910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+572.00%</w:t>
            </w:r>
          </w:p>
        </w:tc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4.020</w:t>
            </w:r>
          </w:p>
        </w:tc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-11.25%</w:t>
            </w:r>
          </w:p>
        </w:tc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81.82%</w:t>
            </w:r>
          </w:p>
        </w:tc>
      </w:tr>
      <w:tr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随机森林</w:t>
            </w:r>
          </w:p>
        </w:tc>
        <w:tc>
          <w:tcPr>
            <w:tcW w:type="dxa" w:w="102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0.568</w:t>
            </w:r>
          </w:p>
        </w:tc>
        <w:tc>
          <w:tcPr>
            <w:tcW w:type="dxa" w:w="102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0.571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+857.21%</w:t>
            </w:r>
          </w:p>
        </w:tc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3.387</w:t>
            </w:r>
          </w:p>
        </w:tc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-26.44%</w:t>
            </w:r>
          </w:p>
        </w:tc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59.60%</w:t>
            </w:r>
          </w:p>
        </w:tc>
      </w:tr>
      <w:tr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XGBoost</w:t>
            </w:r>
          </w:p>
        </w:tc>
        <w:tc>
          <w:tcPr>
            <w:tcW w:type="dxa" w:w="102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0.573</w:t>
            </w:r>
          </w:p>
        </w:tc>
        <w:tc>
          <w:tcPr>
            <w:tcW w:type="dxa" w:w="102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0.670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+787.63%</w:t>
            </w:r>
          </w:p>
        </w:tc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3.399</w:t>
            </w:r>
          </w:p>
        </w:tc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-24.28%</w:t>
            </w:r>
          </w:p>
        </w:tc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66.67%</w:t>
            </w:r>
          </w:p>
        </w:tc>
      </w:tr>
      <w:tr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SVC</w:t>
            </w:r>
          </w:p>
        </w:tc>
        <w:tc>
          <w:tcPr>
            <w:tcW w:type="dxa" w:w="102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0.694</w:t>
            </w:r>
          </w:p>
        </w:tc>
        <w:tc>
          <w:tcPr>
            <w:tcW w:type="dxa" w:w="102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0.916</w:t>
            </w:r>
          </w:p>
        </w:tc>
        <w:tc>
          <w:tcPr>
            <w:tcW w:type="dxa" w:w="141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+1047.71%</w:t>
            </w:r>
          </w:p>
        </w:tc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4.734</w:t>
            </w:r>
          </w:p>
        </w:tc>
        <w:tc>
          <w:tcPr>
            <w:tcW w:type="dxa" w:w="113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-11.25%</w:t>
            </w:r>
          </w:p>
        </w:tc>
        <w:tc>
          <w:tcPr>
            <w:tcW w:type="dxa" w:w="850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79.80%</w:t>
            </w:r>
          </w:p>
        </w:tc>
      </w:tr>
    </w:tbl>
    <w:p/>
    <w:p>
      <w:pPr>
        <w:spacing w:before="40" w:after="80"/>
        <w:ind w:firstLine="0"/>
        <w:jc w:val="center"/>
      </w:pPr>
      <w:r>
        <w:rPr>
          <w:rFonts w:ascii="Times New Roman" w:hAnsi="Times New Roman" w:eastAsia="宋体"/>
          <w:b/>
          <w:sz w:val="18"/>
        </w:rPr>
        <w:t>表1  四个模型核心评估指标对比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综合来看，支持向量机（SVC）以夏普比率4.734和AUC均值0.694被选为综合最佳模型。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从ROC叠图（图4左）可以看出，逻辑回归和SVC的ROC曲线更靠近左上角，AUC值显著高于树模型（随机森林和XGBoost），说明线性分类器在该时序分类任务中的排序能力优于集成树。分类指标对比（图4中）显示，随机森林的Precision最高（0.783），但其Recall较低（0.522），在"减少误买入"场景下具有优势。交易指标对比（图4右）则展现了SVC在夏普比率上的绝对领先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需要指出的是，模拟交易的年化收益率基于仅100个交易日的测试数据，存在较大的统计不确定性，不应被过度解读为未来收益承诺。夏普比率和最大回撤作为风险调整后的指标，相对更能反映模型的真实预测能力。</w:t>
      </w:r>
    </w:p>
    <w:p>
      <w:pPr>
        <w:pStyle w:val="Heading1"/>
        <w:spacing w:before="120" w:after="60"/>
        <w:ind w:firstLine="0"/>
      </w:pPr>
      <w:r>
        <w:rPr>
          <w:rFonts w:ascii="Times New Roman" w:hAnsi="Times New Roman" w:eastAsia="宋体"/>
        </w:rPr>
        <w:t>六、结论与建议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本报告基于兆易创新日线数据，构建了四种机器学习分类模型进行未来20日涨跌方向预测，主要结论如下。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第一，线性分类器（逻辑回归和线性SVM）在金融时序预测任务中表现优于树模型，其5折AUC均值分别为0.712和0.694，显著高于随机森林（0.568）和XGBoost（0.573）。这可能是因为在小样本高维场景下，线性模型的正则化训练策略比集成树的贪婪生长更稳健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第二，特征重要性分析表明，波动率相关特征（布林带宽度、20日滚动标准差）和成交量相关特征（OBV能量潮）是预测未来涨跌方向最重要的信号，而传统动量指标（MACD）的重要性相对较低。这暗示量能变化和波动率结构变化先于价格本身的变动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第三，综合最佳模型为支持向量机（线性核），其在测试集上实现了夏普比率4.734、最大回撤仅-11.25%的优秀表现。但该结论基于2025年12月至2026年6月的数据，该时间段恰逢市场整体上行，模型的顺周期表现可能部分归因于市场环境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1"/>
        </w:rPr>
        <w:t>后续改进方向：（1）引入更多维度特征，如行业相对强度、宏观因子等；（2）使用集成策略对多个模型进行融合；（3）在更长的时间跨度和更多股票上进行验证，检验模型的可迁移性；（4）结合深度学习方法（如LSTM）捕捉长时序依赖关系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