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B686D">
      <w:pPr>
        <w:spacing w:before="1200" w:after="120"/>
        <w:jc w:val="center"/>
      </w:pPr>
      <w:r>
        <w:rPr>
          <w:rFonts w:ascii="宋体" w:hAnsi="宋体" w:eastAsia="宋体"/>
          <w:b/>
          <w:sz w:val="36"/>
        </w:rPr>
        <w:t>海龟交易策略回测分析报告</w:t>
      </w:r>
    </w:p>
    <w:p w14:paraId="448302D7">
      <w:pPr>
        <w:jc w:val="center"/>
      </w:pPr>
      <w:r>
        <w:rPr>
          <w:rFonts w:ascii="宋体" w:hAnsi="宋体" w:eastAsia="宋体"/>
          <w:sz w:val="24"/>
        </w:rPr>
        <w:t>——基于兆易创新及多只A股的回测研究（2022年1月—2026年7月）</w:t>
      </w:r>
    </w:p>
    <w:p w14:paraId="10684100">
      <w:pPr>
        <w:spacing w:after="600"/>
        <w:jc w:val="center"/>
      </w:pPr>
      <w:r>
        <w:rPr>
          <w:rFonts w:ascii="宋体" w:hAnsi="宋体" w:eastAsia="宋体"/>
          <w:sz w:val="21"/>
        </w:rPr>
        <w:t>2026年7月</w:t>
      </w:r>
    </w:p>
    <w:p w14:paraId="6A18E0F2">
      <w:pPr>
        <w:pStyle w:val="3"/>
        <w:spacing w:before="120" w:after="60"/>
      </w:pPr>
      <w:r>
        <w:rPr>
          <w:rFonts w:ascii="宋体" w:hAnsi="宋体" w:eastAsia="宋体"/>
        </w:rPr>
        <w:t>摘要</w:t>
      </w:r>
    </w:p>
    <w:p w14:paraId="55250E62">
      <w:pPr>
        <w:spacing w:before="0" w:after="0" w:line="360" w:lineRule="auto"/>
        <w:ind w:firstLine="420"/>
        <w:jc w:val="both"/>
      </w:pPr>
      <w:r>
        <w:rPr>
          <w:rFonts w:ascii="宋体" w:hAnsi="宋体" w:eastAsia="宋体"/>
          <w:b w:val="0"/>
          <w:sz w:val="21"/>
        </w:rPr>
        <w:t>海龟交易策略（Turtle Trading System）是交易史上的经典趋势跟踪策略。本报告以兆易创新（603986.SH）为核心标的，同时扩展至贵州茅台、中国平安、宁德时代、隆基绿能四只A股，对2022年1月至2026年7月共约1091个交易日的数据进行了系统性回测研究。报告从年化收益率、夏普比率、最大回撤、胜率、交易频率等多个维度，全面评估了S1（20日突破/10日退出）和S2（55日突破/20日退出）两套子系统在A股市场的表现，并结合8张图表进行了深度分析。</w:t>
      </w:r>
    </w:p>
    <w:p w14:paraId="6FA458D5">
      <w:pPr>
        <w:pStyle w:val="3"/>
        <w:spacing w:before="120" w:after="60"/>
      </w:pPr>
      <w:r>
        <w:rPr>
          <w:rFonts w:ascii="宋体" w:hAnsi="宋体" w:eastAsia="宋体"/>
        </w:rPr>
        <w:t>一、策略概述</w:t>
      </w:r>
    </w:p>
    <w:p w14:paraId="0E8D3FD3">
      <w:pPr>
        <w:spacing w:before="0" w:after="0" w:line="360" w:lineRule="auto"/>
        <w:ind w:firstLine="420"/>
        <w:jc w:val="both"/>
      </w:pPr>
      <w:r>
        <w:rPr>
          <w:rFonts w:ascii="宋体" w:hAnsi="宋体" w:eastAsia="宋体"/>
          <w:b w:val="0"/>
          <w:sz w:val="21"/>
        </w:rPr>
        <w:t>海龟策略由商品期货交易大师理查德·丹尼斯（Richard Dennis）与威廉·埃克哈特（William Eckhardt）于1983年创立。丹尼斯坚信优秀的交易能力可以被系统化传授，于是招募了一群毫无交易背景的学员（被称为"海龟"），将一套规则明确的交易系统教授给他们。这批学员在随后的交易中取得了年均超过80%的惊人回报，证明了系统化交易的可行性和有效性。</w:t>
      </w:r>
    </w:p>
    <w:p w14:paraId="514DC517">
      <w:pPr>
        <w:spacing w:before="0" w:after="0" w:line="360" w:lineRule="auto"/>
        <w:ind w:firstLine="420"/>
        <w:jc w:val="both"/>
      </w:pPr>
      <w:r>
        <w:rPr>
          <w:rFonts w:ascii="宋体" w:hAnsi="宋体" w:eastAsia="宋体"/>
          <w:b w:val="0"/>
          <w:sz w:val="21"/>
        </w:rPr>
        <w:t>海龟策略的核心思想可以概括为：不预测市场顶底，通过价格突破信号确认趋势形成后顺势入场，利用ATR（Average True Range，平均真实波幅）动态调整仓位，通过2N止损和趋势反转退出机制实现"截断亏损，让利润奔跑"。具体而言，策略包含以下五个核心要素：</w:t>
      </w:r>
    </w:p>
    <w:p w14:paraId="01BD4BB9">
      <w:pPr>
        <w:spacing w:before="0" w:after="0" w:line="360" w:lineRule="auto"/>
        <w:ind w:firstLine="420"/>
        <w:jc w:val="both"/>
      </w:pPr>
      <w:r>
        <w:rPr>
          <w:rFonts w:ascii="宋体" w:hAnsi="宋体" w:eastAsia="宋体"/>
          <w:b w:val="0"/>
          <w:sz w:val="21"/>
        </w:rPr>
        <w:t>（1）突破入场系统（唐奇安通道）：当价格突破过去N日的最高点时开仓买入。S1系统采用20日突破，S2系统采用55日突破。</w:t>
      </w:r>
    </w:p>
    <w:p w14:paraId="4715DF5C">
      <w:pPr>
        <w:spacing w:before="0" w:after="0" w:line="360" w:lineRule="auto"/>
        <w:ind w:firstLine="420"/>
        <w:jc w:val="both"/>
      </w:pPr>
      <w:r>
        <w:rPr>
          <w:rFonts w:ascii="宋体" w:hAnsi="宋体" w:eastAsia="宋体"/>
          <w:b w:val="0"/>
          <w:sz w:val="21"/>
        </w:rPr>
        <w:t>（2）N值（ATR）波动率管理：N值是过去20日真实波幅（True Range）的指数平滑均值，代表市场的平均波动幅度。每单位头寸的大小取决于N值：N值越小（市场越平稳），头寸越大；N值越大（市场越波动），头寸越小。</w:t>
      </w:r>
    </w:p>
    <w:p w14:paraId="708F675D">
      <w:pPr>
        <w:spacing w:before="0" w:after="0" w:line="360" w:lineRule="auto"/>
        <w:ind w:firstLine="420"/>
        <w:jc w:val="both"/>
      </w:pPr>
      <w:r>
        <w:rPr>
          <w:rFonts w:ascii="宋体" w:hAnsi="宋体" w:eastAsia="宋体"/>
          <w:b w:val="0"/>
          <w:sz w:val="21"/>
        </w:rPr>
        <w:t>（3）金字塔加仓：以入场价为基准，价格每上涨0.5N，即加仓一单位，最多加至四单位。这种渐进式加仓方式既能控制初期风险，又能在趋势延续时放大收益。</w:t>
      </w:r>
    </w:p>
    <w:p w14:paraId="3F7D25C2">
      <w:pPr>
        <w:spacing w:before="0" w:after="0" w:line="360" w:lineRule="auto"/>
        <w:ind w:firstLine="420"/>
        <w:jc w:val="both"/>
      </w:pPr>
      <w:r>
        <w:rPr>
          <w:rFonts w:ascii="宋体" w:hAnsi="宋体" w:eastAsia="宋体"/>
          <w:b w:val="0"/>
          <w:sz w:val="21"/>
        </w:rPr>
        <w:t>（4）2N止损机制：每单位的止损线设定在各自的入场价下方2N处，将每笔交易的理论最大亏损锁定在账户总资金的2%以内。</w:t>
      </w:r>
    </w:p>
    <w:p w14:paraId="1592F266">
      <w:pPr>
        <w:spacing w:before="0" w:after="0" w:line="360" w:lineRule="auto"/>
        <w:ind w:firstLine="420"/>
        <w:jc w:val="both"/>
      </w:pPr>
      <w:r>
        <w:rPr>
          <w:rFonts w:ascii="宋体" w:hAnsi="宋体" w:eastAsia="宋体"/>
          <w:b w:val="0"/>
          <w:sz w:val="21"/>
        </w:rPr>
        <w:t>（5）趋势退出系统：当价格跌破过去M日的最低点时，清空全部仓位。S1采用10日低点退出，S2采用20日低点退出。</w:t>
      </w:r>
    </w:p>
    <w:p w14:paraId="6D70DDD3">
      <w:pPr>
        <w:pStyle w:val="3"/>
        <w:spacing w:before="120" w:after="60"/>
      </w:pPr>
      <w:r>
        <w:rPr>
          <w:rFonts w:ascii="宋体" w:hAnsi="宋体" w:eastAsia="宋体"/>
        </w:rPr>
        <w:t>二、兆易创新回测结果分析</w:t>
      </w:r>
    </w:p>
    <w:p w14:paraId="0D3B6891">
      <w:pPr>
        <w:spacing w:before="0" w:after="0" w:line="360" w:lineRule="auto"/>
        <w:ind w:firstLine="420"/>
        <w:jc w:val="both"/>
      </w:pPr>
      <w:r>
        <w:rPr>
          <w:rFonts w:ascii="宋体" w:hAnsi="宋体" w:eastAsia="宋体"/>
          <w:b w:val="0"/>
          <w:sz w:val="21"/>
        </w:rPr>
        <w:t>兆易创新（603986.SH）是一家专注于半导体存储器芯片设计的A股上市公司。在2022年1月至2026年7月的回测期间，该股票经历了从高位回落（2022年初约176元）、深度调整（2022年底约58元）、强劲反弹（2024年突破800元）再到高位回落（2026年约600元）的完整价格周期，为趋势跟踪策略提供了丰富的测试场景。</w:t>
      </w:r>
    </w:p>
    <w:p w14:paraId="137481F5">
      <w:pPr>
        <w:pStyle w:val="4"/>
        <w:spacing w:before="120" w:after="60"/>
      </w:pPr>
      <w:r>
        <w:rPr>
          <w:rFonts w:ascii="宋体" w:hAnsi="宋体" w:eastAsia="宋体"/>
        </w:rPr>
        <w:t>2.1 权益曲线与整体表现</w:t>
      </w:r>
    </w:p>
    <w:p w14:paraId="058B39D8">
      <w:pPr>
        <w:jc w:val="center"/>
      </w:pPr>
      <w:r>
        <w:drawing>
          <wp:inline distT="0" distB="0" distL="114300" distR="114300">
            <wp:extent cx="5039995" cy="249301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2493259"/>
                    </a:xfrm>
                    <a:prstGeom prst="rect">
                      <a:avLst/>
                    </a:prstGeom>
                  </pic:spPr>
                </pic:pic>
              </a:graphicData>
            </a:graphic>
          </wp:inline>
        </w:drawing>
      </w:r>
    </w:p>
    <w:p w14:paraId="0499F6F9">
      <w:pPr>
        <w:spacing w:before="0" w:after="0" w:line="360" w:lineRule="auto"/>
        <w:ind w:firstLine="420"/>
        <w:jc w:val="both"/>
      </w:pPr>
      <w:r>
        <w:rPr>
          <w:rFonts w:ascii="宋体" w:hAnsi="宋体" w:eastAsia="宋体"/>
          <w:b w:val="0"/>
          <w:sz w:val="21"/>
        </w:rPr>
        <w:t>如图1所示，在约4.5年的回测周期内，S1系统表现最为突出：初始资金100万元增长至528.69万元，总收益率高达428.69%，年化收益率46.91%。S2系统最终权益267.32万元，总收益率167.32%，年化收益率25.50%。作为对比，买入持有策略的总收益率为242.94%（从约176元涨至约603元，期间最高触及840元以上）。</w:t>
      </w:r>
    </w:p>
    <w:p w14:paraId="0B35F40C">
      <w:pPr>
        <w:spacing w:before="0" w:after="0" w:line="360" w:lineRule="auto"/>
        <w:ind w:firstLine="420"/>
        <w:jc w:val="both"/>
      </w:pPr>
      <w:r>
        <w:rPr>
          <w:rFonts w:ascii="宋体" w:hAnsi="宋体" w:eastAsia="宋体"/>
          <w:b w:val="0"/>
          <w:sz w:val="21"/>
        </w:rPr>
        <w:t>在风险控制方面，S1系统的最大回撤仅为-18.85%，而S2系统的最大回撤为-25.68%。S1系统在兆易创新上实现了比买入持有更高的收益和更低的风险，夏普比率达到1.36。从权益曲线形态来看，S1呈现典型的"阶梯式上升"特征：在震荡和下跌阶段（如2022年上半年），曲线平缓甚至小幅下跌但跌幅有限；在趋势行情阶段（如2023年底至2024年），曲线陡峭上升，捕捉到主要的趋势收益；在高位震荡阶段（如2025年至2026年），策略及时降低了仓位，曲线再次趋于平稳。相比之下，买入持有曲线虽然最终也有不错的涨幅，但中间经历了大幅波动，持仓心理压力远大于策略交易。</w:t>
      </w:r>
    </w:p>
    <w:p w14:paraId="564F5C23">
      <w:pPr>
        <w:pStyle w:val="4"/>
        <w:spacing w:before="120" w:after="60"/>
      </w:pPr>
      <w:r>
        <w:rPr>
          <w:rFonts w:ascii="宋体" w:hAnsi="宋体" w:eastAsia="宋体"/>
        </w:rPr>
        <w:t>2.2 S1系统交易信号分析</w:t>
      </w:r>
    </w:p>
    <w:p w14:paraId="3B405EBF">
      <w:pPr>
        <w:jc w:val="center"/>
      </w:pPr>
      <w:r>
        <w:drawing>
          <wp:inline distT="0" distB="0" distL="114300" distR="114300">
            <wp:extent cx="5039995" cy="249301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2493259"/>
                    </a:xfrm>
                    <a:prstGeom prst="rect">
                      <a:avLst/>
                    </a:prstGeom>
                  </pic:spPr>
                </pic:pic>
              </a:graphicData>
            </a:graphic>
          </wp:inline>
        </w:drawing>
      </w:r>
    </w:p>
    <w:p w14:paraId="7160F4A6">
      <w:pPr>
        <w:spacing w:before="0" w:after="0" w:line="360" w:lineRule="auto"/>
        <w:ind w:firstLine="420"/>
        <w:jc w:val="both"/>
      </w:pPr>
      <w:r>
        <w:rPr>
          <w:rFonts w:ascii="宋体" w:hAnsi="宋体" w:eastAsia="宋体"/>
          <w:b w:val="0"/>
          <w:sz w:val="21"/>
        </w:rPr>
        <w:t>图2展示了S1系统的价格走势、唐奇安通道（蓝色虚线）以及买卖信号分布。红色三角形标记为买入信号，均出现在价格突破20日通道上轨的时刻，主要集中在2023年底至2024年的主升浪启动点附近，以及2022年的几次反弹行情中，证明了唐奇安通道在捕捉趋势启动点方面的有效性。</w:t>
      </w:r>
    </w:p>
    <w:p w14:paraId="2EAD1391">
      <w:pPr>
        <w:spacing w:before="0" w:after="0" w:line="360" w:lineRule="auto"/>
        <w:ind w:firstLine="420"/>
        <w:jc w:val="both"/>
      </w:pPr>
      <w:r>
        <w:rPr>
          <w:rFonts w:ascii="宋体" w:hAnsi="宋体" w:eastAsia="宋体"/>
          <w:b w:val="0"/>
          <w:sz w:val="21"/>
        </w:rPr>
        <w:t>止损信号（绿色倒三角）仅有12次，占总交易笔数的16.67%，主要发生在2022年上半年市场整体下跌阶段以及价格突破后短期内反转的假突破行情中，单次平均亏损16,376元，体现了2N止损机制的有效控制力。趋势退出信号（绿色叉号）占退出交易的主体（60次，占83.33%），在价格跌破10日通道下轨时触发。虽然退出点相较于价格最高点有一定距离（回吐了部分浮盈），但这是趋势跟踪策略的必然代价——只有让利润回吐一部分，才能确保不会过早退出而错过整段趋势。</w:t>
      </w:r>
    </w:p>
    <w:p w14:paraId="59A6A239">
      <w:pPr>
        <w:pStyle w:val="4"/>
        <w:spacing w:before="120" w:after="60"/>
      </w:pPr>
      <w:r>
        <w:rPr>
          <w:rFonts w:ascii="宋体" w:hAnsi="宋体" w:eastAsia="宋体"/>
        </w:rPr>
        <w:t>2.3 S2系统价格通道分析</w:t>
      </w:r>
    </w:p>
    <w:p w14:paraId="0D8FCFCF">
      <w:pPr>
        <w:jc w:val="center"/>
      </w:pPr>
      <w:r>
        <w:drawing>
          <wp:inline distT="0" distB="0" distL="114300" distR="114300">
            <wp:extent cx="5039995" cy="2493010"/>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493259"/>
                    </a:xfrm>
                    <a:prstGeom prst="rect">
                      <a:avLst/>
                    </a:prstGeom>
                  </pic:spPr>
                </pic:pic>
              </a:graphicData>
            </a:graphic>
          </wp:inline>
        </w:drawing>
      </w:r>
    </w:p>
    <w:p w14:paraId="5BA9A56C">
      <w:pPr>
        <w:spacing w:before="0" w:after="0" w:line="360" w:lineRule="auto"/>
        <w:ind w:firstLine="420"/>
        <w:jc w:val="both"/>
      </w:pPr>
      <w:r>
        <w:rPr>
          <w:rFonts w:ascii="宋体" w:hAnsi="宋体" w:eastAsia="宋体"/>
          <w:b w:val="0"/>
          <w:sz w:val="21"/>
        </w:rPr>
        <w:t>图3展示了S2系统的价格通道与交易信号。S2系统的通道周期更长（55日突破入场/20日退出），通道上下轨之间的距离更宽，交易信号更加稀疏（33笔交易）。S2的买入信号出现在更大级别的突破点，但入场点往往滞后于S1。在兆易创新这只标的上，S2的保守策略并未带来更好的风险调整后收益——其年化收益率（25.50%）和夏普比率（0.83）均低于S1系统。</w:t>
      </w:r>
    </w:p>
    <w:p w14:paraId="4A31A8DD">
      <w:pPr>
        <w:pStyle w:val="4"/>
        <w:spacing w:before="120" w:after="60"/>
      </w:pPr>
      <w:r>
        <w:rPr>
          <w:rFonts w:ascii="宋体" w:hAnsi="宋体" w:eastAsia="宋体"/>
        </w:rPr>
        <w:t>2.4 ATR波动率分析</w:t>
      </w:r>
    </w:p>
    <w:p w14:paraId="0CBC9F17">
      <w:pPr>
        <w:jc w:val="center"/>
      </w:pPr>
      <w:r>
        <w:drawing>
          <wp:inline distT="0" distB="0" distL="114300" distR="114300">
            <wp:extent cx="5039995" cy="22383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2238585"/>
                    </a:xfrm>
                    <a:prstGeom prst="rect">
                      <a:avLst/>
                    </a:prstGeom>
                  </pic:spPr>
                </pic:pic>
              </a:graphicData>
            </a:graphic>
          </wp:inline>
        </w:drawing>
      </w:r>
    </w:p>
    <w:p w14:paraId="208AD8B2">
      <w:pPr>
        <w:spacing w:before="0" w:after="0" w:line="360" w:lineRule="auto"/>
        <w:ind w:firstLine="420"/>
        <w:jc w:val="both"/>
      </w:pPr>
      <w:r>
        <w:rPr>
          <w:rFonts w:ascii="宋体" w:hAnsi="宋体" w:eastAsia="宋体"/>
          <w:b w:val="0"/>
          <w:sz w:val="21"/>
        </w:rPr>
        <w:t>图4展示了兆易创新的True Range（TR）和Wilder ATR（N值）走势。ATR是海龟策略仓位管理的核心变量——它直接决定了每单位头寸的大小。从图中可以看出三个显著特征：</w:t>
      </w:r>
    </w:p>
    <w:p w14:paraId="65765A8E">
      <w:pPr>
        <w:spacing w:before="0" w:after="0" w:line="360" w:lineRule="auto"/>
        <w:ind w:firstLine="420"/>
        <w:jc w:val="both"/>
      </w:pPr>
      <w:r>
        <w:rPr>
          <w:rFonts w:ascii="宋体" w:hAnsi="宋体" w:eastAsia="宋体"/>
          <w:b w:val="0"/>
          <w:sz w:val="21"/>
        </w:rPr>
        <w:t>第一，兆易创新的ATR呈现清晰的周期性变化：2022年初期约8元，随后随价格下跌而减小，2023年最低降至约2元；2024年随价格上涨急剧攀升至约50元；2025年后在高位维持。这种波动率的扩张—收缩—再扩张的循环模式与中国半导体行业的周期波动高度相关。</w:t>
      </w:r>
    </w:p>
    <w:p w14:paraId="7BBEDA16">
      <w:pPr>
        <w:spacing w:before="0" w:after="0" w:line="360" w:lineRule="auto"/>
        <w:ind w:firstLine="420"/>
        <w:jc w:val="both"/>
      </w:pPr>
      <w:r>
        <w:rPr>
          <w:rFonts w:ascii="宋体" w:hAnsi="宋体" w:eastAsia="宋体"/>
          <w:b w:val="0"/>
          <w:sz w:val="21"/>
        </w:rPr>
        <w:t>第二，ATR均值约16元。当ATR低于均值时（市场低波动），每单位头寸规模自动增大，策略在低波动期积极建仓；当ATR高于均值时（市场高波动），每单位头寸自动减小，控制了高位追涨的风险敞口。这种"低波动率加仓、高波动率减仓"的自动调节机制是海龟策略的核心风控设计。</w:t>
      </w:r>
    </w:p>
    <w:p w14:paraId="7159FC03">
      <w:pPr>
        <w:spacing w:before="0" w:after="0" w:line="360" w:lineRule="auto"/>
        <w:ind w:firstLine="420"/>
        <w:jc w:val="both"/>
      </w:pPr>
      <w:r>
        <w:rPr>
          <w:rFonts w:ascii="宋体" w:hAnsi="宋体" w:eastAsia="宋体"/>
          <w:b w:val="0"/>
          <w:sz w:val="21"/>
        </w:rPr>
        <w:t>第三，从TR的分布可以看出，在2022年和2024—2025年期间出现了一些超高TR值的异常交易日（单日波幅超过100元），通常与财报发布或重大消息相关。2N止损机制在这类极端行情中为策略提供了最后一道防线。</w:t>
      </w:r>
    </w:p>
    <w:p w14:paraId="714D49F7">
      <w:pPr>
        <w:pStyle w:val="4"/>
        <w:spacing w:before="120" w:after="60"/>
      </w:pPr>
      <w:r>
        <w:rPr>
          <w:rFonts w:ascii="宋体" w:hAnsi="宋体" w:eastAsia="宋体"/>
        </w:rPr>
        <w:t>2.5 持仓单位变化分析</w:t>
      </w:r>
    </w:p>
    <w:p w14:paraId="11255B86">
      <w:pPr>
        <w:jc w:val="center"/>
      </w:pPr>
      <w:r>
        <w:drawing>
          <wp:inline distT="0" distB="0" distL="114300" distR="114300">
            <wp:extent cx="5039995" cy="1731645"/>
            <wp:effectExtent l="0" t="0" r="825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1731784"/>
                    </a:xfrm>
                    <a:prstGeom prst="rect">
                      <a:avLst/>
                    </a:prstGeom>
                  </pic:spPr>
                </pic:pic>
              </a:graphicData>
            </a:graphic>
          </wp:inline>
        </w:drawing>
      </w:r>
    </w:p>
    <w:p w14:paraId="24D18186">
      <w:pPr>
        <w:spacing w:before="0" w:after="0" w:line="360" w:lineRule="auto"/>
        <w:ind w:firstLine="420"/>
        <w:jc w:val="both"/>
      </w:pPr>
      <w:r>
        <w:rPr>
          <w:rFonts w:ascii="宋体" w:hAnsi="宋体" w:eastAsia="宋体"/>
          <w:b w:val="0"/>
          <w:sz w:val="21"/>
        </w:rPr>
        <w:t>图5展示了S1系统每日活跃的持仓单位数量变化。在2023年底至2024年的主升浪中，系统多次成功加仓至满仓（4单位），充分参与了趋势行情。而在2022年的震荡市场和2025年的高位震荡中，持仓主要在0至2单位之间波动。全周期平均持仓单位数仅0.81，说明大部分时间策略以轻仓状态运行。"趋势强时重仓、趋势弱时轻仓"的自动调节使策略的资金利用率高度匹配市场状态。</w:t>
      </w:r>
    </w:p>
    <w:p w14:paraId="13E2365B">
      <w:pPr>
        <w:jc w:val="center"/>
      </w:pPr>
      <w:r>
        <w:drawing>
          <wp:inline distT="0" distB="0" distL="114300" distR="114300">
            <wp:extent cx="5039995" cy="1731645"/>
            <wp:effectExtent l="0" t="0" r="825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1731784"/>
                    </a:xfrm>
                    <a:prstGeom prst="rect">
                      <a:avLst/>
                    </a:prstGeom>
                  </pic:spPr>
                </pic:pic>
              </a:graphicData>
            </a:graphic>
          </wp:inline>
        </w:drawing>
      </w:r>
    </w:p>
    <w:p w14:paraId="3B009EA3">
      <w:pPr>
        <w:spacing w:before="0" w:after="0" w:line="360" w:lineRule="auto"/>
        <w:ind w:firstLine="420"/>
        <w:jc w:val="both"/>
      </w:pPr>
      <w:r>
        <w:rPr>
          <w:rFonts w:ascii="宋体" w:hAnsi="宋体" w:eastAsia="宋体"/>
          <w:b w:val="0"/>
          <w:sz w:val="21"/>
        </w:rPr>
        <w:t>图6展示了S2系统的持仓单位变化。S2加仓更谨慎，平均持仓单位0.65，低于S1的0.81。</w:t>
      </w:r>
    </w:p>
    <w:p w14:paraId="5B48E0CE">
      <w:pPr>
        <w:pStyle w:val="4"/>
        <w:spacing w:before="120" w:after="60"/>
      </w:pPr>
      <w:r>
        <w:rPr>
          <w:rFonts w:ascii="宋体" w:hAnsi="宋体" w:eastAsia="宋体"/>
        </w:rPr>
        <w:t>2.6 盈亏分布分析</w:t>
      </w:r>
    </w:p>
    <w:p w14:paraId="61FA2D1D">
      <w:pPr>
        <w:jc w:val="center"/>
      </w:pPr>
      <w:r>
        <w:drawing>
          <wp:inline distT="0" distB="0" distL="114300" distR="114300">
            <wp:extent cx="5039995" cy="1985010"/>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1985455"/>
                    </a:xfrm>
                    <a:prstGeom prst="rect">
                      <a:avLst/>
                    </a:prstGeom>
                  </pic:spPr>
                </pic:pic>
              </a:graphicData>
            </a:graphic>
          </wp:inline>
        </w:drawing>
      </w:r>
    </w:p>
    <w:p w14:paraId="01F76F39">
      <w:pPr>
        <w:spacing w:before="0" w:after="0" w:line="360" w:lineRule="auto"/>
        <w:ind w:firstLine="420"/>
        <w:jc w:val="both"/>
      </w:pPr>
      <w:r>
        <w:rPr>
          <w:rFonts w:ascii="宋体" w:hAnsi="宋体" w:eastAsia="宋体"/>
          <w:b w:val="0"/>
          <w:sz w:val="21"/>
        </w:rPr>
        <w:t>图7以柱状图展示了S1系统每笔交易的盈亏分布。红色柱子为盈利交易，绿色柱子为亏损交易，直观展现了海龟策略"小亏大赚"的盈亏不对称特征。盈利合计约428万元，亏损合计约40万元，盈利因子高达10.70。72笔交易中有45笔盈利（胜率62.5%），平均盈利105,090元；27笔亏损，平均亏损16,376元，盈亏比约为6.42。这种极不对称的风险回报结构是趋势跟踪策略能够长期盈利的根本原因。</w:t>
      </w:r>
    </w:p>
    <w:p w14:paraId="6D8C3C2A">
      <w:pPr>
        <w:spacing w:before="120" w:after="40" w:line="360" w:lineRule="auto"/>
        <w:jc w:val="center"/>
      </w:pPr>
      <w:r>
        <w:rPr>
          <w:rFonts w:ascii="宋体" w:hAnsi="宋体" w:eastAsia="宋体"/>
          <w:b/>
          <w:sz w:val="18"/>
        </w:rPr>
        <w:t>表1  S1与S2系统绩效对比</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3CC743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4389F667">
            <w:pPr>
              <w:rPr>
                <w:color w:val="376092" w:themeColor="accent1" w:themeShade="BF"/>
              </w:rPr>
            </w:pPr>
            <w:r>
              <w:rPr>
                <w:color w:val="376092" w:themeColor="accent1" w:themeShade="BF"/>
              </w:rPr>
              <w:t>指标</w:t>
            </w:r>
          </w:p>
        </w:tc>
        <w:tc>
          <w:tcPr>
            <w:tcW w:w="2880" w:type="dxa"/>
          </w:tcPr>
          <w:p w14:paraId="26754E94">
            <w:pPr>
              <w:rPr>
                <w:color w:val="376092" w:themeColor="accent1" w:themeShade="BF"/>
              </w:rPr>
            </w:pPr>
            <w:r>
              <w:rPr>
                <w:color w:val="376092" w:themeColor="accent1" w:themeShade="BF"/>
              </w:rPr>
              <w:t>S1（20×10）</w:t>
            </w:r>
          </w:p>
        </w:tc>
        <w:tc>
          <w:tcPr>
            <w:tcW w:w="2880" w:type="dxa"/>
          </w:tcPr>
          <w:p w14:paraId="0AFE764C">
            <w:pPr>
              <w:rPr>
                <w:color w:val="376092" w:themeColor="accent1" w:themeShade="BF"/>
              </w:rPr>
            </w:pPr>
            <w:r>
              <w:rPr>
                <w:color w:val="376092" w:themeColor="accent1" w:themeShade="BF"/>
              </w:rPr>
              <w:t>S2（55×20）</w:t>
            </w:r>
          </w:p>
        </w:tc>
      </w:tr>
      <w:tr w14:paraId="22D658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61C16F04">
            <w:pPr>
              <w:rPr>
                <w:color w:val="376092" w:themeColor="accent1" w:themeShade="BF"/>
              </w:rPr>
            </w:pPr>
            <w:r>
              <w:rPr>
                <w:color w:val="376092" w:themeColor="accent1" w:themeShade="BF"/>
              </w:rPr>
              <w:t>总收益率（%）</w:t>
            </w:r>
          </w:p>
        </w:tc>
        <w:tc>
          <w:tcPr>
            <w:tcW w:w="2880" w:type="dxa"/>
          </w:tcPr>
          <w:p w14:paraId="0C6B12EA">
            <w:pPr>
              <w:rPr>
                <w:color w:val="376092" w:themeColor="accent1" w:themeShade="BF"/>
              </w:rPr>
            </w:pPr>
            <w:r>
              <w:rPr>
                <w:color w:val="376092" w:themeColor="accent1" w:themeShade="BF"/>
              </w:rPr>
              <w:t>428.69</w:t>
            </w:r>
          </w:p>
        </w:tc>
        <w:tc>
          <w:tcPr>
            <w:tcW w:w="2880" w:type="dxa"/>
          </w:tcPr>
          <w:p w14:paraId="04DF4888">
            <w:pPr>
              <w:rPr>
                <w:color w:val="376092" w:themeColor="accent1" w:themeShade="BF"/>
              </w:rPr>
            </w:pPr>
            <w:r>
              <w:rPr>
                <w:color w:val="376092" w:themeColor="accent1" w:themeShade="BF"/>
              </w:rPr>
              <w:t>167.32</w:t>
            </w:r>
          </w:p>
        </w:tc>
      </w:tr>
      <w:tr w14:paraId="619725F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1A77839A">
            <w:pPr>
              <w:rPr>
                <w:color w:val="376092" w:themeColor="accent1" w:themeShade="BF"/>
              </w:rPr>
            </w:pPr>
            <w:r>
              <w:rPr>
                <w:color w:val="376092" w:themeColor="accent1" w:themeShade="BF"/>
              </w:rPr>
              <w:t>年化收益率（%）</w:t>
            </w:r>
          </w:p>
        </w:tc>
        <w:tc>
          <w:tcPr>
            <w:tcW w:w="2880" w:type="dxa"/>
          </w:tcPr>
          <w:p w14:paraId="2D4956F6">
            <w:pPr>
              <w:rPr>
                <w:color w:val="376092" w:themeColor="accent1" w:themeShade="BF"/>
              </w:rPr>
            </w:pPr>
            <w:r>
              <w:rPr>
                <w:color w:val="376092" w:themeColor="accent1" w:themeShade="BF"/>
              </w:rPr>
              <w:t>46.91</w:t>
            </w:r>
          </w:p>
        </w:tc>
        <w:tc>
          <w:tcPr>
            <w:tcW w:w="2880" w:type="dxa"/>
          </w:tcPr>
          <w:p w14:paraId="5A9315AD">
            <w:pPr>
              <w:rPr>
                <w:color w:val="376092" w:themeColor="accent1" w:themeShade="BF"/>
              </w:rPr>
            </w:pPr>
            <w:r>
              <w:rPr>
                <w:color w:val="376092" w:themeColor="accent1" w:themeShade="BF"/>
              </w:rPr>
              <w:t>25.50</w:t>
            </w:r>
          </w:p>
        </w:tc>
      </w:tr>
      <w:tr w14:paraId="4FAA273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225A2C1A">
            <w:pPr>
              <w:rPr>
                <w:color w:val="376092" w:themeColor="accent1" w:themeShade="BF"/>
              </w:rPr>
            </w:pPr>
            <w:r>
              <w:rPr>
                <w:color w:val="376092" w:themeColor="accent1" w:themeShade="BF"/>
              </w:rPr>
              <w:t>最大回撤（%）</w:t>
            </w:r>
          </w:p>
        </w:tc>
        <w:tc>
          <w:tcPr>
            <w:tcW w:w="2880" w:type="dxa"/>
          </w:tcPr>
          <w:p w14:paraId="3CE449D3">
            <w:pPr>
              <w:rPr>
                <w:color w:val="376092" w:themeColor="accent1" w:themeShade="BF"/>
              </w:rPr>
            </w:pPr>
            <w:r>
              <w:rPr>
                <w:color w:val="376092" w:themeColor="accent1" w:themeShade="BF"/>
              </w:rPr>
              <w:t>-18.85</w:t>
            </w:r>
          </w:p>
        </w:tc>
        <w:tc>
          <w:tcPr>
            <w:tcW w:w="2880" w:type="dxa"/>
          </w:tcPr>
          <w:p w14:paraId="2437B47B">
            <w:pPr>
              <w:rPr>
                <w:color w:val="376092" w:themeColor="accent1" w:themeShade="BF"/>
              </w:rPr>
            </w:pPr>
            <w:r>
              <w:rPr>
                <w:color w:val="376092" w:themeColor="accent1" w:themeShade="BF"/>
              </w:rPr>
              <w:t>-25.68</w:t>
            </w:r>
          </w:p>
        </w:tc>
      </w:tr>
      <w:tr w14:paraId="202132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2E363F7A">
            <w:pPr>
              <w:rPr>
                <w:color w:val="376092" w:themeColor="accent1" w:themeShade="BF"/>
              </w:rPr>
            </w:pPr>
            <w:r>
              <w:rPr>
                <w:color w:val="376092" w:themeColor="accent1" w:themeShade="BF"/>
              </w:rPr>
              <w:t>夏普比率</w:t>
            </w:r>
          </w:p>
        </w:tc>
        <w:tc>
          <w:tcPr>
            <w:tcW w:w="2880" w:type="dxa"/>
          </w:tcPr>
          <w:p w14:paraId="616D19C7">
            <w:pPr>
              <w:rPr>
                <w:color w:val="376092" w:themeColor="accent1" w:themeShade="BF"/>
              </w:rPr>
            </w:pPr>
            <w:r>
              <w:rPr>
                <w:color w:val="376092" w:themeColor="accent1" w:themeShade="BF"/>
              </w:rPr>
              <w:t>1.36</w:t>
            </w:r>
          </w:p>
        </w:tc>
        <w:tc>
          <w:tcPr>
            <w:tcW w:w="2880" w:type="dxa"/>
          </w:tcPr>
          <w:p w14:paraId="405C7129">
            <w:pPr>
              <w:rPr>
                <w:color w:val="376092" w:themeColor="accent1" w:themeShade="BF"/>
              </w:rPr>
            </w:pPr>
            <w:r>
              <w:rPr>
                <w:color w:val="376092" w:themeColor="accent1" w:themeShade="BF"/>
              </w:rPr>
              <w:t>0.83</w:t>
            </w:r>
          </w:p>
        </w:tc>
      </w:tr>
      <w:tr w14:paraId="689A628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6304E8DB">
            <w:pPr>
              <w:rPr>
                <w:color w:val="376092" w:themeColor="accent1" w:themeShade="BF"/>
              </w:rPr>
            </w:pPr>
            <w:r>
              <w:rPr>
                <w:color w:val="376092" w:themeColor="accent1" w:themeShade="BF"/>
              </w:rPr>
              <w:t>胜率（%）</w:t>
            </w:r>
          </w:p>
        </w:tc>
        <w:tc>
          <w:tcPr>
            <w:tcW w:w="2880" w:type="dxa"/>
          </w:tcPr>
          <w:p w14:paraId="6AF3817D">
            <w:pPr>
              <w:rPr>
                <w:color w:val="376092" w:themeColor="accent1" w:themeShade="BF"/>
              </w:rPr>
            </w:pPr>
            <w:r>
              <w:rPr>
                <w:color w:val="376092" w:themeColor="accent1" w:themeShade="BF"/>
              </w:rPr>
              <w:t>62.50</w:t>
            </w:r>
          </w:p>
        </w:tc>
        <w:tc>
          <w:tcPr>
            <w:tcW w:w="2880" w:type="dxa"/>
          </w:tcPr>
          <w:p w14:paraId="59D2822B">
            <w:pPr>
              <w:rPr>
                <w:color w:val="376092" w:themeColor="accent1" w:themeShade="BF"/>
              </w:rPr>
            </w:pPr>
            <w:r>
              <w:rPr>
                <w:color w:val="376092" w:themeColor="accent1" w:themeShade="BF"/>
              </w:rPr>
              <w:t>54.55</w:t>
            </w:r>
          </w:p>
        </w:tc>
      </w:tr>
      <w:tr w14:paraId="04B3A46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7AF68070">
            <w:pPr>
              <w:rPr>
                <w:color w:val="376092" w:themeColor="accent1" w:themeShade="BF"/>
              </w:rPr>
            </w:pPr>
            <w:r>
              <w:rPr>
                <w:color w:val="376092" w:themeColor="accent1" w:themeShade="BF"/>
              </w:rPr>
              <w:t>交易总笔数</w:t>
            </w:r>
          </w:p>
        </w:tc>
        <w:tc>
          <w:tcPr>
            <w:tcW w:w="2880" w:type="dxa"/>
          </w:tcPr>
          <w:p w14:paraId="2B7173A6">
            <w:pPr>
              <w:rPr>
                <w:color w:val="376092" w:themeColor="accent1" w:themeShade="BF"/>
              </w:rPr>
            </w:pPr>
            <w:r>
              <w:rPr>
                <w:color w:val="376092" w:themeColor="accent1" w:themeShade="BF"/>
              </w:rPr>
              <w:t>72</w:t>
            </w:r>
          </w:p>
        </w:tc>
        <w:tc>
          <w:tcPr>
            <w:tcW w:w="2880" w:type="dxa"/>
          </w:tcPr>
          <w:p w14:paraId="2D61C1DF">
            <w:pPr>
              <w:rPr>
                <w:color w:val="376092" w:themeColor="accent1" w:themeShade="BF"/>
              </w:rPr>
            </w:pPr>
            <w:r>
              <w:rPr>
                <w:color w:val="376092" w:themeColor="accent1" w:themeShade="BF"/>
              </w:rPr>
              <w:t>33</w:t>
            </w:r>
          </w:p>
        </w:tc>
      </w:tr>
      <w:tr w14:paraId="094DAF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46119F7B">
            <w:pPr>
              <w:rPr>
                <w:color w:val="376092" w:themeColor="accent1" w:themeShade="BF"/>
              </w:rPr>
            </w:pPr>
            <w:r>
              <w:rPr>
                <w:color w:val="376092" w:themeColor="accent1" w:themeShade="BF"/>
              </w:rPr>
              <w:t>止损次数</w:t>
            </w:r>
          </w:p>
        </w:tc>
        <w:tc>
          <w:tcPr>
            <w:tcW w:w="2880" w:type="dxa"/>
          </w:tcPr>
          <w:p w14:paraId="4526F091">
            <w:pPr>
              <w:rPr>
                <w:color w:val="376092" w:themeColor="accent1" w:themeShade="BF"/>
              </w:rPr>
            </w:pPr>
            <w:r>
              <w:rPr>
                <w:color w:val="376092" w:themeColor="accent1" w:themeShade="BF"/>
              </w:rPr>
              <w:t>12</w:t>
            </w:r>
          </w:p>
        </w:tc>
        <w:tc>
          <w:tcPr>
            <w:tcW w:w="2880" w:type="dxa"/>
          </w:tcPr>
          <w:p w14:paraId="08FA9C81">
            <w:pPr>
              <w:rPr>
                <w:color w:val="376092" w:themeColor="accent1" w:themeShade="BF"/>
              </w:rPr>
            </w:pPr>
            <w:r>
              <w:rPr>
                <w:color w:val="376092" w:themeColor="accent1" w:themeShade="BF"/>
              </w:rPr>
              <w:t>12</w:t>
            </w:r>
          </w:p>
        </w:tc>
      </w:tr>
      <w:tr w14:paraId="164214D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71B2738C">
            <w:pPr>
              <w:rPr>
                <w:color w:val="376092" w:themeColor="accent1" w:themeShade="BF"/>
              </w:rPr>
            </w:pPr>
            <w:r>
              <w:rPr>
                <w:color w:val="376092" w:themeColor="accent1" w:themeShade="BF"/>
              </w:rPr>
              <w:t>趋势退出次数</w:t>
            </w:r>
          </w:p>
        </w:tc>
        <w:tc>
          <w:tcPr>
            <w:tcW w:w="2880" w:type="dxa"/>
          </w:tcPr>
          <w:p w14:paraId="77ABDF64">
            <w:pPr>
              <w:rPr>
                <w:color w:val="376092" w:themeColor="accent1" w:themeShade="BF"/>
              </w:rPr>
            </w:pPr>
            <w:r>
              <w:rPr>
                <w:color w:val="376092" w:themeColor="accent1" w:themeShade="BF"/>
              </w:rPr>
              <w:t>60</w:t>
            </w:r>
          </w:p>
        </w:tc>
        <w:tc>
          <w:tcPr>
            <w:tcW w:w="2880" w:type="dxa"/>
          </w:tcPr>
          <w:p w14:paraId="4F355DE5">
            <w:pPr>
              <w:rPr>
                <w:color w:val="376092" w:themeColor="accent1" w:themeShade="BF"/>
              </w:rPr>
            </w:pPr>
            <w:r>
              <w:rPr>
                <w:color w:val="376092" w:themeColor="accent1" w:themeShade="BF"/>
              </w:rPr>
              <w:t>17</w:t>
            </w:r>
          </w:p>
        </w:tc>
      </w:tr>
      <w:tr w14:paraId="37932CA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79EF7762">
            <w:pPr>
              <w:rPr>
                <w:color w:val="376092" w:themeColor="accent1" w:themeShade="BF"/>
              </w:rPr>
            </w:pPr>
            <w:r>
              <w:rPr>
                <w:color w:val="376092" w:themeColor="accent1" w:themeShade="BF"/>
              </w:rPr>
              <w:t>盈利因子</w:t>
            </w:r>
          </w:p>
        </w:tc>
        <w:tc>
          <w:tcPr>
            <w:tcW w:w="2880" w:type="dxa"/>
          </w:tcPr>
          <w:p w14:paraId="33A1D3E4">
            <w:pPr>
              <w:rPr>
                <w:color w:val="376092" w:themeColor="accent1" w:themeShade="BF"/>
              </w:rPr>
            </w:pPr>
            <w:r>
              <w:rPr>
                <w:color w:val="376092" w:themeColor="accent1" w:themeShade="BF"/>
              </w:rPr>
              <w:t>10.70</w:t>
            </w:r>
          </w:p>
        </w:tc>
        <w:tc>
          <w:tcPr>
            <w:tcW w:w="2880" w:type="dxa"/>
          </w:tcPr>
          <w:p w14:paraId="1C98C460">
            <w:pPr>
              <w:rPr>
                <w:color w:val="376092" w:themeColor="accent1" w:themeShade="BF"/>
              </w:rPr>
            </w:pPr>
            <w:r>
              <w:rPr>
                <w:color w:val="376092" w:themeColor="accent1" w:themeShade="BF"/>
              </w:rPr>
              <w:t>9.02</w:t>
            </w:r>
          </w:p>
        </w:tc>
      </w:tr>
      <w:tr w14:paraId="37AABD2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2B0921FC">
            <w:pPr>
              <w:rPr>
                <w:color w:val="376092" w:themeColor="accent1" w:themeShade="BF"/>
              </w:rPr>
            </w:pPr>
            <w:r>
              <w:rPr>
                <w:color w:val="376092" w:themeColor="accent1" w:themeShade="BF"/>
              </w:rPr>
              <w:t>平均盈利（元）</w:t>
            </w:r>
          </w:p>
        </w:tc>
        <w:tc>
          <w:tcPr>
            <w:tcW w:w="2880" w:type="dxa"/>
          </w:tcPr>
          <w:p w14:paraId="5F79BBD1">
            <w:pPr>
              <w:rPr>
                <w:color w:val="376092" w:themeColor="accent1" w:themeShade="BF"/>
              </w:rPr>
            </w:pPr>
            <w:r>
              <w:rPr>
                <w:color w:val="376092" w:themeColor="accent1" w:themeShade="BF"/>
              </w:rPr>
              <w:t>+105,090</w:t>
            </w:r>
          </w:p>
        </w:tc>
        <w:tc>
          <w:tcPr>
            <w:tcW w:w="2880" w:type="dxa"/>
          </w:tcPr>
          <w:p w14:paraId="5AF8CF3E">
            <w:pPr>
              <w:rPr>
                <w:color w:val="376092" w:themeColor="accent1" w:themeShade="BF"/>
              </w:rPr>
            </w:pPr>
            <w:r>
              <w:rPr>
                <w:color w:val="376092" w:themeColor="accent1" w:themeShade="BF"/>
              </w:rPr>
              <w:t>+104,352</w:t>
            </w:r>
          </w:p>
        </w:tc>
      </w:tr>
      <w:tr w14:paraId="1B4E165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17731D24">
            <w:pPr>
              <w:rPr>
                <w:color w:val="376092" w:themeColor="accent1" w:themeShade="BF"/>
              </w:rPr>
            </w:pPr>
            <w:r>
              <w:rPr>
                <w:color w:val="376092" w:themeColor="accent1" w:themeShade="BF"/>
              </w:rPr>
              <w:t>平均亏损（元）</w:t>
            </w:r>
          </w:p>
        </w:tc>
        <w:tc>
          <w:tcPr>
            <w:tcW w:w="2880" w:type="dxa"/>
          </w:tcPr>
          <w:p w14:paraId="52902BAB">
            <w:pPr>
              <w:rPr>
                <w:color w:val="376092" w:themeColor="accent1" w:themeShade="BF"/>
              </w:rPr>
            </w:pPr>
            <w:r>
              <w:rPr>
                <w:color w:val="376092" w:themeColor="accent1" w:themeShade="BF"/>
              </w:rPr>
              <w:t>-16,376</w:t>
            </w:r>
          </w:p>
        </w:tc>
        <w:tc>
          <w:tcPr>
            <w:tcW w:w="2880" w:type="dxa"/>
          </w:tcPr>
          <w:p w14:paraId="2C279B3E">
            <w:pPr>
              <w:rPr>
                <w:color w:val="376092" w:themeColor="accent1" w:themeShade="BF"/>
              </w:rPr>
            </w:pPr>
            <w:r>
              <w:rPr>
                <w:color w:val="376092" w:themeColor="accent1" w:themeShade="BF"/>
              </w:rPr>
              <w:t>-13,879</w:t>
            </w:r>
          </w:p>
        </w:tc>
      </w:tr>
    </w:tbl>
    <w:p w14:paraId="1253766B">
      <w:pPr>
        <w:spacing w:before="0" w:after="0" w:line="360" w:lineRule="auto"/>
        <w:ind w:firstLine="420"/>
        <w:jc w:val="both"/>
        <w:rPr>
          <w:rFonts w:ascii="宋体" w:hAnsi="宋体" w:eastAsia="宋体"/>
          <w:b w:val="0"/>
          <w:sz w:val="21"/>
        </w:rPr>
      </w:pPr>
    </w:p>
    <w:p w14:paraId="30FC542F">
      <w:pPr>
        <w:spacing w:before="0" w:after="0" w:line="360" w:lineRule="auto"/>
        <w:ind w:firstLine="420"/>
        <w:jc w:val="both"/>
      </w:pPr>
      <w:r>
        <w:rPr>
          <w:rFonts w:ascii="宋体" w:hAnsi="宋体" w:eastAsia="宋体"/>
          <w:b w:val="0"/>
          <w:sz w:val="21"/>
        </w:rPr>
        <w:t>表1全面对比了S1和S2两套系统的绩效指标。S1系统在年化收益率（46.91%对25.50%）、夏普比率（1.36对0.83）、最大回撤（-18.85%对-25.68%）、胜率（62.50%对54.55%）等全部关键指标上均优于S2系统。S1系统的盈利因子高达10.70，意味着每亏损1元能盈利10.70元。止损次数12次，占总交易笔数的16.67%，远低于趋势退出次数（60次，占83.33%），说明大部分仓位是通过趋势反转自然退出的。</w:t>
      </w:r>
    </w:p>
    <w:p w14:paraId="784AB717">
      <w:pPr>
        <w:pStyle w:val="3"/>
        <w:spacing w:before="120" w:after="60"/>
      </w:pPr>
      <w:r>
        <w:rPr>
          <w:rFonts w:ascii="宋体" w:hAnsi="宋体" w:eastAsia="宋体"/>
        </w:rPr>
        <w:t>三、多股票横向对比分析</w:t>
      </w:r>
    </w:p>
    <w:p w14:paraId="65C31576">
      <w:pPr>
        <w:jc w:val="center"/>
      </w:pPr>
      <w:r>
        <w:drawing>
          <wp:inline distT="0" distB="0" distL="114300" distR="114300">
            <wp:extent cx="5039995" cy="4138295"/>
            <wp:effectExtent l="0" t="0" r="825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40000" cy="4138454"/>
                    </a:xfrm>
                    <a:prstGeom prst="rect">
                      <a:avLst/>
                    </a:prstGeom>
                  </pic:spPr>
                </pic:pic>
              </a:graphicData>
            </a:graphic>
          </wp:inline>
        </w:drawing>
      </w:r>
    </w:p>
    <w:p w14:paraId="397DD216">
      <w:pPr>
        <w:spacing w:before="120" w:after="40" w:line="360" w:lineRule="auto"/>
        <w:jc w:val="center"/>
      </w:pPr>
      <w:r>
        <w:rPr>
          <w:rFonts w:ascii="宋体" w:hAnsi="宋体" w:eastAsia="宋体"/>
          <w:b/>
          <w:sz w:val="18"/>
        </w:rPr>
        <w:t>表2  各股票海龟策略回测结果汇总（每行一只股票，含S1和S2双系统数据）</w:t>
      </w:r>
    </w:p>
    <w:tbl>
      <w:tblPr>
        <w:tblStyle w:val="35"/>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981"/>
        <w:gridCol w:w="785"/>
        <w:gridCol w:w="785"/>
        <w:gridCol w:w="785"/>
        <w:gridCol w:w="785"/>
        <w:gridCol w:w="785"/>
        <w:gridCol w:w="785"/>
        <w:gridCol w:w="785"/>
        <w:gridCol w:w="785"/>
        <w:gridCol w:w="785"/>
      </w:tblGrid>
      <w:tr w14:paraId="3B52D09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7E66508F">
            <w:pPr>
              <w:rPr>
                <w:color w:val="376092" w:themeColor="accent1" w:themeShade="BF"/>
                <w:sz w:val="18"/>
                <w:szCs w:val="18"/>
              </w:rPr>
            </w:pPr>
            <w:r>
              <w:rPr>
                <w:color w:val="376092" w:themeColor="accent1" w:themeShade="BF"/>
                <w:sz w:val="18"/>
                <w:szCs w:val="18"/>
              </w:rPr>
              <w:t>股票</w:t>
            </w:r>
          </w:p>
        </w:tc>
        <w:tc>
          <w:tcPr>
            <w:tcW w:w="981" w:type="dxa"/>
          </w:tcPr>
          <w:p w14:paraId="1AB87D66">
            <w:pPr>
              <w:rPr>
                <w:color w:val="376092" w:themeColor="accent1" w:themeShade="BF"/>
                <w:sz w:val="18"/>
                <w:szCs w:val="18"/>
              </w:rPr>
            </w:pPr>
            <w:r>
              <w:rPr>
                <w:color w:val="376092" w:themeColor="accent1" w:themeShade="BF"/>
                <w:sz w:val="18"/>
                <w:szCs w:val="18"/>
              </w:rPr>
              <w:t>买入持有%</w:t>
            </w:r>
          </w:p>
        </w:tc>
        <w:tc>
          <w:tcPr>
            <w:tcW w:w="785" w:type="dxa"/>
          </w:tcPr>
          <w:p w14:paraId="527A791F">
            <w:pPr>
              <w:rPr>
                <w:color w:val="376092" w:themeColor="accent1" w:themeShade="BF"/>
                <w:sz w:val="18"/>
                <w:szCs w:val="18"/>
              </w:rPr>
            </w:pPr>
            <w:r>
              <w:rPr>
                <w:color w:val="376092" w:themeColor="accent1" w:themeShade="BF"/>
                <w:sz w:val="18"/>
                <w:szCs w:val="18"/>
              </w:rPr>
              <w:t>S1年化%</w:t>
            </w:r>
          </w:p>
        </w:tc>
        <w:tc>
          <w:tcPr>
            <w:tcW w:w="785" w:type="dxa"/>
          </w:tcPr>
          <w:p w14:paraId="66B90008">
            <w:pPr>
              <w:rPr>
                <w:color w:val="376092" w:themeColor="accent1" w:themeShade="BF"/>
                <w:sz w:val="18"/>
                <w:szCs w:val="18"/>
              </w:rPr>
            </w:pPr>
            <w:r>
              <w:rPr>
                <w:color w:val="376092" w:themeColor="accent1" w:themeShade="BF"/>
                <w:sz w:val="18"/>
                <w:szCs w:val="18"/>
              </w:rPr>
              <w:t>S1夏普</w:t>
            </w:r>
          </w:p>
        </w:tc>
        <w:tc>
          <w:tcPr>
            <w:tcW w:w="785" w:type="dxa"/>
          </w:tcPr>
          <w:p w14:paraId="0D49F7D3">
            <w:pPr>
              <w:rPr>
                <w:color w:val="376092" w:themeColor="accent1" w:themeShade="BF"/>
                <w:sz w:val="18"/>
                <w:szCs w:val="18"/>
              </w:rPr>
            </w:pPr>
            <w:r>
              <w:rPr>
                <w:color w:val="376092" w:themeColor="accent1" w:themeShade="BF"/>
                <w:sz w:val="18"/>
                <w:szCs w:val="18"/>
              </w:rPr>
              <w:t>S1回撤%</w:t>
            </w:r>
          </w:p>
        </w:tc>
        <w:tc>
          <w:tcPr>
            <w:tcW w:w="785" w:type="dxa"/>
          </w:tcPr>
          <w:p w14:paraId="113F63B5">
            <w:pPr>
              <w:rPr>
                <w:color w:val="376092" w:themeColor="accent1" w:themeShade="BF"/>
                <w:sz w:val="18"/>
                <w:szCs w:val="18"/>
              </w:rPr>
            </w:pPr>
            <w:r>
              <w:rPr>
                <w:color w:val="376092" w:themeColor="accent1" w:themeShade="BF"/>
                <w:sz w:val="18"/>
                <w:szCs w:val="18"/>
              </w:rPr>
              <w:t>S1胜率%</w:t>
            </w:r>
          </w:p>
        </w:tc>
        <w:tc>
          <w:tcPr>
            <w:tcW w:w="785" w:type="dxa"/>
          </w:tcPr>
          <w:p w14:paraId="64D3DFE4">
            <w:pPr>
              <w:rPr>
                <w:color w:val="376092" w:themeColor="accent1" w:themeShade="BF"/>
                <w:sz w:val="18"/>
                <w:szCs w:val="18"/>
              </w:rPr>
            </w:pPr>
            <w:r>
              <w:rPr>
                <w:color w:val="376092" w:themeColor="accent1" w:themeShade="BF"/>
                <w:sz w:val="18"/>
                <w:szCs w:val="18"/>
              </w:rPr>
              <w:t>S1笔数</w:t>
            </w:r>
          </w:p>
        </w:tc>
        <w:tc>
          <w:tcPr>
            <w:tcW w:w="785" w:type="dxa"/>
          </w:tcPr>
          <w:p w14:paraId="35149FC6">
            <w:pPr>
              <w:rPr>
                <w:color w:val="376092" w:themeColor="accent1" w:themeShade="BF"/>
                <w:sz w:val="18"/>
                <w:szCs w:val="18"/>
              </w:rPr>
            </w:pPr>
            <w:r>
              <w:rPr>
                <w:color w:val="376092" w:themeColor="accent1" w:themeShade="BF"/>
                <w:sz w:val="18"/>
                <w:szCs w:val="18"/>
              </w:rPr>
              <w:t>S2年化%</w:t>
            </w:r>
          </w:p>
        </w:tc>
        <w:tc>
          <w:tcPr>
            <w:tcW w:w="785" w:type="dxa"/>
          </w:tcPr>
          <w:p w14:paraId="33EE39C1">
            <w:pPr>
              <w:rPr>
                <w:color w:val="376092" w:themeColor="accent1" w:themeShade="BF"/>
                <w:sz w:val="18"/>
                <w:szCs w:val="18"/>
              </w:rPr>
            </w:pPr>
            <w:r>
              <w:rPr>
                <w:color w:val="376092" w:themeColor="accent1" w:themeShade="BF"/>
                <w:sz w:val="18"/>
                <w:szCs w:val="18"/>
              </w:rPr>
              <w:t>S2夏普</w:t>
            </w:r>
          </w:p>
        </w:tc>
        <w:tc>
          <w:tcPr>
            <w:tcW w:w="785" w:type="dxa"/>
          </w:tcPr>
          <w:p w14:paraId="00F49259">
            <w:pPr>
              <w:rPr>
                <w:color w:val="376092" w:themeColor="accent1" w:themeShade="BF"/>
                <w:sz w:val="18"/>
                <w:szCs w:val="18"/>
              </w:rPr>
            </w:pPr>
            <w:r>
              <w:rPr>
                <w:color w:val="376092" w:themeColor="accent1" w:themeShade="BF"/>
                <w:sz w:val="18"/>
                <w:szCs w:val="18"/>
              </w:rPr>
              <w:t>S2回撤%</w:t>
            </w:r>
          </w:p>
        </w:tc>
        <w:tc>
          <w:tcPr>
            <w:tcW w:w="785" w:type="dxa"/>
          </w:tcPr>
          <w:p w14:paraId="018DB9D5">
            <w:pPr>
              <w:rPr>
                <w:color w:val="376092" w:themeColor="accent1" w:themeShade="BF"/>
                <w:sz w:val="18"/>
                <w:szCs w:val="18"/>
              </w:rPr>
            </w:pPr>
            <w:r>
              <w:rPr>
                <w:color w:val="376092" w:themeColor="accent1" w:themeShade="BF"/>
                <w:sz w:val="18"/>
                <w:szCs w:val="18"/>
              </w:rPr>
              <w:t>S2胜率%</w:t>
            </w:r>
          </w:p>
        </w:tc>
      </w:tr>
      <w:tr w14:paraId="33A720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0C3C1320">
            <w:pPr>
              <w:rPr>
                <w:color w:val="376092" w:themeColor="accent1" w:themeShade="BF"/>
                <w:sz w:val="18"/>
                <w:szCs w:val="18"/>
              </w:rPr>
            </w:pPr>
            <w:r>
              <w:rPr>
                <w:color w:val="376092" w:themeColor="accent1" w:themeShade="BF"/>
                <w:sz w:val="18"/>
                <w:szCs w:val="18"/>
              </w:rPr>
              <w:t>兆易创新</w:t>
            </w:r>
          </w:p>
        </w:tc>
        <w:tc>
          <w:tcPr>
            <w:tcW w:w="981" w:type="dxa"/>
          </w:tcPr>
          <w:p w14:paraId="5131796F">
            <w:pPr>
              <w:rPr>
                <w:color w:val="376092" w:themeColor="accent1" w:themeShade="BF"/>
                <w:sz w:val="18"/>
                <w:szCs w:val="18"/>
              </w:rPr>
            </w:pPr>
            <w:r>
              <w:rPr>
                <w:color w:val="376092" w:themeColor="accent1" w:themeShade="BF"/>
                <w:sz w:val="18"/>
                <w:szCs w:val="18"/>
              </w:rPr>
              <w:t>+242.94</w:t>
            </w:r>
          </w:p>
        </w:tc>
        <w:tc>
          <w:tcPr>
            <w:tcW w:w="785" w:type="dxa"/>
          </w:tcPr>
          <w:p w14:paraId="4CE34B6C">
            <w:pPr>
              <w:rPr>
                <w:color w:val="376092" w:themeColor="accent1" w:themeShade="BF"/>
                <w:sz w:val="18"/>
                <w:szCs w:val="18"/>
              </w:rPr>
            </w:pPr>
            <w:r>
              <w:rPr>
                <w:color w:val="376092" w:themeColor="accent1" w:themeShade="BF"/>
                <w:sz w:val="18"/>
                <w:szCs w:val="18"/>
              </w:rPr>
              <w:t>46.91</w:t>
            </w:r>
          </w:p>
        </w:tc>
        <w:tc>
          <w:tcPr>
            <w:tcW w:w="785" w:type="dxa"/>
          </w:tcPr>
          <w:p w14:paraId="140DD24B">
            <w:pPr>
              <w:rPr>
                <w:color w:val="376092" w:themeColor="accent1" w:themeShade="BF"/>
                <w:sz w:val="18"/>
                <w:szCs w:val="18"/>
              </w:rPr>
            </w:pPr>
            <w:r>
              <w:rPr>
                <w:color w:val="376092" w:themeColor="accent1" w:themeShade="BF"/>
                <w:sz w:val="18"/>
                <w:szCs w:val="18"/>
              </w:rPr>
              <w:t>1.36</w:t>
            </w:r>
          </w:p>
        </w:tc>
        <w:tc>
          <w:tcPr>
            <w:tcW w:w="785" w:type="dxa"/>
          </w:tcPr>
          <w:p w14:paraId="548AB9E6">
            <w:pPr>
              <w:rPr>
                <w:color w:val="376092" w:themeColor="accent1" w:themeShade="BF"/>
                <w:sz w:val="18"/>
                <w:szCs w:val="18"/>
              </w:rPr>
            </w:pPr>
            <w:r>
              <w:rPr>
                <w:color w:val="376092" w:themeColor="accent1" w:themeShade="BF"/>
                <w:sz w:val="18"/>
                <w:szCs w:val="18"/>
              </w:rPr>
              <w:t>-18.85</w:t>
            </w:r>
          </w:p>
        </w:tc>
        <w:tc>
          <w:tcPr>
            <w:tcW w:w="785" w:type="dxa"/>
          </w:tcPr>
          <w:p w14:paraId="07CD573F">
            <w:pPr>
              <w:rPr>
                <w:color w:val="376092" w:themeColor="accent1" w:themeShade="BF"/>
                <w:sz w:val="18"/>
                <w:szCs w:val="18"/>
              </w:rPr>
            </w:pPr>
            <w:r>
              <w:rPr>
                <w:color w:val="376092" w:themeColor="accent1" w:themeShade="BF"/>
                <w:sz w:val="18"/>
                <w:szCs w:val="18"/>
              </w:rPr>
              <w:t>62.5</w:t>
            </w:r>
          </w:p>
        </w:tc>
        <w:tc>
          <w:tcPr>
            <w:tcW w:w="785" w:type="dxa"/>
          </w:tcPr>
          <w:p w14:paraId="1CBC80B1">
            <w:pPr>
              <w:rPr>
                <w:color w:val="376092" w:themeColor="accent1" w:themeShade="BF"/>
                <w:sz w:val="18"/>
                <w:szCs w:val="18"/>
              </w:rPr>
            </w:pPr>
            <w:r>
              <w:rPr>
                <w:color w:val="376092" w:themeColor="accent1" w:themeShade="BF"/>
                <w:sz w:val="18"/>
                <w:szCs w:val="18"/>
              </w:rPr>
              <w:t>72</w:t>
            </w:r>
          </w:p>
        </w:tc>
        <w:tc>
          <w:tcPr>
            <w:tcW w:w="785" w:type="dxa"/>
          </w:tcPr>
          <w:p w14:paraId="17CCDEE1">
            <w:pPr>
              <w:rPr>
                <w:color w:val="376092" w:themeColor="accent1" w:themeShade="BF"/>
                <w:sz w:val="18"/>
                <w:szCs w:val="18"/>
              </w:rPr>
            </w:pPr>
            <w:r>
              <w:rPr>
                <w:color w:val="376092" w:themeColor="accent1" w:themeShade="BF"/>
                <w:sz w:val="18"/>
                <w:szCs w:val="18"/>
              </w:rPr>
              <w:t>25.5</w:t>
            </w:r>
          </w:p>
        </w:tc>
        <w:tc>
          <w:tcPr>
            <w:tcW w:w="785" w:type="dxa"/>
          </w:tcPr>
          <w:p w14:paraId="22C62C3F">
            <w:pPr>
              <w:rPr>
                <w:color w:val="376092" w:themeColor="accent1" w:themeShade="BF"/>
                <w:sz w:val="18"/>
                <w:szCs w:val="18"/>
              </w:rPr>
            </w:pPr>
            <w:r>
              <w:rPr>
                <w:color w:val="376092" w:themeColor="accent1" w:themeShade="BF"/>
                <w:sz w:val="18"/>
                <w:szCs w:val="18"/>
              </w:rPr>
              <w:t>0.83</w:t>
            </w:r>
          </w:p>
        </w:tc>
        <w:tc>
          <w:tcPr>
            <w:tcW w:w="785" w:type="dxa"/>
          </w:tcPr>
          <w:p w14:paraId="7D6D72FC">
            <w:pPr>
              <w:rPr>
                <w:color w:val="376092" w:themeColor="accent1" w:themeShade="BF"/>
                <w:sz w:val="18"/>
                <w:szCs w:val="18"/>
              </w:rPr>
            </w:pPr>
            <w:r>
              <w:rPr>
                <w:color w:val="376092" w:themeColor="accent1" w:themeShade="BF"/>
                <w:sz w:val="18"/>
                <w:szCs w:val="18"/>
              </w:rPr>
              <w:t>-25.68</w:t>
            </w:r>
          </w:p>
        </w:tc>
        <w:tc>
          <w:tcPr>
            <w:tcW w:w="785" w:type="dxa"/>
          </w:tcPr>
          <w:p w14:paraId="468815F2">
            <w:pPr>
              <w:rPr>
                <w:color w:val="376092" w:themeColor="accent1" w:themeShade="BF"/>
                <w:sz w:val="18"/>
                <w:szCs w:val="18"/>
              </w:rPr>
            </w:pPr>
            <w:r>
              <w:rPr>
                <w:color w:val="376092" w:themeColor="accent1" w:themeShade="BF"/>
                <w:sz w:val="18"/>
                <w:szCs w:val="18"/>
              </w:rPr>
              <w:t>54.55</w:t>
            </w:r>
          </w:p>
        </w:tc>
      </w:tr>
      <w:tr w14:paraId="64D6FD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4B89B39D">
            <w:pPr>
              <w:rPr>
                <w:color w:val="376092" w:themeColor="accent1" w:themeShade="BF"/>
                <w:sz w:val="18"/>
                <w:szCs w:val="18"/>
              </w:rPr>
            </w:pPr>
            <w:r>
              <w:rPr>
                <w:color w:val="376092" w:themeColor="accent1" w:themeShade="BF"/>
                <w:sz w:val="18"/>
                <w:szCs w:val="18"/>
              </w:rPr>
              <w:t>贵州茅台</w:t>
            </w:r>
          </w:p>
        </w:tc>
        <w:tc>
          <w:tcPr>
            <w:tcW w:w="981" w:type="dxa"/>
          </w:tcPr>
          <w:p w14:paraId="5BFAEE67">
            <w:pPr>
              <w:rPr>
                <w:color w:val="376092" w:themeColor="accent1" w:themeShade="BF"/>
                <w:sz w:val="18"/>
                <w:szCs w:val="18"/>
              </w:rPr>
            </w:pPr>
            <w:r>
              <w:rPr>
                <w:color w:val="376092" w:themeColor="accent1" w:themeShade="BF"/>
                <w:sz w:val="18"/>
                <w:szCs w:val="18"/>
              </w:rPr>
              <w:t>-33.33</w:t>
            </w:r>
          </w:p>
        </w:tc>
        <w:tc>
          <w:tcPr>
            <w:tcW w:w="785" w:type="dxa"/>
          </w:tcPr>
          <w:p w14:paraId="28023979">
            <w:pPr>
              <w:rPr>
                <w:color w:val="376092" w:themeColor="accent1" w:themeShade="BF"/>
                <w:sz w:val="18"/>
                <w:szCs w:val="18"/>
              </w:rPr>
            </w:pPr>
            <w:r>
              <w:rPr>
                <w:color w:val="376092" w:themeColor="accent1" w:themeShade="BF"/>
                <w:sz w:val="18"/>
                <w:szCs w:val="18"/>
              </w:rPr>
              <w:t>4.31</w:t>
            </w:r>
          </w:p>
        </w:tc>
        <w:tc>
          <w:tcPr>
            <w:tcW w:w="785" w:type="dxa"/>
          </w:tcPr>
          <w:p w14:paraId="11CD6B39">
            <w:pPr>
              <w:rPr>
                <w:color w:val="376092" w:themeColor="accent1" w:themeShade="BF"/>
                <w:sz w:val="18"/>
                <w:szCs w:val="18"/>
              </w:rPr>
            </w:pPr>
            <w:r>
              <w:rPr>
                <w:color w:val="376092" w:themeColor="accent1" w:themeShade="BF"/>
                <w:sz w:val="18"/>
                <w:szCs w:val="18"/>
              </w:rPr>
              <w:t>0.27</w:t>
            </w:r>
          </w:p>
        </w:tc>
        <w:tc>
          <w:tcPr>
            <w:tcW w:w="785" w:type="dxa"/>
          </w:tcPr>
          <w:p w14:paraId="2440929C">
            <w:pPr>
              <w:rPr>
                <w:color w:val="376092" w:themeColor="accent1" w:themeShade="BF"/>
                <w:sz w:val="18"/>
                <w:szCs w:val="18"/>
              </w:rPr>
            </w:pPr>
            <w:r>
              <w:rPr>
                <w:color w:val="376092" w:themeColor="accent1" w:themeShade="BF"/>
                <w:sz w:val="18"/>
                <w:szCs w:val="18"/>
              </w:rPr>
              <w:t>-14.38</w:t>
            </w:r>
          </w:p>
        </w:tc>
        <w:tc>
          <w:tcPr>
            <w:tcW w:w="785" w:type="dxa"/>
          </w:tcPr>
          <w:p w14:paraId="543700A1">
            <w:pPr>
              <w:rPr>
                <w:color w:val="376092" w:themeColor="accent1" w:themeShade="BF"/>
                <w:sz w:val="18"/>
                <w:szCs w:val="18"/>
              </w:rPr>
            </w:pPr>
            <w:r>
              <w:rPr>
                <w:color w:val="376092" w:themeColor="accent1" w:themeShade="BF"/>
                <w:sz w:val="18"/>
                <w:szCs w:val="18"/>
              </w:rPr>
              <w:t>38.89</w:t>
            </w:r>
          </w:p>
        </w:tc>
        <w:tc>
          <w:tcPr>
            <w:tcW w:w="785" w:type="dxa"/>
          </w:tcPr>
          <w:p w14:paraId="30F62A4E">
            <w:pPr>
              <w:rPr>
                <w:color w:val="376092" w:themeColor="accent1" w:themeShade="BF"/>
                <w:sz w:val="18"/>
                <w:szCs w:val="18"/>
              </w:rPr>
            </w:pPr>
            <w:r>
              <w:rPr>
                <w:color w:val="376092" w:themeColor="accent1" w:themeShade="BF"/>
                <w:sz w:val="18"/>
                <w:szCs w:val="18"/>
              </w:rPr>
              <w:t>36</w:t>
            </w:r>
          </w:p>
        </w:tc>
        <w:tc>
          <w:tcPr>
            <w:tcW w:w="785" w:type="dxa"/>
          </w:tcPr>
          <w:p w14:paraId="55FDEEC5">
            <w:pPr>
              <w:rPr>
                <w:color w:val="376092" w:themeColor="accent1" w:themeShade="BF"/>
                <w:sz w:val="18"/>
                <w:szCs w:val="18"/>
              </w:rPr>
            </w:pPr>
            <w:r>
              <w:rPr>
                <w:color w:val="376092" w:themeColor="accent1" w:themeShade="BF"/>
                <w:sz w:val="18"/>
                <w:szCs w:val="18"/>
              </w:rPr>
              <w:t>-2.22</w:t>
            </w:r>
          </w:p>
        </w:tc>
        <w:tc>
          <w:tcPr>
            <w:tcW w:w="785" w:type="dxa"/>
          </w:tcPr>
          <w:p w14:paraId="0F41599B">
            <w:pPr>
              <w:rPr>
                <w:color w:val="376092" w:themeColor="accent1" w:themeShade="BF"/>
                <w:sz w:val="18"/>
                <w:szCs w:val="18"/>
              </w:rPr>
            </w:pPr>
            <w:r>
              <w:rPr>
                <w:color w:val="376092" w:themeColor="accent1" w:themeShade="BF"/>
                <w:sz w:val="18"/>
                <w:szCs w:val="18"/>
              </w:rPr>
              <w:t>-0.53</w:t>
            </w:r>
          </w:p>
        </w:tc>
        <w:tc>
          <w:tcPr>
            <w:tcW w:w="785" w:type="dxa"/>
          </w:tcPr>
          <w:p w14:paraId="6A3C4931">
            <w:pPr>
              <w:rPr>
                <w:color w:val="376092" w:themeColor="accent1" w:themeShade="BF"/>
                <w:sz w:val="18"/>
                <w:szCs w:val="18"/>
              </w:rPr>
            </w:pPr>
            <w:r>
              <w:rPr>
                <w:color w:val="376092" w:themeColor="accent1" w:themeShade="BF"/>
                <w:sz w:val="18"/>
                <w:szCs w:val="18"/>
              </w:rPr>
              <w:t>-19.1</w:t>
            </w:r>
          </w:p>
        </w:tc>
        <w:tc>
          <w:tcPr>
            <w:tcW w:w="785" w:type="dxa"/>
          </w:tcPr>
          <w:p w14:paraId="7D83C371">
            <w:pPr>
              <w:rPr>
                <w:color w:val="376092" w:themeColor="accent1" w:themeShade="BF"/>
                <w:sz w:val="18"/>
                <w:szCs w:val="18"/>
              </w:rPr>
            </w:pPr>
            <w:r>
              <w:rPr>
                <w:color w:val="376092" w:themeColor="accent1" w:themeShade="BF"/>
                <w:sz w:val="18"/>
                <w:szCs w:val="18"/>
              </w:rPr>
              <w:t>29.41</w:t>
            </w:r>
          </w:p>
        </w:tc>
      </w:tr>
      <w:tr w14:paraId="3F78F78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4D91B2E7">
            <w:pPr>
              <w:rPr>
                <w:color w:val="376092" w:themeColor="accent1" w:themeShade="BF"/>
                <w:sz w:val="18"/>
                <w:szCs w:val="18"/>
              </w:rPr>
            </w:pPr>
            <w:r>
              <w:rPr>
                <w:color w:val="376092" w:themeColor="accent1" w:themeShade="BF"/>
                <w:sz w:val="18"/>
                <w:szCs w:val="18"/>
              </w:rPr>
              <w:t>中国平安</w:t>
            </w:r>
          </w:p>
        </w:tc>
        <w:tc>
          <w:tcPr>
            <w:tcW w:w="981" w:type="dxa"/>
          </w:tcPr>
          <w:p w14:paraId="126C0073">
            <w:pPr>
              <w:rPr>
                <w:color w:val="376092" w:themeColor="accent1" w:themeShade="BF"/>
                <w:sz w:val="18"/>
                <w:szCs w:val="18"/>
              </w:rPr>
            </w:pPr>
            <w:r>
              <w:rPr>
                <w:color w:val="376092" w:themeColor="accent1" w:themeShade="BF"/>
                <w:sz w:val="18"/>
                <w:szCs w:val="18"/>
              </w:rPr>
              <w:t>+22.68</w:t>
            </w:r>
          </w:p>
        </w:tc>
        <w:tc>
          <w:tcPr>
            <w:tcW w:w="785" w:type="dxa"/>
          </w:tcPr>
          <w:p w14:paraId="518FFA18">
            <w:pPr>
              <w:rPr>
                <w:color w:val="376092" w:themeColor="accent1" w:themeShade="BF"/>
                <w:sz w:val="18"/>
                <w:szCs w:val="18"/>
              </w:rPr>
            </w:pPr>
            <w:r>
              <w:rPr>
                <w:color w:val="376092" w:themeColor="accent1" w:themeShade="BF"/>
                <w:sz w:val="18"/>
                <w:szCs w:val="18"/>
              </w:rPr>
              <w:t>16.06</w:t>
            </w:r>
          </w:p>
        </w:tc>
        <w:tc>
          <w:tcPr>
            <w:tcW w:w="785" w:type="dxa"/>
          </w:tcPr>
          <w:p w14:paraId="24175FA2">
            <w:pPr>
              <w:rPr>
                <w:color w:val="376092" w:themeColor="accent1" w:themeShade="BF"/>
                <w:sz w:val="18"/>
                <w:szCs w:val="18"/>
              </w:rPr>
            </w:pPr>
            <w:r>
              <w:rPr>
                <w:color w:val="376092" w:themeColor="accent1" w:themeShade="BF"/>
                <w:sz w:val="18"/>
                <w:szCs w:val="18"/>
              </w:rPr>
              <w:t>0.91</w:t>
            </w:r>
          </w:p>
        </w:tc>
        <w:tc>
          <w:tcPr>
            <w:tcW w:w="785" w:type="dxa"/>
          </w:tcPr>
          <w:p w14:paraId="458B0416">
            <w:pPr>
              <w:rPr>
                <w:color w:val="376092" w:themeColor="accent1" w:themeShade="BF"/>
                <w:sz w:val="18"/>
                <w:szCs w:val="18"/>
              </w:rPr>
            </w:pPr>
            <w:r>
              <w:rPr>
                <w:color w:val="376092" w:themeColor="accent1" w:themeShade="BF"/>
                <w:sz w:val="18"/>
                <w:szCs w:val="18"/>
              </w:rPr>
              <w:t>-10.09</w:t>
            </w:r>
          </w:p>
        </w:tc>
        <w:tc>
          <w:tcPr>
            <w:tcW w:w="785" w:type="dxa"/>
          </w:tcPr>
          <w:p w14:paraId="62DFB420">
            <w:pPr>
              <w:rPr>
                <w:color w:val="376092" w:themeColor="accent1" w:themeShade="BF"/>
                <w:sz w:val="18"/>
                <w:szCs w:val="18"/>
              </w:rPr>
            </w:pPr>
            <w:r>
              <w:rPr>
                <w:color w:val="376092" w:themeColor="accent1" w:themeShade="BF"/>
                <w:sz w:val="18"/>
                <w:szCs w:val="18"/>
              </w:rPr>
              <w:t>63.16</w:t>
            </w:r>
          </w:p>
        </w:tc>
        <w:tc>
          <w:tcPr>
            <w:tcW w:w="785" w:type="dxa"/>
          </w:tcPr>
          <w:p w14:paraId="78A4EC29">
            <w:pPr>
              <w:rPr>
                <w:color w:val="376092" w:themeColor="accent1" w:themeShade="BF"/>
                <w:sz w:val="18"/>
                <w:szCs w:val="18"/>
              </w:rPr>
            </w:pPr>
            <w:r>
              <w:rPr>
                <w:color w:val="376092" w:themeColor="accent1" w:themeShade="BF"/>
                <w:sz w:val="18"/>
                <w:szCs w:val="18"/>
              </w:rPr>
              <w:t>38</w:t>
            </w:r>
          </w:p>
        </w:tc>
        <w:tc>
          <w:tcPr>
            <w:tcW w:w="785" w:type="dxa"/>
          </w:tcPr>
          <w:p w14:paraId="561F6D01">
            <w:pPr>
              <w:rPr>
                <w:color w:val="376092" w:themeColor="accent1" w:themeShade="BF"/>
                <w:sz w:val="18"/>
                <w:szCs w:val="18"/>
              </w:rPr>
            </w:pPr>
            <w:r>
              <w:rPr>
                <w:color w:val="376092" w:themeColor="accent1" w:themeShade="BF"/>
                <w:sz w:val="18"/>
                <w:szCs w:val="18"/>
              </w:rPr>
              <w:t>4.33</w:t>
            </w:r>
          </w:p>
        </w:tc>
        <w:tc>
          <w:tcPr>
            <w:tcW w:w="785" w:type="dxa"/>
          </w:tcPr>
          <w:p w14:paraId="3B57515C">
            <w:pPr>
              <w:rPr>
                <w:color w:val="376092" w:themeColor="accent1" w:themeShade="BF"/>
                <w:sz w:val="18"/>
                <w:szCs w:val="18"/>
              </w:rPr>
            </w:pPr>
            <w:r>
              <w:rPr>
                <w:color w:val="376092" w:themeColor="accent1" w:themeShade="BF"/>
                <w:sz w:val="18"/>
                <w:szCs w:val="18"/>
              </w:rPr>
              <w:t>0.25</w:t>
            </w:r>
          </w:p>
        </w:tc>
        <w:tc>
          <w:tcPr>
            <w:tcW w:w="785" w:type="dxa"/>
          </w:tcPr>
          <w:p w14:paraId="64DBCE98">
            <w:pPr>
              <w:rPr>
                <w:color w:val="376092" w:themeColor="accent1" w:themeShade="BF"/>
                <w:sz w:val="18"/>
                <w:szCs w:val="18"/>
              </w:rPr>
            </w:pPr>
            <w:r>
              <w:rPr>
                <w:color w:val="376092" w:themeColor="accent1" w:themeShade="BF"/>
                <w:sz w:val="18"/>
                <w:szCs w:val="18"/>
              </w:rPr>
              <w:t>-20.82</w:t>
            </w:r>
          </w:p>
        </w:tc>
        <w:tc>
          <w:tcPr>
            <w:tcW w:w="785" w:type="dxa"/>
          </w:tcPr>
          <w:p w14:paraId="5CB62E8D">
            <w:pPr>
              <w:rPr>
                <w:color w:val="376092" w:themeColor="accent1" w:themeShade="BF"/>
                <w:sz w:val="18"/>
                <w:szCs w:val="18"/>
              </w:rPr>
            </w:pPr>
            <w:r>
              <w:rPr>
                <w:color w:val="376092" w:themeColor="accent1" w:themeShade="BF"/>
                <w:sz w:val="18"/>
                <w:szCs w:val="18"/>
              </w:rPr>
              <w:t>33.33</w:t>
            </w:r>
          </w:p>
        </w:tc>
      </w:tr>
      <w:tr w14:paraId="32E7DF8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5D2F78B8">
            <w:pPr>
              <w:rPr>
                <w:color w:val="376092" w:themeColor="accent1" w:themeShade="BF"/>
                <w:sz w:val="18"/>
                <w:szCs w:val="18"/>
              </w:rPr>
            </w:pPr>
            <w:r>
              <w:rPr>
                <w:color w:val="376092" w:themeColor="accent1" w:themeShade="BF"/>
                <w:sz w:val="18"/>
                <w:szCs w:val="18"/>
              </w:rPr>
              <w:t>宁德时代</w:t>
            </w:r>
          </w:p>
        </w:tc>
        <w:tc>
          <w:tcPr>
            <w:tcW w:w="981" w:type="dxa"/>
          </w:tcPr>
          <w:p w14:paraId="11E5AFC2">
            <w:pPr>
              <w:rPr>
                <w:color w:val="376092" w:themeColor="accent1" w:themeShade="BF"/>
                <w:sz w:val="18"/>
                <w:szCs w:val="18"/>
              </w:rPr>
            </w:pPr>
            <w:r>
              <w:rPr>
                <w:color w:val="376092" w:themeColor="accent1" w:themeShade="BF"/>
                <w:sz w:val="18"/>
                <w:szCs w:val="18"/>
              </w:rPr>
              <w:t>+28.17</w:t>
            </w:r>
          </w:p>
        </w:tc>
        <w:tc>
          <w:tcPr>
            <w:tcW w:w="785" w:type="dxa"/>
          </w:tcPr>
          <w:p w14:paraId="0C9D0FBE">
            <w:pPr>
              <w:rPr>
                <w:color w:val="376092" w:themeColor="accent1" w:themeShade="BF"/>
                <w:sz w:val="18"/>
                <w:szCs w:val="18"/>
              </w:rPr>
            </w:pPr>
            <w:r>
              <w:rPr>
                <w:color w:val="376092" w:themeColor="accent1" w:themeShade="BF"/>
                <w:sz w:val="18"/>
                <w:szCs w:val="18"/>
              </w:rPr>
              <w:t>17.46</w:t>
            </w:r>
          </w:p>
        </w:tc>
        <w:tc>
          <w:tcPr>
            <w:tcW w:w="785" w:type="dxa"/>
          </w:tcPr>
          <w:p w14:paraId="46C535A7">
            <w:pPr>
              <w:rPr>
                <w:color w:val="376092" w:themeColor="accent1" w:themeShade="BF"/>
                <w:sz w:val="18"/>
                <w:szCs w:val="18"/>
              </w:rPr>
            </w:pPr>
            <w:r>
              <w:rPr>
                <w:color w:val="376092" w:themeColor="accent1" w:themeShade="BF"/>
                <w:sz w:val="18"/>
                <w:szCs w:val="18"/>
              </w:rPr>
              <w:t>0.77</w:t>
            </w:r>
          </w:p>
        </w:tc>
        <w:tc>
          <w:tcPr>
            <w:tcW w:w="785" w:type="dxa"/>
          </w:tcPr>
          <w:p w14:paraId="4CBB415D">
            <w:pPr>
              <w:rPr>
                <w:color w:val="376092" w:themeColor="accent1" w:themeShade="BF"/>
                <w:sz w:val="18"/>
                <w:szCs w:val="18"/>
              </w:rPr>
            </w:pPr>
            <w:r>
              <w:rPr>
                <w:color w:val="376092" w:themeColor="accent1" w:themeShade="BF"/>
                <w:sz w:val="18"/>
                <w:szCs w:val="18"/>
              </w:rPr>
              <w:t>-19.72</w:t>
            </w:r>
          </w:p>
        </w:tc>
        <w:tc>
          <w:tcPr>
            <w:tcW w:w="785" w:type="dxa"/>
          </w:tcPr>
          <w:p w14:paraId="65F7030E">
            <w:pPr>
              <w:rPr>
                <w:color w:val="376092" w:themeColor="accent1" w:themeShade="BF"/>
                <w:sz w:val="18"/>
                <w:szCs w:val="18"/>
              </w:rPr>
            </w:pPr>
            <w:r>
              <w:rPr>
                <w:color w:val="376092" w:themeColor="accent1" w:themeShade="BF"/>
                <w:sz w:val="18"/>
                <w:szCs w:val="18"/>
              </w:rPr>
              <w:t>55.77</w:t>
            </w:r>
          </w:p>
        </w:tc>
        <w:tc>
          <w:tcPr>
            <w:tcW w:w="785" w:type="dxa"/>
          </w:tcPr>
          <w:p w14:paraId="66DF09EE">
            <w:pPr>
              <w:rPr>
                <w:color w:val="376092" w:themeColor="accent1" w:themeShade="BF"/>
                <w:sz w:val="18"/>
                <w:szCs w:val="18"/>
              </w:rPr>
            </w:pPr>
            <w:r>
              <w:rPr>
                <w:color w:val="376092" w:themeColor="accent1" w:themeShade="BF"/>
                <w:sz w:val="18"/>
                <w:szCs w:val="18"/>
              </w:rPr>
              <w:t>52</w:t>
            </w:r>
          </w:p>
        </w:tc>
        <w:tc>
          <w:tcPr>
            <w:tcW w:w="785" w:type="dxa"/>
          </w:tcPr>
          <w:p w14:paraId="0F371A49">
            <w:pPr>
              <w:rPr>
                <w:color w:val="376092" w:themeColor="accent1" w:themeShade="BF"/>
                <w:sz w:val="18"/>
                <w:szCs w:val="18"/>
              </w:rPr>
            </w:pPr>
            <w:r>
              <w:rPr>
                <w:color w:val="376092" w:themeColor="accent1" w:themeShade="BF"/>
                <w:sz w:val="18"/>
                <w:szCs w:val="18"/>
              </w:rPr>
              <w:t>11.4</w:t>
            </w:r>
            <w:bookmarkStart w:id="0" w:name="_GoBack"/>
            <w:bookmarkEnd w:id="0"/>
            <w:r>
              <w:rPr>
                <w:color w:val="376092" w:themeColor="accent1" w:themeShade="BF"/>
                <w:sz w:val="18"/>
                <w:szCs w:val="18"/>
              </w:rPr>
              <w:t>9</w:t>
            </w:r>
          </w:p>
        </w:tc>
        <w:tc>
          <w:tcPr>
            <w:tcW w:w="785" w:type="dxa"/>
          </w:tcPr>
          <w:p w14:paraId="4A9FE865">
            <w:pPr>
              <w:rPr>
                <w:color w:val="376092" w:themeColor="accent1" w:themeShade="BF"/>
                <w:sz w:val="18"/>
                <w:szCs w:val="18"/>
              </w:rPr>
            </w:pPr>
            <w:r>
              <w:rPr>
                <w:color w:val="376092" w:themeColor="accent1" w:themeShade="BF"/>
                <w:sz w:val="18"/>
                <w:szCs w:val="18"/>
              </w:rPr>
              <w:t>0.52</w:t>
            </w:r>
          </w:p>
        </w:tc>
        <w:tc>
          <w:tcPr>
            <w:tcW w:w="785" w:type="dxa"/>
          </w:tcPr>
          <w:p w14:paraId="476B6526">
            <w:pPr>
              <w:rPr>
                <w:color w:val="376092" w:themeColor="accent1" w:themeShade="BF"/>
                <w:sz w:val="18"/>
                <w:szCs w:val="18"/>
              </w:rPr>
            </w:pPr>
            <w:r>
              <w:rPr>
                <w:color w:val="376092" w:themeColor="accent1" w:themeShade="BF"/>
                <w:sz w:val="18"/>
                <w:szCs w:val="18"/>
              </w:rPr>
              <w:t>-19.53</w:t>
            </w:r>
          </w:p>
        </w:tc>
        <w:tc>
          <w:tcPr>
            <w:tcW w:w="785" w:type="dxa"/>
          </w:tcPr>
          <w:p w14:paraId="7D1C0733">
            <w:pPr>
              <w:rPr>
                <w:color w:val="376092" w:themeColor="accent1" w:themeShade="BF"/>
                <w:sz w:val="18"/>
                <w:szCs w:val="18"/>
              </w:rPr>
            </w:pPr>
            <w:r>
              <w:rPr>
                <w:color w:val="376092" w:themeColor="accent1" w:themeShade="BF"/>
                <w:sz w:val="18"/>
                <w:szCs w:val="18"/>
              </w:rPr>
              <w:t>53.33</w:t>
            </w:r>
          </w:p>
        </w:tc>
      </w:tr>
      <w:tr w14:paraId="2C09A51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650" w:type="dxa"/>
          </w:tcPr>
          <w:p w14:paraId="5F4598F3">
            <w:pPr>
              <w:rPr>
                <w:color w:val="376092" w:themeColor="accent1" w:themeShade="BF"/>
                <w:sz w:val="18"/>
                <w:szCs w:val="18"/>
              </w:rPr>
            </w:pPr>
            <w:r>
              <w:rPr>
                <w:color w:val="376092" w:themeColor="accent1" w:themeShade="BF"/>
                <w:sz w:val="18"/>
                <w:szCs w:val="18"/>
              </w:rPr>
              <w:t>隆基绿能</w:t>
            </w:r>
          </w:p>
        </w:tc>
        <w:tc>
          <w:tcPr>
            <w:tcW w:w="981" w:type="dxa"/>
          </w:tcPr>
          <w:p w14:paraId="116E7C21">
            <w:pPr>
              <w:rPr>
                <w:color w:val="376092" w:themeColor="accent1" w:themeShade="BF"/>
                <w:sz w:val="18"/>
                <w:szCs w:val="18"/>
              </w:rPr>
            </w:pPr>
            <w:r>
              <w:rPr>
                <w:color w:val="376092" w:themeColor="accent1" w:themeShade="BF"/>
                <w:sz w:val="18"/>
                <w:szCs w:val="18"/>
              </w:rPr>
              <w:t>-79.91</w:t>
            </w:r>
          </w:p>
        </w:tc>
        <w:tc>
          <w:tcPr>
            <w:tcW w:w="785" w:type="dxa"/>
          </w:tcPr>
          <w:p w14:paraId="75C03366">
            <w:pPr>
              <w:rPr>
                <w:color w:val="376092" w:themeColor="accent1" w:themeShade="BF"/>
                <w:sz w:val="18"/>
                <w:szCs w:val="18"/>
              </w:rPr>
            </w:pPr>
            <w:r>
              <w:rPr>
                <w:color w:val="376092" w:themeColor="accent1" w:themeShade="BF"/>
                <w:sz w:val="18"/>
                <w:szCs w:val="18"/>
              </w:rPr>
              <w:t>12.49</w:t>
            </w:r>
          </w:p>
        </w:tc>
        <w:tc>
          <w:tcPr>
            <w:tcW w:w="785" w:type="dxa"/>
          </w:tcPr>
          <w:p w14:paraId="5B83184C">
            <w:pPr>
              <w:rPr>
                <w:color w:val="376092" w:themeColor="accent1" w:themeShade="BF"/>
                <w:sz w:val="18"/>
                <w:szCs w:val="18"/>
              </w:rPr>
            </w:pPr>
            <w:r>
              <w:rPr>
                <w:color w:val="376092" w:themeColor="accent1" w:themeShade="BF"/>
                <w:sz w:val="18"/>
                <w:szCs w:val="18"/>
              </w:rPr>
              <w:t>0.62</w:t>
            </w:r>
          </w:p>
        </w:tc>
        <w:tc>
          <w:tcPr>
            <w:tcW w:w="785" w:type="dxa"/>
          </w:tcPr>
          <w:p w14:paraId="39D9E867">
            <w:pPr>
              <w:rPr>
                <w:color w:val="376092" w:themeColor="accent1" w:themeShade="BF"/>
                <w:sz w:val="18"/>
                <w:szCs w:val="18"/>
              </w:rPr>
            </w:pPr>
            <w:r>
              <w:rPr>
                <w:color w:val="376092" w:themeColor="accent1" w:themeShade="BF"/>
                <w:sz w:val="18"/>
                <w:szCs w:val="18"/>
              </w:rPr>
              <w:t>-19.09</w:t>
            </w:r>
          </w:p>
        </w:tc>
        <w:tc>
          <w:tcPr>
            <w:tcW w:w="785" w:type="dxa"/>
          </w:tcPr>
          <w:p w14:paraId="71ADE327">
            <w:pPr>
              <w:rPr>
                <w:color w:val="376092" w:themeColor="accent1" w:themeShade="BF"/>
                <w:sz w:val="18"/>
                <w:szCs w:val="18"/>
              </w:rPr>
            </w:pPr>
            <w:r>
              <w:rPr>
                <w:color w:val="376092" w:themeColor="accent1" w:themeShade="BF"/>
                <w:sz w:val="18"/>
                <w:szCs w:val="18"/>
              </w:rPr>
              <w:t>48.08</w:t>
            </w:r>
          </w:p>
        </w:tc>
        <w:tc>
          <w:tcPr>
            <w:tcW w:w="785" w:type="dxa"/>
          </w:tcPr>
          <w:p w14:paraId="5F8A75AF">
            <w:pPr>
              <w:rPr>
                <w:color w:val="376092" w:themeColor="accent1" w:themeShade="BF"/>
                <w:sz w:val="18"/>
                <w:szCs w:val="18"/>
              </w:rPr>
            </w:pPr>
            <w:r>
              <w:rPr>
                <w:color w:val="376092" w:themeColor="accent1" w:themeShade="BF"/>
                <w:sz w:val="18"/>
                <w:szCs w:val="18"/>
              </w:rPr>
              <w:t>52</w:t>
            </w:r>
          </w:p>
        </w:tc>
        <w:tc>
          <w:tcPr>
            <w:tcW w:w="785" w:type="dxa"/>
          </w:tcPr>
          <w:p w14:paraId="2BE3E940">
            <w:pPr>
              <w:rPr>
                <w:color w:val="376092" w:themeColor="accent1" w:themeShade="BF"/>
                <w:sz w:val="18"/>
                <w:szCs w:val="18"/>
              </w:rPr>
            </w:pPr>
            <w:r>
              <w:rPr>
                <w:color w:val="376092" w:themeColor="accent1" w:themeShade="BF"/>
                <w:sz w:val="18"/>
                <w:szCs w:val="18"/>
              </w:rPr>
              <w:t>0.88</w:t>
            </w:r>
          </w:p>
        </w:tc>
        <w:tc>
          <w:tcPr>
            <w:tcW w:w="785" w:type="dxa"/>
          </w:tcPr>
          <w:p w14:paraId="2C642EA5">
            <w:pPr>
              <w:rPr>
                <w:color w:val="376092" w:themeColor="accent1" w:themeShade="BF"/>
                <w:sz w:val="18"/>
                <w:szCs w:val="18"/>
              </w:rPr>
            </w:pPr>
            <w:r>
              <w:rPr>
                <w:color w:val="376092" w:themeColor="accent1" w:themeShade="BF"/>
                <w:sz w:val="18"/>
                <w:szCs w:val="18"/>
              </w:rPr>
              <w:t>0.0</w:t>
            </w:r>
          </w:p>
        </w:tc>
        <w:tc>
          <w:tcPr>
            <w:tcW w:w="785" w:type="dxa"/>
          </w:tcPr>
          <w:p w14:paraId="69EDB804">
            <w:pPr>
              <w:rPr>
                <w:color w:val="376092" w:themeColor="accent1" w:themeShade="BF"/>
                <w:sz w:val="18"/>
                <w:szCs w:val="18"/>
              </w:rPr>
            </w:pPr>
            <w:r>
              <w:rPr>
                <w:color w:val="376092" w:themeColor="accent1" w:themeShade="BF"/>
                <w:sz w:val="18"/>
                <w:szCs w:val="18"/>
              </w:rPr>
              <w:t>-16.06</w:t>
            </w:r>
          </w:p>
        </w:tc>
        <w:tc>
          <w:tcPr>
            <w:tcW w:w="785" w:type="dxa"/>
          </w:tcPr>
          <w:p w14:paraId="1ECDD843">
            <w:pPr>
              <w:rPr>
                <w:color w:val="376092" w:themeColor="accent1" w:themeShade="BF"/>
                <w:sz w:val="18"/>
                <w:szCs w:val="18"/>
              </w:rPr>
            </w:pPr>
            <w:r>
              <w:rPr>
                <w:color w:val="376092" w:themeColor="accent1" w:themeShade="BF"/>
                <w:sz w:val="18"/>
                <w:szCs w:val="18"/>
              </w:rPr>
              <w:t>50.0</w:t>
            </w:r>
          </w:p>
        </w:tc>
      </w:tr>
    </w:tbl>
    <w:p w14:paraId="3A0F7CC6">
      <w:pPr>
        <w:spacing w:before="0" w:after="0" w:line="360" w:lineRule="auto"/>
        <w:jc w:val="both"/>
        <w:rPr>
          <w:rFonts w:ascii="宋体" w:hAnsi="宋体" w:eastAsia="宋体"/>
          <w:b w:val="0"/>
          <w:sz w:val="21"/>
        </w:rPr>
      </w:pPr>
    </w:p>
    <w:p w14:paraId="7A333BEF">
      <w:pPr>
        <w:spacing w:before="0" w:after="0" w:line="360" w:lineRule="auto"/>
        <w:ind w:firstLine="420"/>
        <w:jc w:val="both"/>
      </w:pPr>
      <w:r>
        <w:rPr>
          <w:rFonts w:ascii="宋体" w:hAnsi="宋体" w:eastAsia="宋体"/>
          <w:b w:val="0"/>
          <w:sz w:val="21"/>
        </w:rPr>
        <w:t>从表2和图8可以得出以下重要结论。第一，宁德时代和中国平安是S1策略表现最佳的标的。宁德时代年化收益率17.46%，夏普比率0.77，平均持仓0.81个单位，表明该股票具有清晰的价格趋势和充足的流动性。中国平安虽然年化收益率略低（16.06%），但夏普比率高达0.91，最大回撤仅-10.09%，是所有测试标的中风险控制最好的。</w:t>
      </w:r>
    </w:p>
    <w:p w14:paraId="166BC072">
      <w:pPr>
        <w:spacing w:before="0" w:after="0" w:line="360" w:lineRule="auto"/>
        <w:ind w:firstLine="420"/>
        <w:jc w:val="both"/>
      </w:pPr>
      <w:r>
        <w:rPr>
          <w:rFonts w:ascii="宋体" w:hAnsi="宋体" w:eastAsia="宋体"/>
          <w:b w:val="0"/>
          <w:sz w:val="21"/>
        </w:rPr>
        <w:t>第二，贵州茅台是海龟策略"天然不适用"的标的。S1年化仅4.31%，S2更是亏损-2.22%。根本原因在于其股价长期维持在1500—2000元的高位，以100万元初始资金计算，每手（100股）投资额高达15—20万元，每单位头寸只能买入100—200股，小额手数限制了仓位管理的精细度，加上单笔交易的手续费占比相对较高，严重侵蚀了策略收益。</w:t>
      </w:r>
    </w:p>
    <w:p w14:paraId="05BFD31A">
      <w:pPr>
        <w:spacing w:before="0" w:after="0" w:line="360" w:lineRule="auto"/>
        <w:ind w:firstLine="420"/>
        <w:jc w:val="both"/>
      </w:pPr>
      <w:r>
        <w:rPr>
          <w:rFonts w:ascii="宋体" w:hAnsi="宋体" w:eastAsia="宋体"/>
          <w:b w:val="0"/>
          <w:sz w:val="21"/>
        </w:rPr>
        <w:t>第三，隆基绿能的表现说明了"多空不对称"的问题。该股票在回测期间经历了约-79.91%的下跌，是五只股票中唯一长期下跌趋势的标的。在这种极端的单边下跌市中，海龟策略虽然通过做多反弹获取了一定收益（S1年化12.49%），但整体收益仍被标的本身的下跌趋势大幅抵消。这提醒我们，趋势跟踪策略本质上是一个做多策略，在持续下跌的市场中只能通过规避风险减少损失，而无法直接获利。</w:t>
      </w:r>
    </w:p>
    <w:p w14:paraId="0AB547D5">
      <w:pPr>
        <w:spacing w:before="0" w:after="0" w:line="360" w:lineRule="auto"/>
        <w:ind w:firstLine="420"/>
        <w:jc w:val="both"/>
      </w:pPr>
      <w:r>
        <w:rPr>
          <w:rFonts w:ascii="宋体" w:hAnsi="宋体" w:eastAsia="宋体"/>
          <w:b w:val="0"/>
          <w:sz w:val="21"/>
        </w:rPr>
        <w:t>第四，买入持有收益率与策略收益率之间没有必然的正相关关系。隆基绿能买入持有亏损79.91%，但S1策略仍实现了12.49%的年化正收益；贵州茅台买入持有亏损33.33%，S1策略获得了4.31%的正收益。这证明了海龟策略在不同市场环境下都能产生阿尔法收益的能力。</w:t>
      </w:r>
    </w:p>
    <w:p w14:paraId="036A01CA">
      <w:pPr>
        <w:pStyle w:val="3"/>
        <w:spacing w:before="120" w:after="60"/>
      </w:pPr>
      <w:r>
        <w:rPr>
          <w:rFonts w:ascii="宋体" w:hAnsi="宋体" w:eastAsia="宋体"/>
        </w:rPr>
        <w:t>四、结论与建议</w:t>
      </w:r>
    </w:p>
    <w:p w14:paraId="760DDBED">
      <w:pPr>
        <w:pStyle w:val="4"/>
        <w:spacing w:before="120" w:after="60"/>
      </w:pPr>
      <w:r>
        <w:rPr>
          <w:rFonts w:ascii="宋体" w:hAnsi="宋体" w:eastAsia="宋体"/>
        </w:rPr>
        <w:t>4.1 主要结论</w:t>
      </w:r>
    </w:p>
    <w:p w14:paraId="19EFDB6E">
      <w:pPr>
        <w:spacing w:before="0" w:after="0" w:line="360" w:lineRule="auto"/>
        <w:ind w:firstLine="420"/>
        <w:jc w:val="both"/>
      </w:pPr>
      <w:r>
        <w:rPr>
          <w:rFonts w:ascii="宋体" w:hAnsi="宋体" w:eastAsia="宋体"/>
          <w:b w:val="0"/>
          <w:sz w:val="21"/>
        </w:rPr>
        <w:t>第一，海龟策略在A股市场具有显著的有效性。在趋势特征明显的标的（如兆易创新、宁德时代）上，S1系统的年化收益率达到17%—47%，夏普比率0.77—1.36，风险调整后收益显著优于买入持有策略。策略的机械化执行方式完全去除了情绪干扰，将交易决策转化为规则化的算法操作。</w:t>
      </w:r>
    </w:p>
    <w:p w14:paraId="50A6715D">
      <w:pPr>
        <w:spacing w:before="0" w:after="0" w:line="360" w:lineRule="auto"/>
        <w:ind w:firstLine="420"/>
        <w:jc w:val="both"/>
      </w:pPr>
      <w:r>
        <w:rPr>
          <w:rFonts w:ascii="宋体" w:hAnsi="宋体" w:eastAsia="宋体"/>
          <w:b w:val="0"/>
          <w:sz w:val="21"/>
        </w:rPr>
        <w:t>第二，S1系统整体优于S2系统。在全部测试标的中，S1（20日突破/10日退出）的各项绩效指标均优于S2（55日突破/20日退出），表明A股市场的趋势生命周期相对较短，更灵敏的突破周期更适应本地市场的运行特征。</w:t>
      </w:r>
    </w:p>
    <w:p w14:paraId="3D521642">
      <w:pPr>
        <w:spacing w:before="0" w:after="0" w:line="360" w:lineRule="auto"/>
        <w:ind w:firstLine="420"/>
        <w:jc w:val="both"/>
      </w:pPr>
      <w:r>
        <w:rPr>
          <w:rFonts w:ascii="宋体" w:hAnsi="宋体" w:eastAsia="宋体"/>
          <w:b w:val="0"/>
          <w:sz w:val="21"/>
        </w:rPr>
        <w:t>第三，ATR动态仓位管理是策略风险控制的核心。2N止损机制将每笔交易的理论最大亏损控制在账户总资金的2%以内，而ATR驱动的仓位调整确保了不同市场环境下的风险敞口一致性。在五只股票上，策略的最大回撤均被控制在10%—25%之间，远低于标的自身的价格波动范围。</w:t>
      </w:r>
    </w:p>
    <w:p w14:paraId="6CF09142">
      <w:pPr>
        <w:spacing w:before="0" w:after="0" w:line="360" w:lineRule="auto"/>
        <w:ind w:firstLine="420"/>
        <w:jc w:val="both"/>
      </w:pPr>
      <w:r>
        <w:rPr>
          <w:rFonts w:ascii="宋体" w:hAnsi="宋体" w:eastAsia="宋体"/>
          <w:b w:val="0"/>
          <w:sz w:val="21"/>
        </w:rPr>
        <w:t>第四，策略的效果高度依赖于标的的选择。海龟策略最适合股价适中（20—500元）、趋势特征明确、流动性充裕的中大盘成长股。贵州茅台的案例说明，过高的股价会导致仓位管理受限，从而影响策略效果。</w:t>
      </w:r>
    </w:p>
    <w:p w14:paraId="69E359AB">
      <w:pPr>
        <w:pStyle w:val="4"/>
        <w:spacing w:before="120" w:after="60"/>
      </w:pPr>
      <w:r>
        <w:rPr>
          <w:rFonts w:ascii="宋体" w:hAnsi="宋体" w:eastAsia="宋体"/>
        </w:rPr>
        <w:t>4.2 策略的适应场景与局限</w:t>
      </w:r>
    </w:p>
    <w:p w14:paraId="0AAE98A1">
      <w:pPr>
        <w:spacing w:before="0" w:after="0" w:line="360" w:lineRule="auto"/>
        <w:ind w:firstLine="420"/>
        <w:jc w:val="both"/>
      </w:pPr>
      <w:r>
        <w:rPr>
          <w:rFonts w:ascii="宋体" w:hAnsi="宋体" w:eastAsia="宋体"/>
          <w:b w:val="0"/>
          <w:sz w:val="21"/>
        </w:rPr>
        <w:t>适应场景方面，海龟策略最适合以下市场环境：（1）存在明显趋势行情的市场，如2020—2021年的新能源赛道行情；（2）波动率适中的中大盘股票；（3）长周期投资，持仓周期通常为数周至数月；（4）多品种分散的组合策略，通过不同标的之间的低相关性来平滑资金曲线。</w:t>
      </w:r>
    </w:p>
    <w:p w14:paraId="22A12C31">
      <w:pPr>
        <w:spacing w:before="0" w:after="0" w:line="360" w:lineRule="auto"/>
        <w:ind w:firstLine="420"/>
        <w:jc w:val="both"/>
      </w:pPr>
      <w:r>
        <w:rPr>
          <w:rFonts w:ascii="宋体" w:hAnsi="宋体" w:eastAsia="宋体"/>
          <w:b w:val="0"/>
          <w:sz w:val="21"/>
        </w:rPr>
        <w:t>局限方面：（1）胜率偏低（通常30%—62%），连续亏损在震荡市中不可避免，对交易者的心理承受能力要求较高；（2）最大回撤通常在15%—25%，资金曲线波动较大，需要投资者有足够的风险容忍度；（3）在横盘震荡市中会因反复的假突破而产生累积亏损；（4）单只股票的回测无法充分体现海龟策略多品种分散的核心优势。</w:t>
      </w:r>
    </w:p>
    <w:p w14:paraId="1F3B9411">
      <w:pPr>
        <w:pStyle w:val="4"/>
        <w:spacing w:before="120" w:after="60"/>
      </w:pPr>
      <w:r>
        <w:rPr>
          <w:rFonts w:ascii="宋体" w:hAnsi="宋体" w:eastAsia="宋体"/>
        </w:rPr>
        <w:t>4.3 改进建议</w:t>
      </w:r>
    </w:p>
    <w:p w14:paraId="222300A1">
      <w:pPr>
        <w:spacing w:before="0" w:after="0" w:line="360" w:lineRule="auto"/>
        <w:ind w:firstLine="420"/>
        <w:jc w:val="both"/>
      </w:pPr>
      <w:r>
        <w:rPr>
          <w:rFonts w:ascii="宋体" w:hAnsi="宋体" w:eastAsia="宋体"/>
          <w:b w:val="0"/>
          <w:sz w:val="21"/>
        </w:rPr>
        <w:t>基于本报告的分析结果，提出以下改进建议：</w:t>
      </w:r>
    </w:p>
    <w:p w14:paraId="3FD806DE">
      <w:pPr>
        <w:spacing w:before="0" w:after="0" w:line="360" w:lineRule="auto"/>
        <w:ind w:firstLine="420"/>
        <w:jc w:val="both"/>
      </w:pPr>
      <w:r>
        <w:rPr>
          <w:rFonts w:ascii="宋体" w:hAnsi="宋体" w:eastAsia="宋体"/>
          <w:b w:val="0"/>
          <w:sz w:val="21"/>
        </w:rPr>
        <w:t>（1）扩展至多品种组合。海龟策略的原始设计理念依赖于多品种分散，建议将策略应用于ETF或板块指数，通过持有5—10个相关性较低的标的，在保持预期收益的同时显著降低组合的整体波动。</w:t>
      </w:r>
    </w:p>
    <w:p w14:paraId="5B8D240B">
      <w:pPr>
        <w:spacing w:before="0" w:after="0" w:line="360" w:lineRule="auto"/>
        <w:ind w:firstLine="420"/>
        <w:jc w:val="both"/>
      </w:pPr>
      <w:r>
        <w:rPr>
          <w:rFonts w:ascii="宋体" w:hAnsi="宋体" w:eastAsia="宋体"/>
          <w:b w:val="0"/>
          <w:sz w:val="21"/>
        </w:rPr>
        <w:t>（2）引入参数优化机制。S1参数（20/10）在本回测中表现最优，但最优参数可能随市场周期和标的特征变化。建议引入滚动窗口的网格搜索机制，每季度对参数的稳健性进行检验和调整。</w:t>
      </w:r>
    </w:p>
    <w:p w14:paraId="2A226BCE">
      <w:pPr>
        <w:spacing w:before="0" w:after="0" w:line="360" w:lineRule="auto"/>
        <w:ind w:firstLine="420"/>
        <w:jc w:val="both"/>
      </w:pPr>
      <w:r>
        <w:rPr>
          <w:rFonts w:ascii="宋体" w:hAnsi="宋体" w:eastAsia="宋体"/>
          <w:b w:val="0"/>
          <w:sz w:val="21"/>
        </w:rPr>
        <w:t>（3）增加趋势过滤条件。在持续下跌趋势中，可考虑加入更高时间框架的过滤条件，如周线级别的均线方向判断，避免在明确的下跌趋势中反复做多。</w:t>
      </w:r>
    </w:p>
    <w:p w14:paraId="2BDB998E">
      <w:pPr>
        <w:spacing w:before="0" w:after="0" w:line="360" w:lineRule="auto"/>
        <w:ind w:firstLine="420"/>
        <w:jc w:val="both"/>
      </w:pPr>
      <w:r>
        <w:rPr>
          <w:rFonts w:ascii="宋体" w:hAnsi="宋体" w:eastAsia="宋体"/>
          <w:b w:val="0"/>
          <w:sz w:val="21"/>
        </w:rPr>
        <w:t>（4）优化高价标的的仓位计算。对于贵州茅台这类高价股，可考虑使用ETF替代或调整每单位头寸的计算基数，减少交易制度对策略效果的制约。</w:t>
      </w:r>
    </w:p>
    <w:p w14:paraId="2499089A">
      <w:pPr>
        <w:spacing w:before="0" w:after="0" w:line="360" w:lineRule="auto"/>
        <w:ind w:firstLine="420"/>
        <w:jc w:val="both"/>
      </w:pPr>
      <w:r>
        <w:rPr>
          <w:rFonts w:ascii="宋体" w:hAnsi="宋体" w:eastAsia="宋体"/>
          <w:b w:val="0"/>
          <w:sz w:val="21"/>
        </w:rPr>
        <w:t>（5）建立完整的交易纪律和风控框架。海龟策略的成功不仅依赖于策略本身的规则，更需要交易者严格执行这些规则的纪律。建议在实盘前通过模拟盘验证策略，并建立包含最大回撤阈值、单日亏损上限等参数的完整风控框架。</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24231E"/>
    <w:rsid w:val="7BF113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4771</Words>
  <Characters>5678</Characters>
  <Lines>0</Lines>
  <Paragraphs>0</Paragraphs>
  <TotalTime>1</TotalTime>
  <ScaleCrop>false</ScaleCrop>
  <LinksUpToDate>false</LinksUpToDate>
  <CharactersWithSpaces>5700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Forca~~Barca</cp:lastModifiedBy>
  <dcterms:modified xsi:type="dcterms:W3CDTF">2026-07-11T15:25:25Z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eyJoZGlkIjoiZjQyZDZhYThhMzg5NmQzOGM2NzczNDViZTBjYmQxYTgiLCJ1c2VySWQiOiIxMTM1ODUwMTQxIn0=</vt:lpwstr>
  </property>
  <property fmtid="{D5CDD505-2E9C-101B-9397-08002B2CF9AE}" pid="3" name="KSOProductBuildVer">
    <vt:lpwstr>2052-12.1.0.26375</vt:lpwstr>
  </property>
  <property fmtid="{D5CDD505-2E9C-101B-9397-08002B2CF9AE}" pid="4" name="ICV">
    <vt:lpwstr>6033CA1B7782441E8DADD8987BBE3ACD_12</vt:lpwstr>
  </property>
</Properties>
</file>