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fusion_wallet Native Architecture and Agent Handoff</w:t>
      </w:r>
    </w:p>
    <w:p>
      <w:pPr>
        <w:pStyle w:val="Subtitle"/>
      </w:pPr>
      <w:r>
        <w:t>Repository grounded implementation review</w:t>
      </w:r>
    </w:p>
    <w:p>
      <w:r>
        <w:t>Version 2.0  |  16 October 2026  |  Topic F Agent Wallet</w:t>
      </w:r>
    </w:p>
    <w:p>
      <w:r>
        <w:t>Continue the existing Android wallet, integrate the MNN SDK for private local planning, and add enforceable treasury controls before presenting the system as complete. This revision incorporates all five enhancements in the supplied report and separates AHEM research capabilities from the native integration still required.</w:t>
      </w:r>
    </w:p>
    <w:p>
      <w:r>
        <w:t>The full Markdown architecture and coding-agent package contain detailed M0-M7 specifications, exact interface contracts, an ordered TODO, 133 acceptance definitions and an executable evidence gate. This Word document is the concise review copy.</w:t>
      </w:r>
    </w:p>
    <w:p>
      <w:pPr>
        <w:pStyle w:val="Heading2"/>
      </w:pPr>
      <w:r>
        <w:t>Core decisions</w:t>
      </w:r>
    </w:p>
    <w:tbl>
      <w:tblPr>
        <w:tblW w:type="auto" w:w="0"/>
        <w:jc w:val="center"/>
        <w:tblLayout w:type="fixed"/>
        <w:tblLook w:firstColumn="1" w:firstRow="1" w:lastColumn="0" w:lastRow="0" w:noHBand="0" w:noVBand="1" w:val="04A0"/>
      </w:tblPr>
      <w:tblGrid>
        <w:gridCol w:w="1944"/>
        <w:gridCol w:w="8136"/>
      </w:tblGrid>
      <w:tr>
        <w:trPr>
          <w:tblHeader w:val="true"/>
          <w:cantSplit/>
        </w:trPr>
        <w:tc>
          <w:tcPr>
            <w:tcW w:type="dxa" w:w="1944"/>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Area</w:t>
            </w:r>
          </w:p>
        </w:tc>
        <w:tc>
          <w:tcPr>
            <w:tcW w:type="dxa" w:w="8136"/>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Final base decision</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Product</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SME operating reserve and accounts-payable planning; supplier payments remain outside the base</w:t>
            </w:r>
          </w:p>
        </w:tc>
      </w:tr>
      <w:tr>
        <w:trPr>
          <w:cantSplit/>
        </w:trPr>
        <w:tc>
          <w:tcPr>
            <w:tcW w:type="dxa" w:w="19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Application</w:t>
            </w:r>
          </w:p>
        </w:tc>
        <w:tc>
          <w:tcPr>
            <w:tcW w:type="dxa" w:w="81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Keep the Compose UI and reusable Rust core in Fintech_Wallet_Agent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Private inference</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Use the existing MNN SDK inside a separate Android app without network permission</w:t>
            </w:r>
          </w:p>
        </w:tc>
      </w:tr>
      <w:tr>
        <w:trPr>
          <w:cantSplit/>
        </w:trPr>
        <w:tc>
          <w:tcPr>
            <w:tcW w:type="dxa" w:w="19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Authority</w:t>
            </w:r>
          </w:p>
        </w:tc>
        <w:tc>
          <w:tcPr>
            <w:tcW w:type="dxa" w:w="81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Separate signer app, trusted owner review and a restricted treasury smart contract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Treasury</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Three buckets backed by an owner-approved obligation commitment and protected cash floor</w:t>
            </w:r>
          </w:p>
        </w:tc>
      </w:tr>
      <w:tr>
        <w:trPr>
          <w:cantSplit/>
        </w:trPr>
        <w:tc>
          <w:tcPr>
            <w:tcW w:type="dxa" w:w="19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Execution</w:t>
            </w:r>
          </w:p>
        </w:tc>
        <w:tc>
          <w:tcPr>
            <w:tcW w:type="dxa" w:w="81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Up to 10 immediate; over 10 through 100 delayed; over 100 requires exact owner approval</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Research</w:t>
            </w:r>
          </w:p>
        </w:tc>
        <w:tc>
          <w:tcPr>
            <w:tcW w:type="dxa" w:w="81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AHEM can veto, but cannot authorize funds or waive deterministic policy</w:t>
            </w:r>
          </w:p>
        </w:tc>
      </w:tr>
    </w:tbl>
    <w:p/>
    <w:p>
      <w:pPr>
        <w:pStyle w:val="Heading2"/>
      </w:pPr>
      <w:r>
        <w:t>Evidence status</w:t>
      </w:r>
    </w:p>
    <w:p>
      <w:r>
        <w:t>Source and native-library inspection are complete. The Rust source no-mock audit passed. The SDK CI built the AAR, then failed an ABI-suspect symbol check. Integrated Rust, Android, model, AHEM and chain runtime suites have not been run in this review. Their acceptance records remain NOT_RUN.</w:t>
      </w:r>
    </w:p>
    <w:p>
      <w:r>
        <w:t>Scope is disposable DemoUSD on Anvil and Base Sepolia, with two demonstration vaults. No production-safety, profitability or competition outcome is guaranteed.</w:t>
      </w:r>
    </w:p>
    <w:p>
      <w:r>
        <w:br w:type="page"/>
      </w:r>
    </w:p>
    <w:p>
      <w:pPr>
        <w:pStyle w:val="Heading1"/>
      </w:pPr>
      <w:r>
        <w:t>What to preserve and what to replace</w:t>
      </w:r>
    </w:p>
    <w:p>
      <w:r>
        <w:t>The current wallet has a useful native foundation. Preserve the visual system, navigation, tabs, settings drawer, terminal sheet and existing card components. The integration seam needs more than replacing one data source.</w:t>
      </w:r>
    </w:p>
    <w:tbl>
      <w:tblPr>
        <w:tblW w:type="auto" w:w="0"/>
        <w:jc w:val="center"/>
        <w:tblLayout w:type="fixed"/>
        <w:tblLook w:firstColumn="1" w:firstRow="1" w:lastColumn="0" w:lastRow="0" w:noHBand="0" w:noVBand="1" w:val="04A0"/>
      </w:tblPr>
      <w:tblGrid>
        <w:gridCol w:w="2016"/>
        <w:gridCol w:w="3528"/>
        <w:gridCol w:w="4536"/>
      </w:tblGrid>
      <w:tr>
        <w:trPr>
          <w:tblHeader w:val="true"/>
          <w:cantSplit/>
        </w:trPr>
        <w:tc>
          <w:tcPr>
            <w:tcW w:type="dxa" w:w="2016"/>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Existing component</w:t>
            </w:r>
          </w:p>
        </w:tc>
        <w:tc>
          <w:tcPr>
            <w:tcW w:type="dxa" w:w="3528"/>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Finding</w:t>
            </w:r>
          </w:p>
        </w:tc>
        <w:tc>
          <w:tcPr>
            <w:tcW w:type="dxa" w:w="4536"/>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Continuation</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Compose shell</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Interactive UI exists</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Extend it; do not rebuild a parallel web dashboard</w:t>
            </w:r>
          </w:p>
        </w:tc>
      </w:tr>
      <w:tr>
        <w:trPr>
          <w:cantSplit/>
        </w:trPr>
        <w:tc>
          <w:tcPr>
            <w:tcW w:type="dxa" w:w="20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DemoIntentSource</w:t>
            </w:r>
          </w:p>
        </w:tc>
        <w:tc>
          <w:tcPr>
            <w:tcW w:type="dxa" w:w="35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Regex intent parsing, fixed balances and fabricated hash</w:t>
            </w:r>
          </w:p>
        </w:tc>
        <w:tc>
          <w:tcPr>
            <w:tcW w:type="dxa" w:w="45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Move to demo/test sources; connect real local planner and durable state</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PreFlightGuardrailCard</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Already presents rule checks</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Add exact decoded fields and a signer-owned confirmation screen</w:t>
            </w:r>
          </w:p>
        </w:tc>
      </w:tr>
      <w:tr>
        <w:trPr>
          <w:cantSplit/>
        </w:trPr>
        <w:tc>
          <w:tcPr>
            <w:tcW w:type="dxa" w:w="20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Rust guardrails</w:t>
            </w:r>
          </w:p>
        </w:tc>
        <w:tc>
          <w:tcPr>
            <w:tcW w:type="dxa" w:w="35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Real parsing, caps, asset checks and tests</w:t>
            </w:r>
          </w:p>
        </w:tc>
        <w:tc>
          <w:tcPr>
            <w:tcW w:type="dxa" w:w="45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Keep useful code; replace float-based financial authority</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Transfer executor</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Only transfers are supported; Swap/Stake refused</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Add restricted vault operations; quarantine the old product export</w:t>
            </w:r>
          </w:p>
        </w:tc>
      </w:tr>
      <w:tr>
        <w:trPr>
          <w:cantSplit/>
        </w:trPr>
        <w:tc>
          <w:tcPr>
            <w:tcW w:type="dxa" w:w="20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Destination checks</w:t>
            </w:r>
          </w:p>
        </w:tc>
        <w:tc>
          <w:tcPr>
            <w:tcW w:type="dxa" w:w="35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Only syntax/nonzero checks; whitelist is for tokens</w:t>
            </w:r>
          </w:p>
        </w:tc>
        <w:tc>
          <w:tcPr>
            <w:tcW w:type="dxa" w:w="45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Pin two vaults and wallet receiver; no arbitrary delegated recipient</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Ledger persistence</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Invalid/corrupt state falls back to zero</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Fail closed and reconcile chain before recovery</w:t>
            </w:r>
          </w:p>
        </w:tc>
      </w:tr>
      <w:tr>
        <w:trPr>
          <w:cantSplit/>
        </w:trPr>
        <w:tc>
          <w:tcPr>
            <w:tcW w:type="dxa" w:w="201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Transaction result</w:t>
            </w:r>
          </w:p>
        </w:tc>
        <w:tc>
          <w:tcPr>
            <w:tcW w:type="dxa" w:w="35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Broadcast hash is treated as success</w:t>
            </w:r>
          </w:p>
        </w:tc>
        <w:tc>
          <w:tcPr>
            <w:tcW w:type="dxa" w:w="453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Track UNKNOWN through canonical receipt and reconciliation</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Key boundary</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Private-key String enters UniFFI</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Use typed signer requests and opaque handles</w:t>
            </w:r>
          </w:p>
        </w:tc>
      </w:tr>
    </w:tbl>
    <w:p/>
    <w:p>
      <w:pPr>
        <w:pStyle w:val="Heading2"/>
      </w:pPr>
      <w:r>
        <w:t>Validation debt</w:t>
      </w:r>
    </w:p>
    <w:p>
      <w:r>
        <w:t>The README reports 121 Rust tests; this review did not rerun them. A source audit is narrower than a runtime test. The current validation script also masks some command failures through shell pipelines; the release runner must preserve exit codes and reject required skips.</w:t>
      </w:r>
    </w:p>
    <w:p>
      <w:r>
        <w:t>Settings and health labels must come from confirmed state and measured capabilities. A fixed 118 ms latency or “MNN ready” log cannot remain in the real build.</w:t>
      </w:r>
    </w:p>
    <w:p>
      <w:r>
        <w:br w:type="page"/>
      </w:r>
    </w:p>
    <w:p>
      <w:pPr>
        <w:pStyle w:val="Heading1"/>
      </w:pPr>
      <w:r>
        <w:t>MNN and AHEM compatibility findings</w:t>
      </w:r>
    </w:p>
    <w:p>
      <w:pPr>
        <w:pStyle w:val="Heading2"/>
      </w:pPr>
      <w:r>
        <w:t>MNN SDK</w:t>
      </w:r>
    </w:p>
    <w:p>
      <w:r>
        <w:t>The pinned SDK is a reusable Kotlin/JNI integration with MNN 3.6.1 libraries for ARM64 and ARMv7. Its latest inspected CI run compiled the AAR successfully, then reported a missing createFromBuffer symbol. Unit tests, lint and the minified consumer checks were skipped after that failure.</w:t>
      </w:r>
    </w:p>
    <w:p>
      <w:r>
        <w:t>The workflow selects the first built bridge but always compares it with ARM64 libraries. Local symbol inspection found the expected platform-specific size_t symbols in both ABI sets. A cross-ABI comparison is the leading explanation; fix the checker and rerun before changing native declarations.</w:t>
      </w:r>
    </w:p>
    <w:p>
      <w:r>
        <w:t>Source and README disagree on cancellation and templating. Native USER_CANCEL support exists, but different generation APIs have different lifetime paths. Serialize calls, verify timeout and close behavior on the real device, and never free a handle while native work may still be running.</w:t>
      </w:r>
    </w:p>
    <w:p>
      <w:pPr>
        <w:pStyle w:val="Heading2"/>
      </w:pPr>
      <w:r>
        <w:t>AHEM research</w:t>
      </w:r>
    </w:p>
    <w:tbl>
      <w:tblPr>
        <w:tblW w:type="auto" w:w="0"/>
        <w:jc w:val="center"/>
        <w:tblLayout w:type="fixed"/>
        <w:tblLook w:firstColumn="1" w:firstRow="1" w:lastColumn="0" w:lastRow="0" w:noHBand="0" w:noVBand="1" w:val="04A0"/>
      </w:tblPr>
      <w:tblGrid>
        <w:gridCol w:w="4320"/>
        <w:gridCol w:w="5760"/>
      </w:tblGrid>
      <w:tr>
        <w:trPr>
          <w:tblHeader w:val="true"/>
          <w:cantSplit/>
        </w:trPr>
        <w:tc>
          <w:tcPr>
            <w:tcW w:type="dxa" w:w="4320"/>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Finding</w:t>
            </w:r>
          </w:p>
        </w:tc>
        <w:tc>
          <w:tcPr>
            <w:tcW w:type="dxa" w:w="5760"/>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Required response</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Required native hook exports absent from SDK libraries</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Build and pin a real MNN hook integration; adding the Rust crate is insufficient</w:t>
            </w:r>
          </w:p>
        </w:tc>
      </w:tr>
      <w:tr>
        <w:trPr>
          <w:cantSplit/>
        </w:trPr>
        <w:tc>
          <w:tcPr>
            <w:tcW w:type="dxa" w:w="432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Hook file is a template with layout TODO</w:t>
            </w:r>
          </w:p>
        </w:tc>
        <w:tc>
          <w:tcPr>
            <w:tcW w:type="dxa" w:w="576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Implement host-readable shape/dtype/layout conversion and lifetime ownership</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Returned pointer outlives the template lock</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Use a synchronous callback or a correctly paired acquire/release contract</w:t>
            </w:r>
          </w:p>
        </w:tc>
      </w:tr>
      <w:tr>
        <w:trPr>
          <w:cantSplit/>
        </w:trPr>
        <w:tc>
          <w:tcPr>
            <w:tcW w:type="dxa" w:w="432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Hardcoded latent width and region mapping</w:t>
            </w:r>
          </w:p>
        </w:tc>
        <w:tc>
          <w:tcPr>
            <w:tcW w:type="dxa" w:w="576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Bind grounding and calibration to the actual model and quantization</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Calibration verifies on training data and omits learned w from export</w:t>
            </w:r>
          </w:p>
        </w:tc>
        <w:tc>
          <w:tcPr>
            <w:tcW w:type="dxa" w:w="57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Save the full projection and evaluate on held-out scenario families</w:t>
            </w:r>
          </w:p>
        </w:tc>
      </w:tr>
      <w:tr>
        <w:trPr>
          <w:cantSplit/>
        </w:trPr>
        <w:tc>
          <w:tcPr>
            <w:tcW w:type="dxa" w:w="432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Live native tests are ignored by default</w:t>
            </w:r>
          </w:p>
        </w:tc>
        <w:tc>
          <w:tcPr>
            <w:tcW w:type="dxa" w:w="576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Run mandatory real-hook tests before any tensor-enforcement claim</w:t>
            </w:r>
          </w:p>
        </w:tc>
      </w:tr>
    </w:tbl>
    <w:p/>
    <w:p>
      <w:r>
        <w:t>Use OFF, SHADOW and ENFORCED modes with accurate status. AHEM adds refusal and telemetry. It does not prove prompt-injection immunity or replace contract limits. Desktop shell/BSPWM capabilities do not belong in the mobile integration.</w:t>
      </w:r>
    </w:p>
    <w:p>
      <w:r>
        <w:br w:type="page"/>
      </w:r>
    </w:p>
    <w:p>
      <w:pPr>
        <w:pStyle w:val="Heading1"/>
      </w:pPr>
      <w:r>
        <w:t>Native boundaries and private handover</w:t>
      </w:r>
    </w:p>
    <w:tbl>
      <w:tblPr>
        <w:tblW w:type="auto" w:w="0"/>
        <w:jc w:val="center"/>
        <w:tblLayout w:type="fixed"/>
        <w:tblLook w:firstColumn="1" w:firstRow="1" w:lastColumn="0" w:lastRow="0" w:noHBand="0" w:noVBand="1" w:val="04A0"/>
      </w:tblPr>
      <w:tblGrid>
        <w:gridCol w:w="1944"/>
        <w:gridCol w:w="4032"/>
        <w:gridCol w:w="4104"/>
      </w:tblGrid>
      <w:tr>
        <w:trPr>
          <w:tblHeader w:val="true"/>
          <w:cantSplit/>
        </w:trPr>
        <w:tc>
          <w:tcPr>
            <w:tcW w:type="dxa" w:w="1944"/>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Application</w:t>
            </w:r>
          </w:p>
        </w:tc>
        <w:tc>
          <w:tcPr>
            <w:tcW w:type="dxa" w:w="4032"/>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Authority and data</w:t>
            </w:r>
          </w:p>
        </w:tc>
        <w:tc>
          <w:tcPr>
            <w:tcW w:type="dxa" w:w="4104"/>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Boundary</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Wallet app</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Compose, private obligations, Rust candidates and worker journal</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Existing app.fusion.wallet; no private signing key</w:t>
            </w:r>
          </w:p>
        </w:tc>
      </w:tr>
      <w:tr>
        <w:trPr>
          <w:cantSplit/>
        </w:trPr>
        <w:tc>
          <w:tcPr>
            <w:tcW w:type="dxa" w:w="19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Inference app</w:t>
            </w:r>
          </w:p>
        </w:tc>
        <w:tc>
          <w:tcPr>
            <w:tcW w:type="dxa" w:w="403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Verified models, MNN generation and AHEM gate</w:t>
            </w:r>
          </w:p>
        </w:tc>
        <w:tc>
          <w:tcPr>
            <w:tcW w:type="dxa" w:w="410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Separate UID, no INTERNET permission, no signing API</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Signer app</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Protected keys, exact policy checks, raw signed bytes and owner review</w:t>
            </w:r>
          </w:p>
        </w:tc>
        <w:tc>
          <w:tcPr>
            <w:tcW w:type="dxa" w:w="41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Separate UID and storage; typed Binder service only</w:t>
            </w:r>
          </w:p>
        </w:tc>
      </w:tr>
    </w:tbl>
    <w:p/>
    <w:p>
      <w:r>
        <w:t>Use explicit component binding, signature permission and exact caller UID/package/certificate checks. Different processes sharing one UID are not the intended security boundary. Separate inference storage keeps the SDK’s normal model-file APIs usable.</w:t>
      </w:r>
    </w:p>
    <w:p>
      <w:pPr>
        <w:pStyle w:val="Heading2"/>
      </w:pPr>
      <w:r>
        <w:t>Signing and owner consent</w:t>
      </w:r>
    </w:p>
    <w:p>
      <w:r>
        <w:t>The owner reviews an independently decoded action in the signer app and authenticates before signing. No “ownerApproved=true” request is accepted from the wallet. Keys are software secp256k1 material wrapped by Android Keystore keys; this is not hardware Ethereum signing. Plaintext exists briefly inside the signer process.</w:t>
      </w:r>
    </w:p>
    <w:p>
      <w:pPr>
        <w:pStyle w:val="Heading2"/>
      </w:pPr>
      <w:r>
        <w:t>Local planning and critical events</w:t>
      </w:r>
    </w:p>
    <w:p>
      <w:r>
        <w:t>The model returns one existing candidate ID or HOLD. It receives necessary financial context locally, never keys. Deterministic code persists a halt and closes signing before asking the model to explain an incident. Late results from old request generations are discarded.</w:t>
      </w:r>
    </w:p>
    <w:p>
      <w:r>
        <w:t>LOCAL_ONLY is the release default. Optional public cloud help accepts only fixed educational topic codes. No free text, wallet addresses, invoices, balances or incident context may be sent. A failed local model produces HOLD, not a cloud fallback.</w:t>
      </w:r>
    </w:p>
    <w:p>
      <w:pPr>
        <w:pStyle w:val="Heading2"/>
      </w:pPr>
      <w:r>
        <w:t>Practical operating limit</w:t>
      </w:r>
    </w:p>
    <w:p>
      <w:r>
        <w:t>Android does not guarantee continuous background execution. The base demo runs with the app visible and services connected. Suspension, service death or stale health causes a latch and reconciliation on restart. A transaction already broadcast may settle before an on-chain pause is mined.</w:t>
      </w:r>
    </w:p>
    <w:p>
      <w:r>
        <w:br w:type="page"/>
      </w:r>
    </w:p>
    <w:p>
      <w:pPr>
        <w:pStyle w:val="Heading1"/>
      </w:pPr>
      <w:r>
        <w:t>The five required enhancements</w:t>
      </w:r>
    </w:p>
    <w:tbl>
      <w:tblPr>
        <w:tblW w:type="auto" w:w="0"/>
        <w:jc w:val="center"/>
        <w:tblLayout w:type="fixed"/>
        <w:tblLook w:firstColumn="1" w:firstRow="1" w:lastColumn="0" w:lastRow="0" w:noHBand="0" w:noVBand="1" w:val="04A0"/>
      </w:tblPr>
      <w:tblGrid>
        <w:gridCol w:w="2592"/>
        <w:gridCol w:w="7488"/>
      </w:tblGrid>
      <w:tr>
        <w:trPr>
          <w:tblHeader w:val="true"/>
          <w:cantSplit/>
        </w:trPr>
        <w:tc>
          <w:tcPr>
            <w:tcW w:type="dxa" w:w="2592"/>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Enhancement</w:t>
            </w:r>
          </w:p>
        </w:tc>
        <w:tc>
          <w:tcPr>
            <w:tcW w:type="dxa" w:w="7488"/>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Implementation and judge proof</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Three treasury buckets</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Show free cash, backed reserved cash and deployed holdings. Enforce obligations plus buffer in the contract, not only the UI.</w:t>
            </w:r>
          </w:p>
        </w:tc>
      </w:tr>
      <w:tr>
        <w:trPr>
          <w:cantSplit/>
        </w:trPr>
        <w:tc>
          <w:tcPr>
            <w:tcW w:type="dxa" w:w="259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Attack arena</w:t>
            </w:r>
          </w:p>
        </w:tc>
        <w:tc>
          <w:tcPr>
            <w:tcW w:type="dxa" w:w="748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Use fixed hostile scenarios on isolated Anvil assets. Show actual model/guard/contract evidence and clearly labelled naive simulation.</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Cancellation window</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Mid-tier actions queue on-chain for 180 seconds. Owner or guardian cancellation needs a canonical receipt. Fresh checks run before execution.</w:t>
            </w:r>
          </w:p>
        </w:tc>
      </w:tr>
      <w:tr>
        <w:trPr>
          <w:cantSplit/>
        </w:trPr>
        <w:tc>
          <w:tcPr>
            <w:tcW w:type="dxa" w:w="259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Decoded intent cards</w:t>
            </w:r>
          </w:p>
        </w:tc>
        <w:tc>
          <w:tcPr>
            <w:tcW w:type="dxa" w:w="748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Display exact operation, amount, addresses, share bounds, reserve effect, fees and expiry. Signer independently checks the same fields.</w:t>
            </w:r>
          </w:p>
        </w:tc>
      </w:tr>
      <w:tr>
        <w:trPr>
          <w:cantSplit/>
        </w:trPr>
        <w:tc>
          <w:tcPr>
            <w:tcW w:type="dxa" w:w="25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False-block measurement</w:t>
            </w:r>
          </w:p>
        </w:tc>
        <w:tc>
          <w:tcPr>
            <w:tcW w:type="dxa" w:w="74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Freeze 20 benign and 20 malicious cases. Publish actual counts, ASR, FBR, availability and latency with honest denominators.</w:t>
            </w:r>
          </w:p>
        </w:tc>
      </w:tr>
    </w:tbl>
    <w:p/>
    <w:p>
      <w:pPr>
        <w:pStyle w:val="Heading2"/>
      </w:pPr>
      <w:r>
        <w:t>Bucket arithmetic</w:t>
      </w:r>
    </w:p>
    <w:p>
      <w:r>
        <w:t>With cash 5,000, obligations 1,500, buffer 500 and deployed holdings 5,000 DemoUSD: free cash is 3,500, reserved cash 1,500 and deployed value 5,000. Total assets remain 10,000. Sweepable cash is 3,000; protected cash is 2,000. The buffer is part of free cash, not an extra asset bucket.</w:t>
      </w:r>
    </w:p>
    <w:p>
      <w:r>
        <w:t>If cash drops below obligations, show backed reserve and a separate shortfall. Do not hide liabilities or count unfunded invoices as assets. Only owner-confirmed changes alter the active obligation commitment; passing a due date never silently releases an unpaid invoice.</w:t>
      </w:r>
    </w:p>
    <w:p>
      <w:pPr>
        <w:pStyle w:val="Heading2"/>
      </w:pPr>
      <w:r>
        <w:t>Clear product scope</w:t>
      </w:r>
    </w:p>
    <w:p>
      <w:r>
        <w:t>The base manages obligation reservations and vault allocations. It does not execute supplier payments, FX or cross-border transfers. Those capabilities can follow after the core is proved. A realistic SME story is valuable without overstating settlement functionality.</w:t>
      </w:r>
    </w:p>
    <w:p>
      <w:r>
        <w:br w:type="page"/>
      </w:r>
    </w:p>
    <w:p>
      <w:pPr>
        <w:pStyle w:val="Heading1"/>
      </w:pPr>
      <w:r>
        <w:t>Complete module responsibilities</w:t>
      </w:r>
    </w:p>
    <w:tbl>
      <w:tblPr>
        <w:tblW w:type="auto" w:w="0"/>
        <w:jc w:val="center"/>
        <w:tblLayout w:type="fixed"/>
        <w:tblLook w:firstColumn="1" w:firstRow="1" w:lastColumn="0" w:lastRow="0" w:noHBand="0" w:noVBand="1" w:val="04A0"/>
      </w:tblPr>
      <w:tblGrid>
        <w:gridCol w:w="1008"/>
        <w:gridCol w:w="5328"/>
        <w:gridCol w:w="3744"/>
      </w:tblGrid>
      <w:tr>
        <w:trPr>
          <w:tblHeader w:val="true"/>
          <w:cantSplit/>
        </w:trPr>
        <w:tc>
          <w:tcPr>
            <w:tcW w:type="dxa" w:w="1008"/>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Module</w:t>
            </w:r>
          </w:p>
        </w:tc>
        <w:tc>
          <w:tcPr>
            <w:tcW w:type="dxa" w:w="5328"/>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Implementation responsibility</w:t>
            </w:r>
          </w:p>
        </w:tc>
        <w:tc>
          <w:tcPr>
            <w:tcW w:type="dxa" w:w="3744"/>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Primary evidence</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M0</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Owner mandate, confirmed policy, obligation root and session lifecycle</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Draft versus confirmed state; exact owner consent</w:t>
            </w:r>
          </w:p>
        </w:tc>
      </w:tr>
      <w:tr>
        <w:trPr>
          <w:cantSplit/>
        </w:trPr>
        <w:tc>
          <w:tcPr>
            <w:tcW w:type="dxa" w:w="100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M1</w:t>
            </w:r>
          </w:p>
        </w:tc>
        <w:tc>
          <w:tcPr>
            <w:tcW w:type="dxa" w:w="53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Pinned chain reads, fee/risk data and deterministic reflex</w:t>
            </w:r>
          </w:p>
        </w:tc>
        <w:tc>
          <w:tcPr>
            <w:tcW w:type="dxa" w:w="37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Stale/mixed inputs fail; halt independent of model</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M2</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Integer candidates, actual local MNN selection and AHEM status</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Known ID or HOLD; real runtime identity</w:t>
            </w:r>
          </w:p>
        </w:tc>
      </w:tr>
      <w:tr>
        <w:trPr>
          <w:cantSplit/>
        </w:trPr>
        <w:tc>
          <w:tcPr>
            <w:tcW w:type="dxa" w:w="100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M3</w:t>
            </w:r>
          </w:p>
        </w:tc>
        <w:tc>
          <w:tcPr>
            <w:tcW w:type="dxa" w:w="53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Independent policy mirror, decoded review and fresh simulation</w:t>
            </w:r>
          </w:p>
        </w:tc>
        <w:tc>
          <w:tcPr>
            <w:tcW w:type="dxa" w:w="37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Action/card/calldata parity; changed fields need new consent</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M4</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Contract authority, typed signer, queue and recovery</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Direct bypass reverts; no raw key UI boundary</w:t>
            </w:r>
          </w:p>
        </w:tc>
      </w:tr>
      <w:tr>
        <w:trPr>
          <w:cantSplit/>
        </w:trPr>
        <w:tc>
          <w:tcPr>
            <w:tcW w:type="dxa" w:w="100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M5</w:t>
            </w:r>
          </w:p>
        </w:tc>
        <w:tc>
          <w:tcPr>
            <w:tcW w:type="dxa" w:w="53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Durable journals, nonce ownership and reconciliation</w:t>
            </w:r>
          </w:p>
        </w:tc>
        <w:tc>
          <w:tcPr>
            <w:tcW w:type="dxa" w:w="37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Crash/unknown/reorg tests; exactly-once effect</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M6</w:t>
            </w:r>
          </w:p>
        </w:tc>
        <w:tc>
          <w:tcPr>
            <w:tcW w:type="dxa" w:w="53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Existing Compose screens, buckets, queue and arena</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Real state, no fixture success or fake health</w:t>
            </w:r>
          </w:p>
        </w:tc>
      </w:tr>
      <w:tr>
        <w:trPr>
          <w:cantSplit/>
        </w:trPr>
        <w:tc>
          <w:tcPr>
            <w:tcW w:type="dxa" w:w="100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M7</w:t>
            </w:r>
          </w:p>
        </w:tc>
        <w:tc>
          <w:tcPr>
            <w:tcW w:type="dxa" w:w="5328"/>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Frozen evaluation, release gates and submission evidence</w:t>
            </w:r>
          </w:p>
        </w:tc>
        <w:tc>
          <w:tcPr>
            <w:tcW w:type="dxa" w:w="374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Actual counts, receipts and reproducible artifacts</w:t>
            </w:r>
          </w:p>
        </w:tc>
      </w:tr>
    </w:tbl>
    <w:p/>
    <w:p>
      <w:pPr>
        <w:pStyle w:val="Heading2"/>
      </w:pPr>
      <w:r>
        <w:t>One complete vertical slice</w:t>
      </w:r>
    </w:p>
    <w:p>
      <w:r>
        <w:t>Confirmed owner mandate and obligations -&gt; pinned snapshot -&gt; deterministic candidates -&gt; local MNN choice -&gt; policy and decoded review -&gt; queue or exact approval where required -&gt; fresh preflight -&gt; signer-owned durable broadcast -&gt; canonical receipt and per-transaction accounting -&gt; decision passport.</w:t>
      </w:r>
    </w:p>
    <w:p>
      <w:pPr>
        <w:pStyle w:val="Heading2"/>
      </w:pPr>
      <w:r>
        <w:t>Version boundary</w:t>
      </w:r>
    </w:p>
    <w:p>
      <w:r>
        <w:t>Policy and action hashing advance to V3; signer protocol advances to 2.0.0. Old V2 digests and Linux-socket assumptions must not be mixed into this design. Deploy a fresh test wallet. Exact tuple ordering and reference vectors are supplied in the machine-readable handoff.</w:t>
      </w:r>
    </w:p>
    <w:p>
      <w:r>
        <w:t>HOLD is a valid outcome when economics or safety requires it, but it is not counted as an executed financial task. No streamed or partial model response can dispatch a transaction.</w:t>
      </w:r>
    </w:p>
    <w:p>
      <w:r>
        <w:br w:type="page"/>
      </w:r>
    </w:p>
    <w:p>
      <w:pPr>
        <w:pStyle w:val="Heading1"/>
      </w:pPr>
      <w:r>
        <w:t>Queue signing and recovery rules</w:t>
      </w:r>
    </w:p>
    <w:p>
      <w:pPr>
        <w:pStyle w:val="Heading2"/>
      </w:pPr>
      <w:r>
        <w:t>Amount tiers and authority</w:t>
      </w:r>
    </w:p>
    <w:p>
      <w:r>
        <w:t>AUTONOMOUS permits up to 10 DemoUSD immediately, over 10 through 100 only after the on-chain delay, and larger actions only after exact on-chain owner approval. OWNER_APPROVED requires approval for every amount and retains the middle-tier delay. READ_ONLY cannot execute. Approval never waives hard, daily, session or reserve limits.</w:t>
      </w:r>
    </w:p>
    <w:p>
      <w:r>
        <w:t>One pending action per wallet simplifies budget and nonce ownership. The queue stores exact action fields, digest, ready time and expiry. Its transaction moves no treasury assets. Do not pre-sign execution during the delay. Cancellation, expiry or authority change invalidates the old queue and consumes its action nonce.</w:t>
      </w:r>
    </w:p>
    <w:p>
      <w:pPr>
        <w:pStyle w:val="Heading2"/>
      </w:pPr>
      <w:r>
        <w:t>Persist before sending</w:t>
      </w:r>
    </w:p>
    <w:p>
      <w:r>
        <w:t>The worker records its request. The signer persists nonce, fee reservation, raw bytes and hash before returning a handle. The worker stores the handle. The signer persists a broadcast marker before RPC transmission. A lost response is UNKNOWN and retains the reservation.</w:t>
      </w:r>
    </w:p>
    <w:p>
      <w:pPr>
        <w:pStyle w:val="Heading2"/>
      </w:pPr>
      <w:r>
        <w:t>Reconcile before success</w:t>
      </w:r>
    </w:p>
    <w:p>
      <w:r>
        <w:t>A broadcast hash is not success. Verify canonical receipt status, exact event/digest/session, amounts and share movements. Use transaction-level accounting so a later donation in the same block does not corrupt the result. Five confirmations are the demo rule, not irreversible finality.</w:t>
      </w:r>
    </w:p>
    <w:p>
      <w:pPr>
        <w:pStyle w:val="Heading2"/>
      </w:pPr>
      <w:r>
        <w:t>Recovery</w:t>
      </w:r>
    </w:p>
    <w:p>
      <w:r>
        <w:t>Corrupt storage, incomplete history, unknown nonce or reorg latches the system. Owner recovery requires pause and explicit session revocation. A provably unsent attempt can be retired after confirmed revocation; an uncertain attempt may require permanently retiring the agent key while retaining gas exposure and continuing the chain scan.</w:t>
      </w:r>
    </w:p>
    <w:p>
      <w:r>
        <w:t>No panic handler may assert that funds did not move after a send may have begun. No automatic retry creates a new financial transaction simply because the first RPC call timed out.</w:t>
      </w:r>
    </w:p>
    <w:p>
      <w:r>
        <w:br w:type="page"/>
      </w:r>
    </w:p>
    <w:p>
      <w:pPr>
        <w:pStyle w:val="Heading1"/>
      </w:pPr>
      <w:r>
        <w:t>Ordered coding agent continuation</w:t>
      </w:r>
    </w:p>
    <w:tbl>
      <w:tblPr>
        <w:tblW w:type="auto" w:w="0"/>
        <w:jc w:val="center"/>
        <w:tblLayout w:type="fixed"/>
        <w:tblLook w:firstColumn="1" w:firstRow="1" w:lastColumn="0" w:lastRow="0" w:noHBand="0" w:noVBand="1" w:val="04A0"/>
      </w:tblPr>
      <w:tblGrid>
        <w:gridCol w:w="792"/>
        <w:gridCol w:w="4824"/>
        <w:gridCol w:w="4464"/>
      </w:tblGrid>
      <w:tr>
        <w:trPr>
          <w:tblHeader w:val="true"/>
          <w:cantSplit/>
        </w:trPr>
        <w:tc>
          <w:tcPr>
            <w:tcW w:type="dxa" w:w="792"/>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Job</w:t>
            </w:r>
          </w:p>
        </w:tc>
        <w:tc>
          <w:tcPr>
            <w:tcW w:type="dxa" w:w="4824"/>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Deliverable</w:t>
            </w:r>
          </w:p>
        </w:tc>
        <w:tc>
          <w:tcPr>
            <w:tcW w:type="dxa" w:w="4464"/>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Completion gate</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J00</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Pin commits and toolchains; record baseline</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Clean build matrix and preserved UI baseline</w:t>
            </w:r>
          </w:p>
        </w:tc>
      </w:tr>
      <w:tr>
        <w:trPr>
          <w:cantSplit/>
        </w:trPr>
        <w:tc>
          <w:tcPr>
            <w:tcW w:type="dxa" w:w="79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J01</w:t>
            </w:r>
          </w:p>
        </w:tc>
        <w:tc>
          <w:tcPr>
            <w:tcW w:type="dxa" w:w="482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Verify and package MNN SDK</w:t>
            </w:r>
          </w:p>
        </w:tc>
        <w:tc>
          <w:tcPr>
            <w:tcW w:type="dxa" w:w="44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ABI-matched check and real arm64 lifecycle tests</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J02</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Typed Rust V3 contracts and pure preview</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Integer boundaries, strict schemas and hash parity</w:t>
            </w:r>
          </w:p>
        </w:tc>
      </w:tr>
      <w:tr>
        <w:trPr>
          <w:cantSplit/>
        </w:trPr>
        <w:tc>
          <w:tcPr>
            <w:tcW w:type="dxa" w:w="79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J03</w:t>
            </w:r>
          </w:p>
        </w:tc>
        <w:tc>
          <w:tcPr>
            <w:tcW w:type="dxa" w:w="482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Restricted wallet and demo vaults</w:t>
            </w:r>
          </w:p>
        </w:tc>
        <w:tc>
          <w:tcPr>
            <w:tcW w:type="dxa" w:w="44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Direct bypass, reserve, queue and invariant tests</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J04</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Signer app and owner review</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Caller authentication, key boundary and durable attempt tests</w:t>
            </w:r>
          </w:p>
        </w:tc>
      </w:tr>
      <w:tr>
        <w:trPr>
          <w:cantSplit/>
        </w:trPr>
        <w:tc>
          <w:tcPr>
            <w:tcW w:type="dxa" w:w="79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J05</w:t>
            </w:r>
          </w:p>
        </w:tc>
        <w:tc>
          <w:tcPr>
            <w:tcW w:type="dxa" w:w="482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Inference app and verified provisioning</w:t>
            </w:r>
          </w:p>
        </w:tc>
        <w:tc>
          <w:tcPr>
            <w:tcW w:type="dxa" w:w="44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Real local model, offline evidence and late-output rejection</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J06</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Snapshots, obligations and candidates</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Correct buckets, confirmed commitments and fresh policy</w:t>
            </w:r>
          </w:p>
        </w:tc>
      </w:tr>
      <w:tr>
        <w:trPr>
          <w:cantSplit/>
        </w:trPr>
        <w:tc>
          <w:tcPr>
            <w:tcW w:type="dxa" w:w="79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J07</w:t>
            </w:r>
          </w:p>
        </w:tc>
        <w:tc>
          <w:tcPr>
            <w:tcW w:type="dxa" w:w="482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Durable execution and reconciliation</w:t>
            </w:r>
          </w:p>
        </w:tc>
        <w:tc>
          <w:tcPr>
            <w:tcW w:type="dxa" w:w="44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Crash, unknown-send, nonce and reorg cases</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J08</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All five product enhancements</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Real UI state, arena, decoded cards and benchmark table</w:t>
            </w:r>
          </w:p>
        </w:tc>
      </w:tr>
      <w:tr>
        <w:trPr>
          <w:cantSplit/>
        </w:trPr>
        <w:tc>
          <w:tcPr>
            <w:tcW w:type="dxa" w:w="792"/>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J09</w:t>
            </w:r>
          </w:p>
        </w:tc>
        <w:tc>
          <w:tcPr>
            <w:tcW w:type="dxa" w:w="482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AHEM integration and calibration</w:t>
            </w:r>
          </w:p>
        </w:tc>
        <w:tc>
          <w:tcPr>
            <w:tcW w:type="dxa" w:w="446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Actual hook coverage/veto and held-out ablation</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J10</w:t>
            </w:r>
          </w:p>
        </w:tc>
        <w:tc>
          <w:tcPr>
            <w:tcW w:type="dxa" w:w="48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Release evidence and rehearsal</w:t>
            </w:r>
          </w:p>
        </w:tc>
        <w:tc>
          <w:tcPr>
            <w:tcW w:type="dxa" w:w="44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Required profile passes; genuine public receipts</w:t>
            </w:r>
          </w:p>
        </w:tc>
      </w:tr>
    </w:tbl>
    <w:p/>
    <w:p>
      <w:pPr>
        <w:pStyle w:val="Heading2"/>
      </w:pPr>
      <w:r>
        <w:t>Instructions the agent must follow</w:t>
      </w:r>
    </w:p>
    <w:p>
      <w:r>
        <w:t>Do not edit generated Kotlin manually. Do not pass raw private keys through the UI. Do not treat fixture success, a screenshot or a skipped device test as completed integration. Preserve useful tests; change obsolete expectations with an explicit rationale rather than weakening assertions to obtain green results.</w:t>
      </w:r>
    </w:p>
    <w:p>
      <w:r>
        <w:t>Each job report names changed files, resulting behavior, requirement IDs, exact commands and counts, artifact hashes, remaining blockers and the next action. Missing tools/device/model are BLOCKED. Independent useful work can continue, but the job is not marked complete.</w:t>
      </w:r>
    </w:p>
    <w:p>
      <w:r>
        <w:br w:type="page"/>
      </w:r>
    </w:p>
    <w:p>
      <w:pPr>
        <w:pStyle w:val="Heading1"/>
      </w:pPr>
      <w:r>
        <w:t>Strict validation and evidence gates</w:t>
      </w:r>
    </w:p>
    <w:tbl>
      <w:tblPr>
        <w:tblW w:type="auto" w:w="0"/>
        <w:jc w:val="center"/>
        <w:tblLayout w:type="fixed"/>
        <w:tblLook w:firstColumn="1" w:firstRow="1" w:lastColumn="0" w:lastRow="0" w:noHBand="0" w:noVBand="1" w:val="04A0"/>
      </w:tblPr>
      <w:tblGrid>
        <w:gridCol w:w="2880"/>
        <w:gridCol w:w="7200"/>
      </w:tblGrid>
      <w:tr>
        <w:trPr>
          <w:tblHeader w:val="true"/>
          <w:cantSplit/>
        </w:trPr>
        <w:tc>
          <w:tcPr>
            <w:tcW w:type="dxa" w:w="2880"/>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Profile</w:t>
            </w:r>
          </w:p>
        </w:tc>
        <w:tc>
          <w:tcPr>
            <w:tcW w:type="dxa" w:w="7200"/>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Required evidence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Core</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119 cases covering real MNN, all five enhancements, signing, contracts, privacy and recovery</w:t>
            </w:r>
          </w:p>
        </w:tc>
      </w:tr>
      <w:tr>
        <w:trPr>
          <w:cantSplit/>
        </w:trPr>
        <w:tc>
          <w:tcPr>
            <w:tcW w:type="dxa" w:w="288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Full</w:t>
            </w:r>
          </w:p>
        </w:tc>
        <w:tc>
          <w:tcPr>
            <w:tcW w:type="dxa" w:w="7200"/>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Core plus 11 real AHEM native/calibration/ablation cases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Optional public cloud</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Three additional payload, authority and outage cases; otherwise disabled</w:t>
            </w:r>
          </w:p>
        </w:tc>
      </w:tr>
    </w:tbl>
    <w:p/>
    <w:p>
      <w:r>
        <w:t>The supplied verifier rejects missing cases, FAIL/BLOCKED/NOT_RUN, skipped required assertions, nonzero exits, missing evidence or mismatched hashes. results.template.json deliberately contains no passing results and must fail the release gate.</w:t>
      </w:r>
    </w:p>
    <w:p>
      <w:pPr>
        <w:pStyle w:val="Heading2"/>
      </w:pPr>
      <w:r>
        <w:t>Evidence rules</w:t>
      </w:r>
    </w:p>
    <w:p>
      <w:r>
        <w:t>Each PASS needs mapped test names, the executed command, zero exit code, nonzero assertions, no required skips, the right environment and nonempty hashed evidence. Bind results to the final commit, model, native libraries, APKs and deployment manifest. CI must compare the release commit with its checked-out HEAD.</w:t>
      </w:r>
    </w:p>
    <w:p>
      <w:r>
        <w:t>A JVM fake cannot establish JNI behavior. A mocked model cannot establish local inference. A fabricated receipt cannot establish Anvil or public-chain execution. A Rust-only callback mock cannot establish AHEM tensor coverage. A text sanitizer test cannot establish absence of private network egress.</w:t>
      </w:r>
    </w:p>
    <w:p>
      <w:pPr>
        <w:pStyle w:val="Heading2"/>
      </w:pPr>
      <w:r>
        <w:t>Benchmark targets</w:t>
      </w:r>
    </w:p>
    <w:p>
      <w:r>
        <w:t>Target zero observed unauthorized effects in the frozen malicious suite, at least 90% legitimate acceptance and at most 10% false blocks. These are targets, not current measurements. Publish all counts, setup errors, timeouts and latency. Queued or owner-review acceptance is distinct from completed execution.</w:t>
      </w:r>
    </w:p>
    <w:p>
      <w:r>
        <w:t>Repeat cases with recorded seeds and retain failures. Use held-out scenario families for AHEM evaluation. Report sample size and uncertainty; twenty attacks with zero successes do not prove universal security.</w:t>
      </w:r>
    </w:p>
    <w:p>
      <w:pPr>
        <w:pStyle w:val="Heading2"/>
      </w:pPr>
      <w:r>
        <w:t>Limit of the gate</w:t>
      </w:r>
    </w:p>
    <w:p>
      <w:r>
        <w:t>The verifier checks completeness and evidence integrity. Human review and trusted CI still need to inspect the actual logs and receipts. No handoff can guarantee that an implementation is bug-free.</w:t>
      </w:r>
    </w:p>
    <w:p>
      <w:r>
        <w:br w:type="page"/>
      </w:r>
    </w:p>
    <w:p>
      <w:pPr>
        <w:pStyle w:val="Heading1"/>
      </w:pPr>
      <w:r>
        <w:t>Judge demonstration and source record</w:t>
      </w:r>
    </w:p>
    <w:p>
      <w:pPr>
        <w:pStyle w:val="Heading2"/>
      </w:pPr>
      <w:r>
        <w:t>Five-minute demonstration</w:t>
      </w:r>
    </w:p>
    <w:tbl>
      <w:tblPr>
        <w:tblW w:type="auto" w:w="0"/>
        <w:jc w:val="center"/>
        <w:tblLayout w:type="fixed"/>
        <w:tblLook w:firstColumn="1" w:firstRow="1" w:lastColumn="0" w:lastRow="0" w:noHBand="0" w:noVBand="1" w:val="04A0"/>
      </w:tblPr>
      <w:tblGrid>
        <w:gridCol w:w="1656"/>
        <w:gridCol w:w="8424"/>
      </w:tblGrid>
      <w:tr>
        <w:trPr>
          <w:tblHeader w:val="true"/>
          <w:cantSplit/>
        </w:trPr>
        <w:tc>
          <w:tcPr>
            <w:tcW w:type="dxa" w:w="1656"/>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Time</w:t>
            </w:r>
          </w:p>
        </w:tc>
        <w:tc>
          <w:tcPr>
            <w:tcW w:type="dxa" w:w="8424"/>
            <w:vAlign w:val="center"/>
            <w:shd w:fill="233B5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color w:val="FFFFFF"/>
                <w:sz w:val="19"/>
              </w:rPr>
              <w:t>What to show</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0:00-0:35</w:t>
            </w:r>
          </w:p>
        </w:tc>
        <w:tc>
          <w:tcPr>
            <w:tcW w:type="dxa" w:w="84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SME problem, three buckets and confirmed reserve protection</w:t>
            </w:r>
          </w:p>
        </w:tc>
      </w:tr>
      <w:tr>
        <w:trPr>
          <w:cantSplit/>
        </w:trPr>
        <w:tc>
          <w:tcPr>
            <w:tcW w:type="dxa" w:w="165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0:35-1:20</w:t>
            </w:r>
          </w:p>
        </w:tc>
        <w:tc>
          <w:tcPr>
            <w:tcW w:type="dxa" w:w="842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Actual on-device model selecting a known candidate</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1:20-2:00</w:t>
            </w:r>
          </w:p>
        </w:tc>
        <w:tc>
          <w:tcPr>
            <w:tcW w:type="dxa" w:w="84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Decoded review and genuine reconciled action</w:t>
            </w:r>
          </w:p>
        </w:tc>
      </w:tr>
      <w:tr>
        <w:trPr>
          <w:cantSplit/>
        </w:trPr>
        <w:tc>
          <w:tcPr>
            <w:tcW w:type="dxa" w:w="165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2:00-3:05</w:t>
            </w:r>
          </w:p>
        </w:tc>
        <w:tc>
          <w:tcPr>
            <w:tcW w:type="dxa" w:w="842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Previously queued action with real timestamps and confirmed cancellation</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3:05-4:10</w:t>
            </w:r>
          </w:p>
        </w:tc>
        <w:tc>
          <w:tcPr>
            <w:tcW w:type="dxa" w:w="84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Live injection, depeg or cap attack with the actual rejection layer</w:t>
            </w:r>
          </w:p>
        </w:tc>
      </w:tr>
      <w:tr>
        <w:trPr>
          <w:cantSplit/>
        </w:trPr>
        <w:tc>
          <w:tcPr>
            <w:tcW w:type="dxa" w:w="1656"/>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4:10-4:40</w:t>
            </w:r>
          </w:p>
        </w:tc>
        <w:tc>
          <w:tcPr>
            <w:tcW w:type="dxa" w:w="8424"/>
            <w:vAlign w:val="center"/>
            <w:shd w:fill="F1F4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AHEM mode and measured ASR/FBR with denominators</w:t>
            </w:r>
          </w:p>
        </w:tc>
      </w:tr>
      <w:tr>
        <w:trPr>
          <w:cantSplit/>
        </w:trPr>
        <w:tc>
          <w:tcPr>
            <w:tcW w:type="dxa" w:w="16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4:40-5:00</w:t>
            </w:r>
          </w:p>
        </w:tc>
        <w:tc>
          <w:tcPr>
            <w:tcW w:type="dxa" w:w="84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0" w:line="247" w:lineRule="auto"/>
            </w:pPr>
            <w:r>
              <w:rPr>
                <w:b w:val="0"/>
                <w:color w:val="000000"/>
                <w:sz w:val="19"/>
              </w:rPr>
              <w:t>Verification links, scope and remaining limits</w:t>
            </w:r>
          </w:p>
        </w:tc>
      </w:tr>
    </w:tbl>
    <w:p/>
    <w:p>
      <w:r>
        <w:t>Align the story with task completion 40%, security/compliance 30%, innovation/interaction 30% and the 0-5 on-chain bonus. Pre-queue honestly to avoid waiting on camera. Local time fast-forward and recorded replay must be labelled.</w:t>
      </w:r>
    </w:p>
    <w:p>
      <w:pPr>
        <w:pStyle w:val="Heading2"/>
      </w:pPr>
      <w:r>
        <w:t>Pinned source record</w:t>
      </w:r>
    </w:p>
    <w:p>
      <w:r>
        <w:t>Fintech_Wallet_Agent: e5ae118a6af3b31165e6167fdbf3cc971d31b627</w:t>
      </w:r>
    </w:p>
    <w:p>
      <w:r>
        <w:t>mnn-android-sdk: 5c8f61f47c1afedf86cd1ae79d6df358613c6436</w:t>
      </w:r>
    </w:p>
    <w:p>
      <w:r>
        <w:t>ahem: 8832419511ff57d82d811fc433f8ba5829305eb4</w:t>
      </w:r>
    </w:p>
    <w:p>
      <w:r>
        <w:t>All three repositories are under github.com/AdribMahmud101. The detailed audit includes permanent commit links, exact source paths and SDK CI run 38453265247. Official Android service, Binder and Keystore references support the native boundary design.</w:t>
      </w:r>
    </w:p>
    <w:p>
      <w:r>
        <w:t>User materials: Untitled.pdf for the rubric; Fintech_planning.pdf and event HTML for earlier scope and event details; the supplied three-page enhancement report for the five additions.</w:t>
      </w:r>
    </w:p>
    <w:p>
      <w:pPr>
        <w:pStyle w:val="Heading2"/>
      </w:pPr>
      <w:r>
        <w:t>Submission readiness</w:t>
      </w:r>
    </w:p>
    <w:p>
      <w:r>
        <w:t>Prepare source/setup instructions, signed installable test APKs, model provisioning manifest, contract source and addresses, security self-assessment, actual test reports and genuine transaction hashes. Rehearse the presentation within ten minutes and optional video within five minutes.</w:t>
      </w:r>
    </w:p>
    <w:p>
      <w:r>
        <w:t>Recorded deadline: 20 October 2026, 23:59 Beijing /21:59 Bangladesh. Confirm eligibility and organizer acceptance of the testnet/custom-vault evidence. Freeze the release and rehearse before the deadline; no submission or external message is sent by this handoff.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fusion_wallet  |  Version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fusion_wallet Native Architecture and Agent Handoff</dc:title>
  <dc:subject>Repository grounded native architecture and strict implementation gates</dc:subject>
  <dc:creator>fusion_wallet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