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w:t>
      </w:r>
      <w:proofErr w:type="spellStart"/>
      <w:r>
        <w:rPr>
          <w:color w:val="000000" w:themeColor="text1"/>
        </w:rPr>
        <w:t>Mendonca</w:t>
      </w:r>
      <w:proofErr w:type="spellEnd"/>
      <w:r>
        <w:rPr>
          <w:color w:val="000000" w:themeColor="text1"/>
        </w:rPr>
        <w:t xml:space="preserve">, </w:t>
      </w:r>
      <w:proofErr w:type="spellStart"/>
      <w:proofErr w:type="gramStart"/>
      <w:r>
        <w:rPr>
          <w:color w:val="000000" w:themeColor="text1"/>
        </w:rPr>
        <w:t>Anam</w:t>
      </w:r>
      <w:proofErr w:type="spellEnd"/>
      <w:proofErr w:type="gramEnd"/>
      <w:r>
        <w:rPr>
          <w:color w:val="000000" w:themeColor="text1"/>
        </w:rPr>
        <w:t xml:space="preserve"> </w:t>
      </w:r>
      <w:proofErr w:type="spellStart"/>
      <w:r>
        <w:rPr>
          <w:color w:val="000000" w:themeColor="text1"/>
        </w:rPr>
        <w:t>Qudrat</w:t>
      </w:r>
      <w:proofErr w:type="spellEnd"/>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proofErr w:type="gramStart"/>
      <w:r w:rsidR="00A72C2A">
        <w:rPr>
          <w:color w:val="000000" w:themeColor="text1"/>
        </w:rPr>
        <w:t>)</w:t>
      </w:r>
      <w:r w:rsidR="00A72C2A">
        <w:rPr>
          <w:color w:val="000000" w:themeColor="text1"/>
          <w:vertAlign w:val="superscript"/>
        </w:rPr>
        <w:t>1</w:t>
      </w:r>
      <w:proofErr w:type="gramEnd"/>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 and </w:t>
      </w:r>
      <w:proofErr w:type="spellStart"/>
      <w:r w:rsidR="00C025CD">
        <w:rPr>
          <w:color w:val="000000" w:themeColor="text1"/>
        </w:rPr>
        <w:t>Regnet</w:t>
      </w:r>
      <w:proofErr w:type="spellEnd"/>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Pr>
          <w:color w:val="000000" w:themeColor="text1"/>
        </w:rPr>
        <w:t xml:space="preserve">Something </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w:t>
      </w:r>
      <w:r>
        <w:rPr>
          <w:b/>
          <w:bCs/>
          <w:color w:val="365F91" w:themeColor="accent1" w:themeShade="BF"/>
          <w:sz w:val="26"/>
          <w:szCs w:val="26"/>
        </w:rPr>
        <w:t xml:space="preserve">     </w:t>
      </w:r>
      <w:r>
        <w:rPr>
          <w:b/>
          <w:bCs/>
          <w:color w:val="365F91" w:themeColor="accent1" w:themeShade="BF"/>
          <w:sz w:val="26"/>
          <w:szCs w:val="26"/>
        </w:rPr>
        <w:t>Submodules and workflow</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rsidR="009C7A3D" w:rsidRPr="009C7A3D" w:rsidRDefault="009C7A3D" w:rsidP="005A53C0">
      <w:pPr>
        <w:spacing w:after="0"/>
        <w:rPr>
          <w:color w:val="000000" w:themeColor="text1"/>
        </w:rPr>
      </w:pPr>
      <w:r>
        <w:rPr>
          <w:color w:val="000000" w:themeColor="text1"/>
        </w:rPr>
        <w:lastRenderedPageBreak/>
        <w:t>(An outline of how the user is supposed to input source and target IDs will go here).</w:t>
      </w:r>
    </w:p>
    <w:p w:rsidR="009C7A3D" w:rsidRDefault="009C7A3D" w:rsidP="005A53C0">
      <w:pPr>
        <w:spacing w:after="0"/>
        <w:rPr>
          <w:b/>
          <w:bCs/>
          <w:color w:val="365F91" w:themeColor="accent1" w:themeShade="BF"/>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522C24" w:rsidP="005A53C0">
      <w:pPr>
        <w:spacing w:after="0"/>
        <w:rPr>
          <w:color w:val="000000" w:themeColor="text1"/>
        </w:rPr>
      </w:pPr>
      <w:r>
        <w:rPr>
          <w:color w:val="000000" w:themeColor="text1"/>
        </w:rPr>
        <w:t xml:space="preserve">Normalization works through doing (x, y, </w:t>
      </w:r>
      <w:proofErr w:type="gramStart"/>
      <w:r>
        <w:rPr>
          <w:color w:val="000000" w:themeColor="text1"/>
        </w:rPr>
        <w:t>z</w:t>
      </w:r>
      <w:proofErr w:type="gramEnd"/>
      <w:r>
        <w:rPr>
          <w:color w:val="000000" w:themeColor="text1"/>
        </w:rPr>
        <w:t>).</w:t>
      </w:r>
    </w:p>
    <w:p w:rsidR="00522C24" w:rsidRDefault="00522C24" w:rsidP="005A53C0">
      <w:pPr>
        <w:spacing w:after="0"/>
        <w:rPr>
          <w:color w:val="000000" w:themeColor="text1"/>
        </w:rPr>
      </w:pPr>
    </w:p>
    <w:p w:rsidR="00522C24" w:rsidRDefault="00522C24" w:rsidP="00522C24">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samplecode</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x)</w:t>
      </w:r>
    </w:p>
    <w:p w:rsidR="00522C24" w:rsidRDefault="00522C24" w:rsidP="00522C24">
      <w:pPr>
        <w:spacing w:after="0"/>
        <w:rPr>
          <w:rFonts w:ascii="Courier New" w:eastAsiaTheme="majorEastAsia" w:hAnsi="Courier New" w:cs="Courier New"/>
          <w:color w:val="000000" w:themeColor="text1"/>
        </w:rPr>
      </w:pPr>
    </w:p>
    <w:p w:rsidR="00522C24" w:rsidRDefault="00522C24" w:rsidP="00522C24">
      <w:pPr>
        <w:spacing w:after="0"/>
        <w:rPr>
          <w:rFonts w:ascii="Courier New" w:eastAsiaTheme="majorEastAsia" w:hAnsi="Courier New" w:cs="Courier New"/>
          <w:color w:val="000000" w:themeColor="text1"/>
        </w:rPr>
      </w:pPr>
      <w:r>
        <w:rPr>
          <w:noProof/>
          <w:lang w:bidi="he-IL"/>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Pr="00E72E8E" w:rsidRDefault="00522C24" w:rsidP="00522C24">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Sample figure. </w:t>
      </w:r>
      <w:proofErr w:type="gramStart"/>
      <w:r>
        <w:rPr>
          <w:rFonts w:eastAsiaTheme="majorEastAsia" w:cs="Courier New"/>
          <w:color w:val="000000" w:themeColor="text1"/>
        </w:rPr>
        <w:t>Sample legend about figure.</w:t>
      </w:r>
      <w:proofErr w:type="gramEnd"/>
      <w:r>
        <w:rPr>
          <w:rFonts w:eastAsiaTheme="majorEastAsia" w:cs="Courier New"/>
          <w:color w:val="000000" w:themeColor="text1"/>
        </w:rPr>
        <w:t xml:space="preserve">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draw.quintuple.venn</w:t>
      </w:r>
      <w:proofErr w:type="spellEnd"/>
      <w:r w:rsidR="00E72E8E">
        <w:rPr>
          <w:rFonts w:ascii="Courier New" w:eastAsiaTheme="majorEastAsia" w:hAnsi="Courier New" w:cs="Courier New"/>
          <w:color w:val="000000" w:themeColor="text1"/>
        </w:rPr>
        <w:t>(</w:t>
      </w:r>
      <w:proofErr w:type="gramEnd"/>
      <w:r w:rsidR="00E72E8E">
        <w:rPr>
          <w:rFonts w:ascii="Courier New" w:eastAsiaTheme="majorEastAsia" w:hAnsi="Courier New" w:cs="Courier New"/>
          <w:color w:val="000000" w:themeColor="text1"/>
        </w:rPr>
        <w:t xml:space="preserve">sample, </w:t>
      </w:r>
      <w:proofErr w:type="spellStart"/>
      <w:r w:rsidR="00E72E8E">
        <w:rPr>
          <w:rFonts w:ascii="Courier New" w:eastAsiaTheme="majorEastAsia" w:hAnsi="Courier New" w:cs="Courier New"/>
          <w:color w:val="000000" w:themeColor="text1"/>
        </w:rPr>
        <w:t>cat.col</w:t>
      </w:r>
      <w:proofErr w:type="spellEnd"/>
      <w:r w:rsidR="00E72E8E">
        <w:rPr>
          <w:rFonts w:ascii="Courier New" w:eastAsiaTheme="majorEastAsia" w:hAnsi="Courier New" w:cs="Courier New"/>
          <w:color w:val="000000" w:themeColor="text1"/>
        </w:rPr>
        <w:t>=rep(“black”))</w:t>
      </w:r>
    </w:p>
    <w:p w:rsidR="00522C24" w:rsidRPr="00522C24" w:rsidRDefault="00522C24" w:rsidP="005A53C0">
      <w:pPr>
        <w:spacing w:after="0"/>
        <w:rPr>
          <w:color w:val="000000" w:themeColor="text1"/>
        </w:rPr>
      </w:pP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9C7A3D" w:rsidRDefault="009C7A3D" w:rsidP="005A53C0">
      <w:pPr>
        <w:spacing w:after="0"/>
        <w:rPr>
          <w:b/>
          <w:bCs/>
          <w:color w:val="365F91" w:themeColor="accent1" w:themeShade="BF"/>
        </w:rPr>
      </w:pPr>
    </w:p>
    <w:p w:rsidR="009C7A3D" w:rsidRDefault="009C7A3D" w:rsidP="005A53C0">
      <w:pPr>
        <w:spacing w:after="0"/>
        <w:rPr>
          <w:color w:val="365F91" w:themeColor="accent1" w:themeShade="BF"/>
        </w:rPr>
      </w:pPr>
      <w:r>
        <w:rPr>
          <w:color w:val="365F91" w:themeColor="accent1" w:themeShade="BF"/>
        </w:rPr>
        <w:t>3.4.1     STRING</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3.4.2     TRRUST</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Regnet</w:t>
      </w:r>
      <w:proofErr w:type="spellEnd"/>
    </w:p>
    <w:p w:rsidR="009C7A3D" w:rsidRDefault="009C7A3D" w:rsidP="005A53C0">
      <w:pPr>
        <w:spacing w:after="0"/>
        <w:rPr>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w:t>
      </w:r>
      <w:r>
        <w:rPr>
          <w:b/>
          <w:bCs/>
          <w:color w:val="365F91" w:themeColor="accent1" w:themeShade="BF"/>
          <w:sz w:val="26"/>
          <w:szCs w:val="26"/>
        </w:rPr>
        <w:t xml:space="preserve">     </w:t>
      </w:r>
      <w:r>
        <w:rPr>
          <w:b/>
          <w:bCs/>
          <w:color w:val="365F91" w:themeColor="accent1" w:themeShade="BF"/>
          <w:sz w:val="26"/>
          <w:szCs w:val="26"/>
        </w:rPr>
        <w:t>Post-processing and analysis</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w:t>
      </w:r>
      <w:r>
        <w:rPr>
          <w:b/>
          <w:bCs/>
          <w:color w:val="365F91" w:themeColor="accent1" w:themeShade="BF"/>
        </w:rPr>
        <w:t xml:space="preserve">     </w:t>
      </w:r>
      <w:r>
        <w:rPr>
          <w:b/>
          <w:bCs/>
          <w:color w:val="365F91" w:themeColor="accent1" w:themeShade="BF"/>
        </w:rPr>
        <w:t>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rsidR="009C7A3D" w:rsidRDefault="009C7A3D" w:rsidP="009C7A3D">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w:t>
      </w:r>
      <w:r>
        <w:rPr>
          <w:b/>
          <w:bCs/>
          <w:color w:val="365F91" w:themeColor="accent1" w:themeShade="BF"/>
          <w:sz w:val="26"/>
          <w:szCs w:val="26"/>
        </w:rPr>
        <w:t xml:space="preserve">     </w:t>
      </w:r>
      <w:r>
        <w:rPr>
          <w:b/>
          <w:bCs/>
          <w:color w:val="365F91" w:themeColor="accent1" w:themeShade="BF"/>
          <w:sz w:val="26"/>
          <w:szCs w:val="26"/>
        </w:rPr>
        <w:t>Acknowledgments</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w:t>
      </w:r>
      <w:proofErr w:type="spellStart"/>
      <w:r w:rsidR="00522C24">
        <w:rPr>
          <w:color w:val="000000" w:themeColor="text1"/>
        </w:rPr>
        <w:t>Mendonca</w:t>
      </w:r>
      <w:proofErr w:type="spellEnd"/>
      <w:r w:rsidR="00522C24">
        <w:rPr>
          <w:color w:val="000000" w:themeColor="text1"/>
        </w:rPr>
        <w:t xml:space="preserve">,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w:t>
      </w:r>
      <w:r>
        <w:rPr>
          <w:b/>
          <w:bCs/>
          <w:color w:val="365F91" w:themeColor="accent1" w:themeShade="BF"/>
          <w:sz w:val="26"/>
          <w:szCs w:val="26"/>
        </w:rPr>
        <w:t xml:space="preserve">     </w:t>
      </w:r>
      <w:r>
        <w:rPr>
          <w:b/>
          <w:bCs/>
          <w:color w:val="365F91" w:themeColor="accent1" w:themeShade="BF"/>
          <w:sz w:val="26"/>
          <w:szCs w:val="26"/>
        </w:rPr>
        <w:t>Session Info</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w:t>
      </w:r>
      <w:proofErr w:type="gramEnd"/>
      <w:r w:rsidRPr="00522C24">
        <w:rPr>
          <w:rFonts w:ascii="Courier New" w:eastAsiaTheme="majorEastAsia" w:hAnsi="Courier New" w:cs="Courier New"/>
          <w:color w:val="000000" w:themeColor="text1"/>
        </w:rPr>
        <w:t>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bookmarkStart w:id="0" w:name="_GoBack"/>
      <w:bookmarkEnd w:id="0"/>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w:t>
      </w:r>
      <w:r>
        <w:rPr>
          <w:b/>
          <w:bCs/>
          <w:color w:val="365F91" w:themeColor="accent1" w:themeShade="BF"/>
          <w:sz w:val="26"/>
          <w:szCs w:val="26"/>
        </w:rPr>
        <w:t xml:space="preserve">     </w:t>
      </w:r>
      <w:r>
        <w:rPr>
          <w:b/>
          <w:bCs/>
          <w:color w:val="365F91" w:themeColor="accent1" w:themeShade="BF"/>
          <w:sz w:val="26"/>
          <w:szCs w:val="26"/>
        </w:rPr>
        <w:t>References</w:t>
      </w:r>
    </w:p>
    <w:p w:rsidR="009C7A3D" w:rsidRDefault="009C7A3D" w:rsidP="009C7A3D">
      <w:pPr>
        <w:spacing w:after="0"/>
        <w:rPr>
          <w:color w:val="365F91" w:themeColor="accent1" w:themeShade="BF"/>
        </w:rPr>
      </w:pPr>
      <w:r>
        <w:rPr>
          <w:noProof/>
          <w:color w:val="4F81BD" w:themeColor="accent1"/>
          <w:lang w:bidi="he-IL"/>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Pr="00A9131A"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w:t>
      </w:r>
      <w:proofErr w:type="gramStart"/>
      <w:r>
        <w:rPr>
          <w:color w:val="000000" w:themeColor="text1"/>
        </w:rPr>
        <w:t>A predictive computational framework for direct reprogramming between human cell types.</w:t>
      </w:r>
      <w:proofErr w:type="gramEnd"/>
      <w:r>
        <w:rPr>
          <w:color w:val="000000" w:themeColor="text1"/>
        </w:rPr>
        <w:t xml:space="preserve"> </w:t>
      </w:r>
      <w:r>
        <w:rPr>
          <w:i/>
          <w:iCs/>
          <w:color w:val="000000" w:themeColor="text1"/>
        </w:rPr>
        <w:t xml:space="preserve">Nat Genet, </w:t>
      </w:r>
      <w:r>
        <w:rPr>
          <w:color w:val="000000" w:themeColor="text1"/>
        </w:rPr>
        <w:t>48(3): 331-335, 2016.</w:t>
      </w: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522C24"/>
    <w:rsid w:val="005A4737"/>
    <w:rsid w:val="005A53C0"/>
    <w:rsid w:val="005C5D2A"/>
    <w:rsid w:val="00814C59"/>
    <w:rsid w:val="009C7A3D"/>
    <w:rsid w:val="00A72C2A"/>
    <w:rsid w:val="00A9131A"/>
    <w:rsid w:val="00C025CD"/>
    <w:rsid w:val="00E72E8E"/>
    <w:rsid w:val="00F755E4"/>
    <w:rsid w:val="00FF240C"/>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snk</cp:lastModifiedBy>
  <cp:revision>2</cp:revision>
  <dcterms:created xsi:type="dcterms:W3CDTF">2016-04-22T19:08:00Z</dcterms:created>
  <dcterms:modified xsi:type="dcterms:W3CDTF">2016-04-22T21:41:00Z</dcterms:modified>
</cp:coreProperties>
</file>