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C59" w:rsidRDefault="005C5D2A" w:rsidP="005C5D2A">
      <w:pPr>
        <w:jc w:val="center"/>
        <w:rPr>
          <w:color w:val="000000" w:themeColor="text1"/>
          <w:sz w:val="28"/>
          <w:szCs w:val="28"/>
        </w:rPr>
      </w:pPr>
      <w:r w:rsidRPr="005C5D2A">
        <w:rPr>
          <w:i/>
          <w:iCs/>
          <w:color w:val="365F91" w:themeColor="accent1" w:themeShade="BF"/>
          <w:sz w:val="28"/>
          <w:szCs w:val="28"/>
        </w:rPr>
        <w:t>Ontoscope</w:t>
      </w:r>
      <w:r w:rsidRPr="005C5D2A">
        <w:rPr>
          <w:i/>
          <w:iCs/>
          <w:color w:val="000000" w:themeColor="text1"/>
          <w:sz w:val="28"/>
          <w:szCs w:val="28"/>
        </w:rPr>
        <w:t xml:space="preserve">: </w:t>
      </w:r>
      <w:r w:rsidRPr="005C5D2A">
        <w:rPr>
          <w:color w:val="000000" w:themeColor="text1"/>
          <w:sz w:val="28"/>
          <w:szCs w:val="28"/>
        </w:rPr>
        <w:t>Determining “identity-defining” transcription factors for various cell types</w:t>
      </w:r>
    </w:p>
    <w:p w:rsidR="005C5D2A" w:rsidRDefault="005C5D2A" w:rsidP="005C5D2A">
      <w:pPr>
        <w:jc w:val="center"/>
        <w:rPr>
          <w:color w:val="000000" w:themeColor="text1"/>
        </w:rPr>
      </w:pPr>
      <w:r>
        <w:rPr>
          <w:color w:val="000000" w:themeColor="text1"/>
        </w:rPr>
        <w:t>Vignette authors: Kartikay Chadha, Shivani Kamdar, Burton Mendonca, Anam Qudrat</w:t>
      </w:r>
    </w:p>
    <w:p w:rsidR="005C5D2A" w:rsidRDefault="005C5D2A" w:rsidP="005C5D2A">
      <w:pPr>
        <w:spacing w:after="0"/>
        <w:jc w:val="center"/>
        <w:rPr>
          <w:color w:val="000000" w:themeColor="text1"/>
        </w:rPr>
      </w:pPr>
      <w:r>
        <w:rPr>
          <w:color w:val="000000" w:themeColor="text1"/>
        </w:rPr>
        <w:t>University of Toronto</w:t>
      </w:r>
    </w:p>
    <w:p w:rsidR="005C5D2A" w:rsidRDefault="005C5D2A" w:rsidP="005C5D2A">
      <w:pPr>
        <w:spacing w:after="0"/>
        <w:jc w:val="center"/>
        <w:rPr>
          <w:color w:val="000000" w:themeColor="text1"/>
        </w:rPr>
      </w:pPr>
      <w:r>
        <w:rPr>
          <w:color w:val="000000" w:themeColor="text1"/>
        </w:rPr>
        <w:t>Department of Biochemistry</w:t>
      </w:r>
    </w:p>
    <w:p w:rsidR="005C5D2A" w:rsidRDefault="005C5D2A" w:rsidP="005C5D2A">
      <w:pPr>
        <w:spacing w:after="0"/>
        <w:jc w:val="center"/>
        <w:rPr>
          <w:color w:val="000000" w:themeColor="text1"/>
        </w:rPr>
      </w:pPr>
    </w:p>
    <w:p w:rsidR="005C5D2A" w:rsidRDefault="005C5D2A" w:rsidP="005C5D2A">
      <w:pPr>
        <w:spacing w:after="0"/>
        <w:jc w:val="center"/>
        <w:rPr>
          <w:color w:val="000000" w:themeColor="text1"/>
        </w:rPr>
      </w:pPr>
      <w:r>
        <w:rPr>
          <w:color w:val="000000" w:themeColor="text1"/>
        </w:rPr>
        <w:t>Compiled: April 27, 2016</w:t>
      </w:r>
    </w:p>
    <w:p w:rsidR="005C5D2A" w:rsidRPr="00FF240C" w:rsidRDefault="005C5D2A" w:rsidP="005C5D2A">
      <w:pPr>
        <w:spacing w:after="0"/>
        <w:jc w:val="center"/>
        <w:rPr>
          <w:b/>
          <w:bCs/>
          <w:color w:val="000000" w:themeColor="text1"/>
          <w:sz w:val="24"/>
          <w:szCs w:val="24"/>
        </w:rPr>
      </w:pPr>
    </w:p>
    <w:p w:rsidR="005C5D2A" w:rsidRPr="005A4737" w:rsidRDefault="005C5D2A" w:rsidP="005C5D2A">
      <w:pPr>
        <w:spacing w:after="0"/>
        <w:rPr>
          <w:b/>
          <w:bCs/>
          <w:color w:val="365F91" w:themeColor="accent1" w:themeShade="BF"/>
          <w:sz w:val="26"/>
          <w:szCs w:val="26"/>
        </w:rPr>
      </w:pPr>
      <w:r w:rsidRPr="005A4737">
        <w:rPr>
          <w:b/>
          <w:bCs/>
          <w:color w:val="365F91" w:themeColor="accent1" w:themeShade="BF"/>
          <w:sz w:val="26"/>
          <w:szCs w:val="26"/>
        </w:rPr>
        <w:t>Contents</w:t>
      </w:r>
    </w:p>
    <w:p w:rsidR="005C5D2A" w:rsidRDefault="005C5D2A" w:rsidP="005C5D2A">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59264" behindDoc="0" locked="0" layoutInCell="1" allowOverlap="1" wp14:anchorId="307D1543" wp14:editId="49A57A8A">
                <wp:simplePos x="0" y="0"/>
                <wp:positionH relativeFrom="column">
                  <wp:posOffset>0</wp:posOffset>
                </wp:positionH>
                <wp:positionV relativeFrom="paragraph">
                  <wp:posOffset>-1905</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Ho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x5275frT7wCPT1rXkGRkr5&#10;I6AX5dBLZ0OhrTp1+JQyF+PQawg7pZFz6XrKJwcl2IWvYJgKF1tWdF0i2DoSB8XjV1pDyJUK56vR&#10;BWasczOw/TvwEl+gUBfsX8AzolbGkGewtwHpT9XzdG3ZnOOvCpx5FwmecDjVoVRpeFOqYpetLqv4&#10;q1/hz//e5ic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Gp4Mei3AQAAwwMAAA4AAAAAAAAAAAAAAAAALgIAAGRycy9lMm9E&#10;b2MueG1sUEsBAi0AFAAGAAgAAAAhANBhZMXcAAAABAEAAA8AAAAAAAAAAAAAAAAAEQQAAGRycy9k&#10;b3ducmV2LnhtbFBLBQYAAAAABAAEAPMAAAAaBQAAAAA=&#10;" strokecolor="#4579b8 [3044]"/>
            </w:pict>
          </mc:Fallback>
        </mc:AlternateContent>
      </w:r>
    </w:p>
    <w:p w:rsidR="005C5D2A" w:rsidRPr="00F755E4" w:rsidRDefault="005C5D2A" w:rsidP="005A4737">
      <w:pPr>
        <w:spacing w:after="0"/>
        <w:rPr>
          <w:b/>
          <w:bCs/>
          <w:color w:val="365F91" w:themeColor="accent1" w:themeShade="BF"/>
        </w:rPr>
      </w:pPr>
      <w:r w:rsidRPr="00F755E4">
        <w:rPr>
          <w:b/>
          <w:bCs/>
          <w:color w:val="365F91" w:themeColor="accent1" w:themeShade="BF"/>
        </w:rPr>
        <w:t>1     Introduction</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5A4737">
        <w:rPr>
          <w:b/>
          <w:bCs/>
          <w:color w:val="365F91" w:themeColor="accent1" w:themeShade="BF"/>
        </w:rPr>
        <w:t>2</w:t>
      </w:r>
    </w:p>
    <w:p w:rsidR="005C5D2A" w:rsidRPr="00F755E4" w:rsidRDefault="005C5D2A" w:rsidP="005C5D2A">
      <w:pPr>
        <w:spacing w:after="0"/>
        <w:rPr>
          <w:b/>
          <w:bCs/>
          <w:color w:val="365F91" w:themeColor="accent1" w:themeShade="BF"/>
        </w:rPr>
      </w:pPr>
    </w:p>
    <w:p w:rsidR="005C5D2A" w:rsidRPr="00F755E4" w:rsidRDefault="005C5D2A" w:rsidP="00C025CD">
      <w:pPr>
        <w:spacing w:after="0"/>
        <w:rPr>
          <w:b/>
          <w:bCs/>
          <w:color w:val="365F91" w:themeColor="accent1" w:themeShade="BF"/>
        </w:rPr>
      </w:pPr>
      <w:r w:rsidRPr="00F755E4">
        <w:rPr>
          <w:b/>
          <w:bCs/>
          <w:color w:val="365F91" w:themeColor="accent1" w:themeShade="BF"/>
        </w:rPr>
        <w:t>2    Processing overview</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C025CD">
        <w:rPr>
          <w:b/>
          <w:bCs/>
          <w:color w:val="365F91" w:themeColor="accent1" w:themeShade="BF"/>
        </w:rPr>
        <w:t>2</w:t>
      </w:r>
    </w:p>
    <w:p w:rsidR="005C5D2A" w:rsidRPr="00F755E4" w:rsidRDefault="005C5D2A" w:rsidP="005C5D2A">
      <w:pPr>
        <w:spacing w:after="0"/>
        <w:rPr>
          <w:b/>
          <w:bCs/>
          <w:color w:val="365F91" w:themeColor="accent1" w:themeShade="BF"/>
        </w:rPr>
      </w:pPr>
    </w:p>
    <w:p w:rsidR="005C5D2A" w:rsidRDefault="005C5D2A" w:rsidP="00F755E4">
      <w:pPr>
        <w:spacing w:after="0"/>
        <w:rPr>
          <w:b/>
          <w:bCs/>
          <w:color w:val="365F91" w:themeColor="accent1" w:themeShade="BF"/>
        </w:rPr>
      </w:pPr>
      <w:r w:rsidRPr="00F755E4">
        <w:rPr>
          <w:b/>
          <w:bCs/>
          <w:color w:val="365F91" w:themeColor="accent1" w:themeShade="BF"/>
        </w:rPr>
        <w:t xml:space="preserve">3 </w:t>
      </w:r>
      <w:r w:rsidR="00FF240C" w:rsidRPr="00F755E4">
        <w:rPr>
          <w:b/>
          <w:bCs/>
          <w:color w:val="365F91" w:themeColor="accent1" w:themeShade="BF"/>
        </w:rPr>
        <w:t xml:space="preserve">   </w:t>
      </w:r>
      <w:r w:rsidR="00F755E4">
        <w:rPr>
          <w:b/>
          <w:bCs/>
          <w:color w:val="365F91" w:themeColor="accent1" w:themeShade="BF"/>
        </w:rPr>
        <w:t>Submodules and workflow</w:t>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t xml:space="preserve">           </w:t>
      </w:r>
      <w:r w:rsidR="00F755E4">
        <w:rPr>
          <w:b/>
          <w:bCs/>
          <w:color w:val="365F91" w:themeColor="accent1" w:themeShade="BF"/>
        </w:rPr>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 xml:space="preserve">3.1     Normalization </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3.2     FANTOM expression data import</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3.3     Background derivation from cell ontology</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3.4     Protein and transcription factor network analysis</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rsidR="00F755E4" w:rsidRPr="00F755E4" w:rsidRDefault="00F755E4" w:rsidP="00F755E4">
      <w:pPr>
        <w:spacing w:after="0"/>
        <w:rPr>
          <w:color w:val="365F91" w:themeColor="accent1" w:themeShade="BF"/>
          <w:sz w:val="20"/>
          <w:szCs w:val="20"/>
        </w:rPr>
      </w:pPr>
      <w:r>
        <w:rPr>
          <w:color w:val="365F91" w:themeColor="accent1" w:themeShade="BF"/>
        </w:rPr>
        <w:tab/>
      </w:r>
      <w:r w:rsidRPr="00F755E4">
        <w:rPr>
          <w:color w:val="365F91" w:themeColor="accent1" w:themeShade="BF"/>
          <w:sz w:val="20"/>
          <w:szCs w:val="20"/>
        </w:rPr>
        <w:tab/>
        <w:t>3.4.1     STRING</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3.4.2     TRRUST</w:t>
      </w:r>
    </w:p>
    <w:p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3.4.3     Regnet</w:t>
      </w:r>
    </w:p>
    <w:p w:rsidR="00F755E4" w:rsidRDefault="00F755E4" w:rsidP="00F755E4">
      <w:pPr>
        <w:spacing w:after="0"/>
        <w:rPr>
          <w:color w:val="365F91" w:themeColor="accent1" w:themeShade="BF"/>
        </w:rPr>
      </w:pPr>
      <w:r>
        <w:rPr>
          <w:color w:val="365F91" w:themeColor="accent1" w:themeShade="BF"/>
        </w:rPr>
        <w:tab/>
        <w:t>3.5     Differential gene expression analysis</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3.6     Integration of network- and expression-based influence scores</w:t>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3.7     Selection of transcription factors needed for conversion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4     Post-processing and analysis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4.1     Visualization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4.2     Literature-based confidence score</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r>
        <w:rPr>
          <w:color w:val="365F91" w:themeColor="accent1" w:themeShade="BF"/>
        </w:rPr>
        <w:tab/>
        <w:t>4.3     Validation from published experimental data</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rsidR="00F755E4" w:rsidRDefault="00F755E4" w:rsidP="00F755E4">
      <w:pPr>
        <w:spacing w:after="0"/>
        <w:rPr>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5     Acknowledgments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F755E4" w:rsidRDefault="00F755E4" w:rsidP="00F755E4">
      <w:pPr>
        <w:spacing w:after="0"/>
        <w:rPr>
          <w:b/>
          <w:bCs/>
          <w:color w:val="365F91" w:themeColor="accent1" w:themeShade="BF"/>
        </w:rPr>
      </w:pPr>
    </w:p>
    <w:p w:rsidR="00F755E4" w:rsidRDefault="00F755E4" w:rsidP="00F755E4">
      <w:pPr>
        <w:spacing w:after="0"/>
        <w:rPr>
          <w:b/>
          <w:bCs/>
          <w:color w:val="365F91" w:themeColor="accent1" w:themeShade="BF"/>
        </w:rPr>
      </w:pPr>
      <w:r>
        <w:rPr>
          <w:b/>
          <w:bCs/>
          <w:color w:val="365F91" w:themeColor="accent1" w:themeShade="BF"/>
        </w:rPr>
        <w:t>6     Session info</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r>
        <w:rPr>
          <w:b/>
          <w:bCs/>
          <w:color w:val="365F91" w:themeColor="accent1" w:themeShade="BF"/>
        </w:rPr>
        <w:t>7     References</w:t>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t xml:space="preserve">            z</w:t>
      </w: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Default="005A4737" w:rsidP="00F755E4">
      <w:pPr>
        <w:spacing w:after="0"/>
        <w:rPr>
          <w:b/>
          <w:bCs/>
          <w:color w:val="365F91" w:themeColor="accent1" w:themeShade="BF"/>
        </w:rPr>
      </w:pPr>
    </w:p>
    <w:p w:rsidR="005A4737" w:rsidRPr="005A4737" w:rsidRDefault="005A4737" w:rsidP="005A4737">
      <w:pPr>
        <w:spacing w:after="0"/>
        <w:rPr>
          <w:b/>
          <w:bCs/>
          <w:color w:val="365F91" w:themeColor="accent1" w:themeShade="BF"/>
          <w:sz w:val="26"/>
          <w:szCs w:val="26"/>
        </w:rPr>
      </w:pPr>
      <w:r>
        <w:rPr>
          <w:b/>
          <w:bCs/>
          <w:color w:val="365F91" w:themeColor="accent1" w:themeShade="BF"/>
          <w:sz w:val="26"/>
          <w:szCs w:val="26"/>
        </w:rPr>
        <w:lastRenderedPageBreak/>
        <w:t>1     Introduction</w:t>
      </w:r>
    </w:p>
    <w:p w:rsidR="005A4737" w:rsidRDefault="005A4737" w:rsidP="005A4737">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1312" behindDoc="0" locked="0" layoutInCell="1" allowOverlap="1" wp14:anchorId="740DA451" wp14:editId="4A65B4A1">
                <wp:simplePos x="0" y="0"/>
                <wp:positionH relativeFrom="column">
                  <wp:posOffset>0</wp:posOffset>
                </wp:positionH>
                <wp:positionV relativeFrom="paragraph">
                  <wp:posOffset>-1905</wp:posOffset>
                </wp:positionV>
                <wp:extent cx="6038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a3twEAAMMDAAAOAAAAZHJzL2Uyb0RvYy54bWysU8GOEzEMvSPxD1HudKZbsa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l2t1295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POVBre3AQAAwwMAAA4AAAAAAAAAAAAAAAAALgIAAGRycy9lMm9E&#10;b2MueG1sUEsBAi0AFAAGAAgAAAAhANBhZMXcAAAABAEAAA8AAAAAAAAAAAAAAAAAEQQAAGRycy9k&#10;b3ducmV2LnhtbFBLBQYAAAAABAAEAPMAAAAaBQAAAAA=&#10;" strokecolor="#4579b8 [3044]"/>
            </w:pict>
          </mc:Fallback>
        </mc:AlternateContent>
      </w:r>
    </w:p>
    <w:p w:rsidR="005A4737" w:rsidRDefault="005A4737" w:rsidP="00F755E4">
      <w:pPr>
        <w:spacing w:after="0"/>
        <w:rPr>
          <w:color w:val="000000" w:themeColor="text1"/>
        </w:rPr>
      </w:pPr>
      <w:r>
        <w:rPr>
          <w:color w:val="000000" w:themeColor="text1"/>
        </w:rPr>
        <w:t xml:space="preserve">This document offers an overview of the R package </w:t>
      </w:r>
      <w:r>
        <w:rPr>
          <w:i/>
          <w:iCs/>
          <w:color w:val="000000" w:themeColor="text1"/>
        </w:rPr>
        <w:t>Ontoscope</w:t>
      </w:r>
      <w:r>
        <w:rPr>
          <w:color w:val="000000" w:themeColor="text1"/>
        </w:rPr>
        <w:t>, which uses publicly available expression and protein-protein interaction data to computationally determine a list of transcription factors able to facilitate conversion from one cell type to another. Following determination of this transcription factor list, it is also designed to assign confidence scores to each factor based on literature search and validation against published experimental data and/or other computational prediction software.</w:t>
      </w:r>
    </w:p>
    <w:p w:rsidR="005A4737" w:rsidRDefault="005A4737" w:rsidP="00F755E4">
      <w:pPr>
        <w:spacing w:after="0"/>
        <w:rPr>
          <w:color w:val="000000" w:themeColor="text1"/>
        </w:rPr>
      </w:pPr>
    </w:p>
    <w:p w:rsidR="005A4737" w:rsidRDefault="005A4737" w:rsidP="00A72C2A">
      <w:pPr>
        <w:spacing w:after="0"/>
        <w:rPr>
          <w:color w:val="000000" w:themeColor="text1"/>
        </w:rPr>
      </w:pPr>
      <w:r>
        <w:rPr>
          <w:color w:val="000000" w:themeColor="text1"/>
        </w:rPr>
        <w:t xml:space="preserve">The </w:t>
      </w:r>
      <w:r>
        <w:rPr>
          <w:i/>
          <w:iCs/>
          <w:color w:val="000000" w:themeColor="text1"/>
        </w:rPr>
        <w:t xml:space="preserve">Ontoscope </w:t>
      </w:r>
      <w:r>
        <w:rPr>
          <w:color w:val="000000" w:themeColor="text1"/>
        </w:rPr>
        <w:t xml:space="preserve">package is designed to independently validate </w:t>
      </w:r>
      <w:r w:rsidR="00A72C2A">
        <w:rPr>
          <w:color w:val="000000" w:themeColor="text1"/>
        </w:rPr>
        <w:t>the findings of Owen Rackham and colleagues’</w:t>
      </w:r>
      <w:r w:rsidR="00A72C2A" w:rsidRPr="00A72C2A">
        <w:rPr>
          <w:i/>
          <w:iCs/>
          <w:color w:val="000000" w:themeColor="text1"/>
        </w:rPr>
        <w:t xml:space="preserve"> Mogrify</w:t>
      </w:r>
      <w:r w:rsidR="00A72C2A">
        <w:rPr>
          <w:i/>
          <w:iCs/>
          <w:color w:val="000000" w:themeColor="text1"/>
        </w:rPr>
        <w:t xml:space="preserve"> </w:t>
      </w:r>
      <w:r w:rsidR="00A72C2A">
        <w:rPr>
          <w:color w:val="000000" w:themeColor="text1"/>
        </w:rPr>
        <w:t>(</w:t>
      </w:r>
      <w:hyperlink r:id="rId6" w:history="1">
        <w:r w:rsidR="00A72C2A" w:rsidRPr="005F2F09">
          <w:rPr>
            <w:rStyle w:val="Hyperlink"/>
          </w:rPr>
          <w:t>www.mogrify.net</w:t>
        </w:r>
      </w:hyperlink>
      <w:r w:rsidR="00A72C2A">
        <w:rPr>
          <w:color w:val="000000" w:themeColor="text1"/>
        </w:rPr>
        <w:t>)</w:t>
      </w:r>
      <w:r w:rsidR="00A72C2A">
        <w:rPr>
          <w:color w:val="000000" w:themeColor="text1"/>
          <w:vertAlign w:val="superscript"/>
        </w:rPr>
        <w:t>1</w:t>
      </w:r>
      <w:r w:rsidR="00A72C2A">
        <w:rPr>
          <w:color w:val="000000" w:themeColor="text1"/>
        </w:rPr>
        <w:t xml:space="preserve">. Its workflow is based on the published </w:t>
      </w:r>
      <w:r w:rsidR="00A72C2A">
        <w:rPr>
          <w:i/>
          <w:iCs/>
          <w:color w:val="000000" w:themeColor="text1"/>
        </w:rPr>
        <w:t>Mogrify</w:t>
      </w:r>
      <w:r w:rsidR="00A72C2A">
        <w:rPr>
          <w:color w:val="000000" w:themeColor="text1"/>
        </w:rPr>
        <w:t xml:space="preserve"> protocol, with modifications</w:t>
      </w:r>
      <w:r w:rsidR="00C025CD">
        <w:rPr>
          <w:color w:val="000000" w:themeColor="text1"/>
        </w:rPr>
        <w:t xml:space="preserve"> including the usage of updated transcription factor definitions and the inclusion of different regulatory networks (specifically, the TRRUST</w:t>
      </w:r>
      <w:r w:rsidR="00E95893">
        <w:rPr>
          <w:color w:val="000000" w:themeColor="text1"/>
          <w:vertAlign w:val="superscript"/>
        </w:rPr>
        <w:t>2</w:t>
      </w:r>
      <w:r w:rsidR="00C025CD">
        <w:rPr>
          <w:color w:val="000000" w:themeColor="text1"/>
        </w:rPr>
        <w:t xml:space="preserve"> and Regnet</w:t>
      </w:r>
      <w:r w:rsidR="00E95893">
        <w:rPr>
          <w:color w:val="000000" w:themeColor="text1"/>
          <w:vertAlign w:val="superscript"/>
        </w:rPr>
        <w:t>3</w:t>
      </w:r>
      <w:r w:rsidR="00C025CD">
        <w:rPr>
          <w:color w:val="000000" w:themeColor="text1"/>
        </w:rPr>
        <w:t xml:space="preserve"> protein-protein interaction datasets).</w:t>
      </w:r>
    </w:p>
    <w:p w:rsidR="00C025CD" w:rsidRDefault="00C025CD" w:rsidP="00A72C2A">
      <w:pPr>
        <w:spacing w:after="0"/>
        <w:rPr>
          <w:color w:val="000000" w:themeColor="text1"/>
        </w:rPr>
      </w:pPr>
    </w:p>
    <w:p w:rsidR="00C025CD" w:rsidRDefault="00C025CD" w:rsidP="00A72C2A">
      <w:pPr>
        <w:spacing w:after="0"/>
        <w:rPr>
          <w:color w:val="000000" w:themeColor="text1"/>
        </w:rPr>
      </w:pPr>
      <w:r>
        <w:rPr>
          <w:color w:val="000000" w:themeColor="text1"/>
        </w:rPr>
        <w:t xml:space="preserve">This vignette contains an overview of the package workflow, defining initialization parameters and walking through each submodule with examples and usage instructions provided. </w:t>
      </w:r>
    </w:p>
    <w:p w:rsidR="00C025CD" w:rsidRDefault="00C025CD" w:rsidP="00A72C2A">
      <w:pPr>
        <w:spacing w:after="0"/>
        <w:rPr>
          <w:color w:val="000000" w:themeColor="text1"/>
        </w:rPr>
      </w:pPr>
    </w:p>
    <w:p w:rsidR="00C025CD" w:rsidRPr="005A4737" w:rsidRDefault="00C025CD" w:rsidP="00C025CD">
      <w:pPr>
        <w:spacing w:after="0"/>
        <w:rPr>
          <w:b/>
          <w:bCs/>
          <w:color w:val="365F91" w:themeColor="accent1" w:themeShade="BF"/>
          <w:sz w:val="26"/>
          <w:szCs w:val="26"/>
        </w:rPr>
      </w:pPr>
      <w:r>
        <w:rPr>
          <w:b/>
          <w:bCs/>
          <w:color w:val="365F91" w:themeColor="accent1" w:themeShade="BF"/>
          <w:sz w:val="26"/>
          <w:szCs w:val="26"/>
        </w:rPr>
        <w:t>2     Processing overview</w:t>
      </w:r>
    </w:p>
    <w:p w:rsidR="00C025CD" w:rsidRDefault="00C025CD" w:rsidP="00C025C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3360" behindDoc="0" locked="0" layoutInCell="1" allowOverlap="1" wp14:anchorId="05297CBA" wp14:editId="23A29F1F">
                <wp:simplePos x="0" y="0"/>
                <wp:positionH relativeFrom="column">
                  <wp:posOffset>0</wp:posOffset>
                </wp:positionH>
                <wp:positionV relativeFrom="paragraph">
                  <wp:posOffset>-1905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C01n2UuAEAAMMDAAAOAAAAAAAAAAAAAAAAAC4CAABkcnMvZTJv&#10;RG9jLnhtbFBLAQItABQABgAIAAAAIQDQYWTF3AAAAAQBAAAPAAAAAAAAAAAAAAAAABIEAABkcnMv&#10;ZG93bnJldi54bWxQSwUGAAAAAAQABADzAAAAGwUAAAAA&#10;" strokecolor="#4579b8 [3044]"/>
            </w:pict>
          </mc:Fallback>
        </mc:AlternateContent>
      </w:r>
    </w:p>
    <w:p w:rsidR="00C025CD" w:rsidRDefault="00C025CD" w:rsidP="005A53C0">
      <w:pPr>
        <w:spacing w:after="0"/>
        <w:rPr>
          <w:color w:val="000000" w:themeColor="text1"/>
        </w:rPr>
      </w:pPr>
      <w:r>
        <w:rPr>
          <w:i/>
          <w:iCs/>
          <w:color w:val="000000" w:themeColor="text1"/>
        </w:rPr>
        <w:t xml:space="preserve">Ontoscope </w:t>
      </w:r>
      <w:r w:rsidR="005A53C0">
        <w:rPr>
          <w:color w:val="000000" w:themeColor="text1"/>
        </w:rPr>
        <w:t>determines transcription factors required for conversion based on calculation of network- and expression-based influence scores for differentially expressed factors in the target cell line as compared to the source. Target and source cells are identified by FANTOM consortium cell line IDs, and are restricted to those cell types for which FANTOM gene expression data from CAGE-seq is available.</w:t>
      </w:r>
    </w:p>
    <w:p w:rsidR="005A53C0" w:rsidRDefault="005A53C0" w:rsidP="005A53C0">
      <w:pPr>
        <w:spacing w:after="0"/>
        <w:rPr>
          <w:color w:val="000000" w:themeColor="text1"/>
        </w:rPr>
      </w:pPr>
    </w:p>
    <w:p w:rsidR="005A53C0" w:rsidRDefault="005A53C0" w:rsidP="005A53C0">
      <w:pPr>
        <w:spacing w:after="0"/>
        <w:rPr>
          <w:color w:val="000000" w:themeColor="text1"/>
        </w:rPr>
      </w:pPr>
      <w:r>
        <w:rPr>
          <w:color w:val="000000" w:themeColor="text1"/>
        </w:rPr>
        <w:t>Calculation involves six primary phases:</w:t>
      </w:r>
    </w:p>
    <w:p w:rsidR="005A53C0" w:rsidRDefault="005A53C0" w:rsidP="005A53C0">
      <w:pPr>
        <w:spacing w:after="0"/>
        <w:rPr>
          <w:color w:val="000000" w:themeColor="text1"/>
        </w:rPr>
      </w:pPr>
    </w:p>
    <w:p w:rsidR="005A53C0" w:rsidRDefault="005A53C0" w:rsidP="009C7A3D">
      <w:pPr>
        <w:pStyle w:val="ListParagraph"/>
        <w:numPr>
          <w:ilvl w:val="0"/>
          <w:numId w:val="1"/>
        </w:numPr>
        <w:spacing w:after="0"/>
        <w:rPr>
          <w:color w:val="000000" w:themeColor="text1"/>
        </w:rPr>
      </w:pPr>
      <w:r>
        <w:rPr>
          <w:i/>
          <w:iCs/>
          <w:color w:val="000000" w:themeColor="text1"/>
        </w:rPr>
        <w:t>Import of expression</w:t>
      </w:r>
      <w:r w:rsidR="009C7A3D">
        <w:rPr>
          <w:i/>
          <w:iCs/>
          <w:color w:val="000000" w:themeColor="text1"/>
        </w:rPr>
        <w:t xml:space="preserve"> data</w:t>
      </w:r>
      <w:r>
        <w:rPr>
          <w:i/>
          <w:iCs/>
          <w:color w:val="000000" w:themeColor="text1"/>
        </w:rPr>
        <w:t xml:space="preserve">: </w:t>
      </w:r>
      <w:r>
        <w:rPr>
          <w:color w:val="000000" w:themeColor="text1"/>
        </w:rPr>
        <w:t xml:space="preserve">The first step is to define source and target cell lines, reading in raw FANTOM expression count data </w:t>
      </w:r>
      <w:r w:rsidR="009C7A3D">
        <w:rPr>
          <w:color w:val="000000" w:themeColor="text1"/>
        </w:rPr>
        <w:t>for each cell line. Transcription factors are defined from published literature and databases, and all gene names are normalized to HGNC IDs in order to ensure accuracy of comparison between cell lines and datasets. Download of FANTOM count data is automatic upon input of cell line IDs, and does not require further input from the user.</w:t>
      </w:r>
    </w:p>
    <w:p w:rsidR="005A53C0" w:rsidRDefault="005A53C0" w:rsidP="005A53C0">
      <w:pPr>
        <w:pStyle w:val="ListParagraph"/>
        <w:numPr>
          <w:ilvl w:val="0"/>
          <w:numId w:val="1"/>
        </w:numPr>
        <w:spacing w:after="0"/>
        <w:rPr>
          <w:color w:val="000000" w:themeColor="text1"/>
        </w:rPr>
      </w:pPr>
      <w:r>
        <w:rPr>
          <w:i/>
          <w:iCs/>
          <w:color w:val="000000" w:themeColor="text1"/>
        </w:rPr>
        <w:t xml:space="preserve">Calculation of background: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Differential expression-based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Interaction-based influence score assignment: </w:t>
      </w:r>
      <w:r>
        <w:rPr>
          <w:color w:val="000000" w:themeColor="text1"/>
        </w:rPr>
        <w:t>Something</w:t>
      </w:r>
    </w:p>
    <w:p w:rsidR="005A53C0" w:rsidRDefault="005A53C0" w:rsidP="005A53C0">
      <w:pPr>
        <w:pStyle w:val="ListParagraph"/>
        <w:numPr>
          <w:ilvl w:val="0"/>
          <w:numId w:val="1"/>
        </w:numPr>
        <w:spacing w:after="0"/>
        <w:rPr>
          <w:color w:val="000000" w:themeColor="text1"/>
        </w:rPr>
      </w:pPr>
      <w:r>
        <w:rPr>
          <w:i/>
          <w:iCs/>
          <w:color w:val="000000" w:themeColor="text1"/>
        </w:rPr>
        <w:t xml:space="preserve">Integration and binning: </w:t>
      </w:r>
      <w:r>
        <w:rPr>
          <w:color w:val="000000" w:themeColor="text1"/>
        </w:rPr>
        <w:t xml:space="preserve">Something </w:t>
      </w:r>
    </w:p>
    <w:p w:rsidR="005A53C0" w:rsidRPr="009F5F41" w:rsidRDefault="005A53C0" w:rsidP="005A53C0">
      <w:pPr>
        <w:pStyle w:val="ListParagraph"/>
        <w:numPr>
          <w:ilvl w:val="0"/>
          <w:numId w:val="1"/>
        </w:numPr>
        <w:spacing w:after="0"/>
        <w:rPr>
          <w:color w:val="000000" w:themeColor="text1"/>
        </w:rPr>
      </w:pPr>
      <w:r>
        <w:rPr>
          <w:i/>
          <w:iCs/>
          <w:color w:val="000000" w:themeColor="text1"/>
        </w:rPr>
        <w:t xml:space="preserve">Visualization and validation: </w:t>
      </w:r>
      <w:r w:rsidR="009F5F41" w:rsidRPr="009F5F41">
        <w:rPr>
          <w:i/>
          <w:iCs/>
          <w:color w:val="000000" w:themeColor="text1"/>
          <w:highlight w:val="yellow"/>
        </w:rPr>
        <w:t>Visualiztion goes here</w:t>
      </w:r>
      <w:r w:rsidR="009F5F41">
        <w:rPr>
          <w:i/>
          <w:iCs/>
          <w:color w:val="000000" w:themeColor="text1"/>
        </w:rPr>
        <w:t xml:space="preserve">. </w:t>
      </w:r>
      <w:r w:rsidR="009F5F41" w:rsidRPr="009F5F41">
        <w:rPr>
          <w:iCs/>
          <w:color w:val="000000" w:themeColor="text1"/>
        </w:rPr>
        <w:t xml:space="preserve">The </w:t>
      </w:r>
      <w:r w:rsidR="009F5F41">
        <w:rPr>
          <w:iCs/>
          <w:color w:val="000000" w:themeColor="text1"/>
        </w:rPr>
        <w:t>characteristic set of</w:t>
      </w:r>
      <w:r w:rsidR="009F5F41" w:rsidRPr="009F5F41">
        <w:rPr>
          <w:iCs/>
          <w:color w:val="000000" w:themeColor="text1"/>
        </w:rPr>
        <w:t xml:space="preserve"> transcription factor</w:t>
      </w:r>
      <w:r w:rsidR="009F5F41">
        <w:rPr>
          <w:iCs/>
          <w:color w:val="000000" w:themeColor="text1"/>
        </w:rPr>
        <w:t>s predicted by</w:t>
      </w:r>
      <w:r w:rsidR="009F5F41" w:rsidRPr="009F5F41">
        <w:rPr>
          <w:iCs/>
          <w:color w:val="000000" w:themeColor="text1"/>
        </w:rPr>
        <w:t xml:space="preserve"> Ontoscope are validated against three sources of published transcription factor lists: published cell conversions [1], Mogrify predictions [1], and D’Alessio </w:t>
      </w:r>
      <w:r w:rsidR="009F5F41" w:rsidRPr="009F5F41">
        <w:rPr>
          <w:i/>
          <w:iCs/>
          <w:color w:val="000000" w:themeColor="text1"/>
        </w:rPr>
        <w:t>et al.</w:t>
      </w:r>
      <w:r w:rsidR="009F5F41">
        <w:rPr>
          <w:iCs/>
          <w:color w:val="000000" w:themeColor="text1"/>
        </w:rPr>
        <w:t xml:space="preserve"> predictions</w:t>
      </w:r>
      <w:r w:rsidR="009F5F41" w:rsidRPr="009F5F41">
        <w:rPr>
          <w:iCs/>
          <w:color w:val="000000" w:themeColor="text1"/>
        </w:rPr>
        <w:t xml:space="preserve"> [6]</w:t>
      </w:r>
      <w:r w:rsidR="009F5F41">
        <w:rPr>
          <w:iCs/>
          <w:color w:val="000000" w:themeColor="text1"/>
        </w:rPr>
        <w:t>.</w:t>
      </w:r>
      <w:bookmarkStart w:id="0" w:name="_GoBack"/>
      <w:bookmarkEnd w:id="0"/>
    </w:p>
    <w:p w:rsidR="005A53C0" w:rsidRDefault="005A53C0" w:rsidP="005A53C0">
      <w:pPr>
        <w:spacing w:after="0"/>
        <w:rPr>
          <w:color w:val="000000" w:themeColor="text1"/>
        </w:rPr>
      </w:pPr>
    </w:p>
    <w:p w:rsid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3     Submodules and workflow</w:t>
      </w:r>
    </w:p>
    <w:p w:rsidR="009C7A3D" w:rsidRDefault="009C7A3D" w:rsidP="009C7A3D">
      <w:pPr>
        <w:spacing w:after="0"/>
        <w:rPr>
          <w:color w:val="365F91" w:themeColor="accent1" w:themeShade="BF"/>
        </w:rPr>
      </w:pPr>
      <w:r>
        <w:rPr>
          <w:noProof/>
          <w:color w:val="4F81BD" w:themeColor="accent1"/>
          <w:lang w:val="en-US" w:eastAsia="en-US"/>
        </w:rPr>
        <w:lastRenderedPageBreak/>
        <mc:AlternateContent>
          <mc:Choice Requires="wps">
            <w:drawing>
              <wp:anchor distT="0" distB="0" distL="114300" distR="114300" simplePos="0" relativeHeight="251665408" behindDoc="0" locked="0" layoutInCell="1" allowOverlap="1" wp14:anchorId="19BC68CE" wp14:editId="6C0D78E1">
                <wp:simplePos x="0" y="0"/>
                <wp:positionH relativeFrom="column">
                  <wp:posOffset>0</wp:posOffset>
                </wp:positionH>
                <wp:positionV relativeFrom="paragraph">
                  <wp:posOffset>-1905</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5WtwEAAMMDAAAOAAAAZHJzL2Uyb0RvYy54bWysU8GOEzEMvSPxD1HudKaL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n27Xq94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FijXla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5A53C0">
      <w:pPr>
        <w:spacing w:after="0"/>
        <w:rPr>
          <w:color w:val="000000" w:themeColor="text1"/>
        </w:rPr>
      </w:pPr>
      <w:r>
        <w:rPr>
          <w:color w:val="000000" w:themeColor="text1"/>
        </w:rPr>
        <w:t xml:space="preserve">This section outlines examples and functions underlying the usage of </w:t>
      </w:r>
      <w:r>
        <w:rPr>
          <w:i/>
          <w:iCs/>
          <w:color w:val="000000" w:themeColor="text1"/>
        </w:rPr>
        <w:t xml:space="preserve">Ontoscope </w:t>
      </w:r>
      <w:r>
        <w:rPr>
          <w:color w:val="000000" w:themeColor="text1"/>
        </w:rPr>
        <w:t>to generate lists of transcription factors for conversion.</w:t>
      </w:r>
    </w:p>
    <w:p w:rsidR="009C7A3D" w:rsidRDefault="009C7A3D" w:rsidP="005A53C0">
      <w:pPr>
        <w:spacing w:after="0"/>
        <w:rPr>
          <w:color w:val="000000" w:themeColor="text1"/>
        </w:rPr>
      </w:pPr>
    </w:p>
    <w:p w:rsidR="00E95893" w:rsidRDefault="00E95893" w:rsidP="005A53C0">
      <w:pPr>
        <w:spacing w:after="0"/>
        <w:rPr>
          <w:color w:val="000000" w:themeColor="text1"/>
        </w:rPr>
      </w:pPr>
      <w:r>
        <w:rPr>
          <w:color w:val="000000" w:themeColor="text1"/>
        </w:rPr>
        <w:t>Users should begin by defining cells of origin and desired target cell type as follows:</w:t>
      </w:r>
    </w:p>
    <w:p w:rsidR="00E95893" w:rsidRDefault="00E95893" w:rsidP="005A53C0">
      <w:pPr>
        <w:spacing w:after="0"/>
        <w:rPr>
          <w:color w:val="000000" w:themeColor="text1"/>
        </w:rPr>
      </w:pP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Pr>
          <w:rFonts w:ascii="Courier New" w:eastAsiaTheme="majorEastAsia" w:hAnsi="Courier New" w:cs="Courier New"/>
          <w:color w:val="000000" w:themeColor="text1"/>
        </w:rPr>
        <w:t>sourcecell &lt;- “eye”</w:t>
      </w:r>
    </w:p>
    <w:p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Pr>
          <w:rFonts w:ascii="Courier New" w:eastAsiaTheme="majorEastAsia" w:hAnsi="Courier New" w:cs="Courier New"/>
          <w:color w:val="000000" w:themeColor="text1"/>
        </w:rPr>
        <w:t>target &lt;- “fibroblast”</w:t>
      </w:r>
    </w:p>
    <w:p w:rsidR="00E95893" w:rsidRDefault="00E95893" w:rsidP="00E95893">
      <w:pPr>
        <w:spacing w:after="0"/>
        <w:rPr>
          <w:color w:val="000000" w:themeColor="text1"/>
        </w:rPr>
      </w:pPr>
    </w:p>
    <w:p w:rsidR="00E95893" w:rsidRDefault="00E95893" w:rsidP="00B63C62">
      <w:pPr>
        <w:spacing w:after="0"/>
        <w:rPr>
          <w:color w:val="000000" w:themeColor="text1"/>
        </w:rPr>
      </w:pPr>
      <w:r>
        <w:rPr>
          <w:color w:val="000000" w:themeColor="text1"/>
        </w:rPr>
        <w:t>Here, a retinal to fibroblast cell conversi</w:t>
      </w:r>
      <w:r w:rsidR="00B63C62">
        <w:rPr>
          <w:color w:val="000000" w:themeColor="text1"/>
        </w:rPr>
        <w:t>on has been used as an example. It is important to define both keywords and FANTOM IDs for desired cell types, as while FANTOM IDs will be used for the actual Ontoscope workflow, keyword definitions are important for visualization and literature validation.</w:t>
      </w:r>
    </w:p>
    <w:p w:rsidR="00B63C62" w:rsidRDefault="00B63C62" w:rsidP="00B63C62">
      <w:pPr>
        <w:spacing w:after="0"/>
        <w:rPr>
          <w:color w:val="000000" w:themeColor="text1"/>
        </w:rPr>
      </w:pPr>
    </w:p>
    <w:p w:rsidR="00B63C62" w:rsidRDefault="00B63C62" w:rsidP="00B63C62">
      <w:pPr>
        <w:spacing w:after="0"/>
        <w:rPr>
          <w:color w:val="000000" w:themeColor="text1"/>
        </w:rPr>
      </w:pPr>
      <w:r>
        <w:rPr>
          <w:color w:val="000000" w:themeColor="text1"/>
        </w:rPr>
        <w:t xml:space="preserve">Next, users should select their desired FANTOM IDs for source and target cells by sourcing and running the </w:t>
      </w:r>
      <w:r>
        <w:rPr>
          <w:b/>
          <w:bCs/>
          <w:color w:val="000000" w:themeColor="text1"/>
        </w:rPr>
        <w:t xml:space="preserve">fantom_import </w:t>
      </w:r>
      <w:r>
        <w:rPr>
          <w:color w:val="000000" w:themeColor="text1"/>
        </w:rPr>
        <w:t xml:space="preserve">submodule </w:t>
      </w:r>
      <w:r w:rsidR="00037E18">
        <w:rPr>
          <w:color w:val="000000" w:themeColor="text1"/>
        </w:rPr>
        <w:t xml:space="preserve">for both source and target cell types. Output for the source cell search is </w:t>
      </w:r>
      <w:r>
        <w:rPr>
          <w:color w:val="000000" w:themeColor="text1"/>
        </w:rPr>
        <w:t>as follows:</w:t>
      </w:r>
    </w:p>
    <w:p w:rsidR="00B63C62" w:rsidRDefault="00B63C62" w:rsidP="00B63C62">
      <w:pPr>
        <w:spacing w:after="0"/>
        <w:rPr>
          <w:color w:val="000000" w:themeColor="text1"/>
        </w:rPr>
      </w:pPr>
    </w:p>
    <w:p w:rsidR="00B63C62" w:rsidRDefault="00B63C62" w:rsidP="00B63C62">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Pr>
          <w:rFonts w:ascii="Courier New" w:eastAsiaTheme="majorEastAsia" w:hAnsi="Courier New" w:cs="Courier New"/>
          <w:color w:val="000000" w:themeColor="text1"/>
        </w:rPr>
        <w:t>source(“./fantom_import/fantom_main.R”)</w:t>
      </w:r>
    </w:p>
    <w:p w:rsidR="00B63C62" w:rsidRDefault="00B63C62" w:rsidP="00B63C62">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r w:rsidR="000524FB">
        <w:rPr>
          <w:rFonts w:ascii="Courier New" w:eastAsiaTheme="majorEastAsia" w:hAnsi="Courier New" w:cs="Courier New"/>
          <w:color w:val="000000" w:themeColor="text1"/>
        </w:rPr>
        <w:t>fantomSearch(sourcecell)</w:t>
      </w:r>
    </w:p>
    <w:p w:rsidR="000524FB" w:rsidRDefault="000524FB" w:rsidP="00B63C62">
      <w:pPr>
        <w:spacing w:after="0"/>
        <w:rPr>
          <w:rFonts w:ascii="Courier New" w:eastAsiaTheme="majorEastAsia" w:hAnsi="Courier New" w:cs="Courier New"/>
          <w:color w:val="000000" w:themeColor="text1"/>
        </w:rPr>
      </w:pP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 xml:space="preserve">                                       V1 FANTOM.5.Ontology.ID FANTOM.5.Access.Number</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1375 eye - muscle inferior rectus, donor1       FF:10272-104E2                   1381</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1376         eye - muscle lateral, donor2       FF:10298-104H1                   1382</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1377          eye - muscle medial, donor2       FF:10299-104H2                   1383</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1378        eye - muscle superior, donor2       FF:10297-104G9                   1384</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1379         eye - vitreous humor, donor1       FF:10268-104D7                   1385</w:t>
      </w:r>
    </w:p>
    <w:p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1380                   eye, fetal, donor1       FF:10054-101G9                   1386</w:t>
      </w:r>
    </w:p>
    <w:p w:rsidR="00B63C62" w:rsidRDefault="00B63C62" w:rsidP="00B63C62">
      <w:pPr>
        <w:spacing w:after="0"/>
        <w:rPr>
          <w:color w:val="000000" w:themeColor="text1"/>
        </w:rPr>
      </w:pPr>
    </w:p>
    <w:p w:rsidR="00037E18" w:rsidRDefault="00037E18" w:rsidP="00037E18">
      <w:pPr>
        <w:spacing w:after="0"/>
        <w:rPr>
          <w:color w:val="000000" w:themeColor="text1"/>
        </w:rPr>
      </w:pPr>
      <w:r>
        <w:rPr>
          <w:color w:val="000000" w:themeColor="text1"/>
        </w:rPr>
        <w:t>From the list, the desired specific subtype (ie: lateral eye muscle, vitreous humor, fetal eye) of cell can be selected, and the FANTOM Ontology ID (FF:ID) noted. Here, we have chosen to convert inferior rectus eye muscle to cardiac fibroblast. FF:IDs may then be defined as follows:</w:t>
      </w:r>
    </w:p>
    <w:p w:rsidR="00037E18" w:rsidRDefault="00037E18" w:rsidP="00037E18">
      <w:pPr>
        <w:spacing w:after="0"/>
        <w:rPr>
          <w:color w:val="000000" w:themeColor="text1"/>
        </w:rPr>
      </w:pPr>
    </w:p>
    <w:p w:rsidR="00037E18" w:rsidRPr="00037E18" w:rsidRDefault="00037E18" w:rsidP="00037E18">
      <w:pPr>
        <w:spacing w:after="0"/>
        <w:rPr>
          <w:rFonts w:ascii="Courier New" w:eastAsiaTheme="majorEastAsia" w:hAnsi="Courier New" w:cs="Courier New"/>
          <w:color w:val="000000" w:themeColor="text1"/>
        </w:rPr>
      </w:pPr>
      <w:r w:rsidRPr="00037E18">
        <w:rPr>
          <w:rFonts w:ascii="Courier New" w:eastAsiaTheme="majorEastAsia" w:hAnsi="Courier New" w:cs="Courier New"/>
          <w:color w:val="000000" w:themeColor="text1"/>
        </w:rPr>
        <w:t>&gt; sourceFF &lt;- “</w:t>
      </w:r>
      <w:r>
        <w:rPr>
          <w:rFonts w:ascii="Courier New" w:eastAsiaTheme="majorEastAsia" w:hAnsi="Courier New" w:cs="Courier New"/>
          <w:color w:val="000000" w:themeColor="text1"/>
        </w:rPr>
        <w:t>FF:10272-104E2</w:t>
      </w:r>
      <w:r w:rsidRPr="00037E18">
        <w:rPr>
          <w:rFonts w:ascii="Courier New" w:eastAsiaTheme="majorEastAsia" w:hAnsi="Courier New" w:cs="Courier New"/>
          <w:color w:val="000000" w:themeColor="text1"/>
        </w:rPr>
        <w:t>”</w:t>
      </w:r>
    </w:p>
    <w:p w:rsidR="00037E18" w:rsidRPr="00037E18" w:rsidRDefault="00037E18" w:rsidP="00037E18">
      <w:pPr>
        <w:pStyle w:val="HTMLPreformatted"/>
        <w:shd w:val="clear" w:color="auto" w:fill="FFFFFF"/>
        <w:wordWrap w:val="0"/>
        <w:spacing w:line="225" w:lineRule="atLeast"/>
        <w:rPr>
          <w:rFonts w:ascii="Lucida Console" w:hAnsi="Lucida Console"/>
          <w:color w:val="000000"/>
          <w:sz w:val="22"/>
          <w:szCs w:val="22"/>
        </w:rPr>
      </w:pPr>
      <w:r w:rsidRPr="00037E18">
        <w:rPr>
          <w:rFonts w:eastAsiaTheme="majorEastAsia"/>
          <w:color w:val="000000" w:themeColor="text1"/>
          <w:sz w:val="22"/>
          <w:szCs w:val="22"/>
        </w:rPr>
        <w:t>&gt; target</w:t>
      </w:r>
      <w:r>
        <w:rPr>
          <w:rFonts w:eastAsiaTheme="majorEastAsia"/>
          <w:color w:val="000000" w:themeColor="text1"/>
          <w:sz w:val="22"/>
          <w:szCs w:val="22"/>
        </w:rPr>
        <w:t>FF</w:t>
      </w:r>
      <w:r w:rsidRPr="00037E18">
        <w:rPr>
          <w:rFonts w:eastAsiaTheme="majorEastAsia"/>
          <w:color w:val="000000" w:themeColor="text1"/>
          <w:sz w:val="22"/>
          <w:szCs w:val="22"/>
        </w:rPr>
        <w:t xml:space="preserve"> &lt;- “FF:11268-116G8”</w:t>
      </w:r>
    </w:p>
    <w:p w:rsidR="00037E18" w:rsidRDefault="00037E18" w:rsidP="00037E18">
      <w:pPr>
        <w:spacing w:after="0"/>
        <w:rPr>
          <w:rFonts w:ascii="Courier New" w:eastAsiaTheme="majorEastAsia" w:hAnsi="Courier New" w:cs="Courier New"/>
          <w:color w:val="000000" w:themeColor="text1"/>
        </w:rPr>
      </w:pPr>
    </w:p>
    <w:p w:rsidR="00037E18" w:rsidRDefault="00037E18" w:rsidP="00DE47F4">
      <w:pPr>
        <w:spacing w:after="0"/>
        <w:rPr>
          <w:color w:val="000000" w:themeColor="text1"/>
        </w:rPr>
      </w:pPr>
      <w:r>
        <w:rPr>
          <w:color w:val="000000" w:themeColor="text1"/>
        </w:rPr>
        <w:t>Following this, simply running runOntoscope.R will process the entire workflow for you</w:t>
      </w:r>
      <w:r w:rsidR="00DE47F4">
        <w:rPr>
          <w:color w:val="000000" w:themeColor="text1"/>
        </w:rPr>
        <w:t>, outputting a list of top transcription factors required for conversion with confidence rankings based on literature as well as heatmap and interaction network visualizations. The runOntoscope.R package also contains built-in functionality to cross-validate the transcription factor lists generated by Ontoscope against published conversion lists from either literature or the MOGRIFY package.</w:t>
      </w:r>
    </w:p>
    <w:p w:rsidR="00B63C62" w:rsidRPr="00B63C62" w:rsidRDefault="00B63C62" w:rsidP="00B63C62">
      <w:pPr>
        <w:spacing w:after="0"/>
        <w:rPr>
          <w:color w:val="000000" w:themeColor="text1"/>
        </w:rPr>
      </w:pPr>
    </w:p>
    <w:p w:rsidR="005A53C0" w:rsidRDefault="009C7A3D" w:rsidP="005A53C0">
      <w:pPr>
        <w:spacing w:after="0"/>
        <w:rPr>
          <w:b/>
          <w:bCs/>
          <w:color w:val="365F91" w:themeColor="accent1" w:themeShade="BF"/>
        </w:rPr>
      </w:pPr>
      <w:r>
        <w:rPr>
          <w:b/>
          <w:bCs/>
          <w:color w:val="365F91" w:themeColor="accent1" w:themeShade="BF"/>
        </w:rPr>
        <w:t>3.1     Normalization</w:t>
      </w:r>
    </w:p>
    <w:p w:rsidR="00522C24" w:rsidRDefault="00522C24" w:rsidP="005A53C0">
      <w:pPr>
        <w:spacing w:after="0"/>
        <w:rPr>
          <w:b/>
          <w:bCs/>
          <w:color w:val="365F91" w:themeColor="accent1" w:themeShade="BF"/>
        </w:rPr>
      </w:pPr>
    </w:p>
    <w:p w:rsidR="00522C24" w:rsidRDefault="00C33C62" w:rsidP="00C33C62">
      <w:pPr>
        <w:spacing w:after="0"/>
        <w:rPr>
          <w:color w:val="000000" w:themeColor="text1"/>
        </w:rPr>
      </w:pPr>
      <w:r>
        <w:rPr>
          <w:color w:val="000000" w:themeColor="text1"/>
        </w:rPr>
        <w:lastRenderedPageBreak/>
        <w:t>Prior to beginning the workflow proper, it is important to first normalize all gene identifiers in order to allow comparison between gene lists and data from different sources. Ontoscope takes as input four main sources of data: gene expression data from FANTOM5, and protein-protein interaction and regulatory network data from STRING</w:t>
      </w:r>
      <w:r>
        <w:rPr>
          <w:color w:val="000000" w:themeColor="text1"/>
          <w:vertAlign w:val="superscript"/>
        </w:rPr>
        <w:t>4</w:t>
      </w:r>
      <w:r>
        <w:rPr>
          <w:color w:val="000000" w:themeColor="text1"/>
        </w:rPr>
        <w:t>, TRRUST, and REGNET. While FANTOM5 and TRRUST datasets contain HGNC identifiers for genes, STRING primarily identifies genes based on Ensembl IDs, and must be normalized to HGNC</w:t>
      </w:r>
      <w:r w:rsidR="00A610BD">
        <w:rPr>
          <w:color w:val="000000" w:themeColor="text1"/>
        </w:rPr>
        <w:t xml:space="preserve"> symbols</w:t>
      </w:r>
      <w:r>
        <w:rPr>
          <w:color w:val="000000" w:themeColor="text1"/>
        </w:rPr>
        <w:t xml:space="preserve"> for comparison purposes. Furthermore, while REGNET uses HGNC identifiers for its gene interactions, these IDs are four years old at the time of publication of this vignette, and may be outdated.</w:t>
      </w:r>
    </w:p>
    <w:p w:rsidR="00C33C62" w:rsidRDefault="00C33C62" w:rsidP="00C33C62">
      <w:pPr>
        <w:spacing w:after="0"/>
        <w:rPr>
          <w:color w:val="000000" w:themeColor="text1"/>
        </w:rPr>
      </w:pPr>
    </w:p>
    <w:p w:rsidR="00C33C62" w:rsidRDefault="00C050AD" w:rsidP="00A610BD">
      <w:pPr>
        <w:spacing w:after="0"/>
        <w:rPr>
          <w:color w:val="000000" w:themeColor="text1"/>
        </w:rPr>
      </w:pPr>
      <w:r>
        <w:rPr>
          <w:color w:val="000000" w:themeColor="text1"/>
        </w:rPr>
        <w:t>In order to normalize STRING interactions,</w:t>
      </w:r>
      <w:r w:rsidR="00185A61">
        <w:rPr>
          <w:color w:val="000000" w:themeColor="text1"/>
        </w:rPr>
        <w:t xml:space="preserve"> the </w:t>
      </w:r>
      <w:r w:rsidR="00185A61">
        <w:rPr>
          <w:b/>
          <w:bCs/>
          <w:color w:val="000000" w:themeColor="text1"/>
        </w:rPr>
        <w:t xml:space="preserve">normalizeWeave.R </w:t>
      </w:r>
      <w:r w:rsidR="00185A61">
        <w:rPr>
          <w:color w:val="000000" w:themeColor="text1"/>
        </w:rPr>
        <w:t>submodule is sourced, using</w:t>
      </w:r>
      <w:r>
        <w:rPr>
          <w:color w:val="000000" w:themeColor="text1"/>
        </w:rPr>
        <w:t xml:space="preserve"> </w:t>
      </w:r>
      <w:r w:rsidR="00185A61">
        <w:rPr>
          <w:color w:val="000000" w:themeColor="text1"/>
        </w:rPr>
        <w:t>the R Bioconductor package biomaRt to create a new datafile from the base STRING data table with approximately 8.5 million protein-protein interactions. In order to avoid extremely lengthy processing times, STRING Ensembl protein IDs are placed in a new data frame as row names</w:t>
      </w:r>
      <w:r w:rsidR="00125E5B">
        <w:rPr>
          <w:color w:val="000000" w:themeColor="text1"/>
        </w:rPr>
        <w:t xml:space="preserve">, following which a new vector of HGNC </w:t>
      </w:r>
      <w:r w:rsidR="00A610BD">
        <w:rPr>
          <w:color w:val="000000" w:themeColor="text1"/>
        </w:rPr>
        <w:t>symbol</w:t>
      </w:r>
      <w:r w:rsidR="00125E5B">
        <w:rPr>
          <w:color w:val="000000" w:themeColor="text1"/>
        </w:rPr>
        <w:t xml:space="preserve">s is created with biomaRt. The updated file, </w:t>
      </w:r>
      <w:r w:rsidR="00125E5B">
        <w:rPr>
          <w:b/>
          <w:bCs/>
          <w:color w:val="000000" w:themeColor="text1"/>
        </w:rPr>
        <w:t>curatedOutput.Rdata</w:t>
      </w:r>
      <w:r w:rsidR="00125E5B">
        <w:rPr>
          <w:color w:val="000000" w:themeColor="text1"/>
        </w:rPr>
        <w:t>, is then available for usage in downstream applications.</w:t>
      </w:r>
    </w:p>
    <w:p w:rsidR="00125E5B" w:rsidRDefault="00125E5B" w:rsidP="00185A61">
      <w:pPr>
        <w:spacing w:after="0"/>
        <w:rPr>
          <w:color w:val="000000" w:themeColor="text1"/>
        </w:rPr>
      </w:pPr>
    </w:p>
    <w:p w:rsidR="00125E5B" w:rsidRDefault="00125E5B" w:rsidP="00A610BD">
      <w:pPr>
        <w:spacing w:after="0"/>
        <w:rPr>
          <w:color w:val="000000" w:themeColor="text1"/>
        </w:rPr>
      </w:pPr>
      <w:r>
        <w:rPr>
          <w:color w:val="000000" w:themeColor="text1"/>
        </w:rPr>
        <w:t xml:space="preserve">Should Regnet files require updated HGNC </w:t>
      </w:r>
      <w:r w:rsidR="00A610BD">
        <w:rPr>
          <w:color w:val="000000" w:themeColor="text1"/>
        </w:rPr>
        <w:t xml:space="preserve">symbol </w:t>
      </w:r>
      <w:r>
        <w:rPr>
          <w:color w:val="000000" w:themeColor="text1"/>
        </w:rPr>
        <w:t xml:space="preserve">assignments, </w:t>
      </w:r>
      <w:r w:rsidR="00A610BD">
        <w:rPr>
          <w:color w:val="000000" w:themeColor="text1"/>
        </w:rPr>
        <w:t xml:space="preserve">Entrez </w:t>
      </w:r>
      <w:r>
        <w:rPr>
          <w:color w:val="000000" w:themeColor="text1"/>
        </w:rPr>
        <w:t xml:space="preserve">IDs can be retrieved from Regnet </w:t>
      </w:r>
      <w:r w:rsidR="00A610BD">
        <w:rPr>
          <w:color w:val="000000" w:themeColor="text1"/>
        </w:rPr>
        <w:t xml:space="preserve"> files </w:t>
      </w:r>
      <w:r>
        <w:rPr>
          <w:color w:val="000000" w:themeColor="text1"/>
        </w:rPr>
        <w:t xml:space="preserve">and transcribed into HGNC </w:t>
      </w:r>
      <w:r w:rsidR="00A610BD">
        <w:rPr>
          <w:color w:val="000000" w:themeColor="text1"/>
        </w:rPr>
        <w:t>symbol</w:t>
      </w:r>
      <w:r>
        <w:rPr>
          <w:color w:val="000000" w:themeColor="text1"/>
        </w:rPr>
        <w:t xml:space="preserve">s as well by altering the following lines in </w:t>
      </w:r>
      <w:r w:rsidRPr="00125E5B">
        <w:rPr>
          <w:b/>
          <w:bCs/>
          <w:color w:val="000000" w:themeColor="text1"/>
        </w:rPr>
        <w:t>normalize</w:t>
      </w:r>
      <w:r w:rsidR="00A610BD">
        <w:rPr>
          <w:b/>
          <w:bCs/>
          <w:color w:val="000000" w:themeColor="text1"/>
        </w:rPr>
        <w:t>Regnet</w:t>
      </w:r>
      <w:r w:rsidRPr="00125E5B">
        <w:rPr>
          <w:b/>
          <w:bCs/>
          <w:color w:val="000000" w:themeColor="text1"/>
        </w:rPr>
        <w:t>.R</w:t>
      </w:r>
      <w:r>
        <w:rPr>
          <w:color w:val="000000" w:themeColor="text1"/>
        </w:rPr>
        <w:t xml:space="preserve"> :</w:t>
      </w:r>
    </w:p>
    <w:p w:rsidR="00125E5B" w:rsidRDefault="00125E5B" w:rsidP="00125E5B">
      <w:pPr>
        <w:spacing w:after="0"/>
        <w:rPr>
          <w:color w:val="000000" w:themeColor="text1"/>
        </w:rPr>
      </w:pPr>
    </w:p>
    <w:p w:rsidR="00125E5B" w:rsidRDefault="00125E5B" w:rsidP="00A610B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sidR="00A610BD">
        <w:rPr>
          <w:rFonts w:ascii="Courier New" w:eastAsiaTheme="majorEastAsia" w:hAnsi="Courier New" w:cs="Courier New"/>
          <w:color w:val="000000" w:themeColor="text1"/>
        </w:rPr>
        <w:t>IDmap &lt;- data.frame(entrezgene=IDmap, HGNC=””, stringsAsFactors=FALSE)</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&gt; BMmap &lt;- getBM(filters = “entrezgene”,</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attributes = c(“entrezgene”, output),</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values = IDmap$entrezgene,</w:t>
      </w:r>
    </w:p>
    <w:p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mart = ensembl)</w:t>
      </w:r>
    </w:p>
    <w:p w:rsidR="00A610BD" w:rsidRDefault="00A610BD" w:rsidP="00125E5B">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&gt; colnames(BMmap) &lt;- c(“entrezgene”, output)</w:t>
      </w:r>
    </w:p>
    <w:p w:rsidR="00A610BD" w:rsidRDefault="00A610BD" w:rsidP="00125E5B">
      <w:pPr>
        <w:spacing w:after="0"/>
        <w:rPr>
          <w:rFonts w:ascii="Courier New" w:eastAsiaTheme="majorEastAsia" w:hAnsi="Courier New" w:cs="Courier New"/>
          <w:color w:val="000000" w:themeColor="text1"/>
        </w:rPr>
      </w:pPr>
    </w:p>
    <w:p w:rsidR="00A610BD" w:rsidRDefault="00A610BD" w:rsidP="00125E5B">
      <w:pPr>
        <w:spacing w:after="0"/>
        <w:rPr>
          <w:color w:val="000000" w:themeColor="text1"/>
        </w:rPr>
      </w:pPr>
      <w:r>
        <w:rPr>
          <w:color w:val="000000" w:themeColor="text1"/>
        </w:rPr>
        <w:t>All input datafiles will now have been normalized to identify genes by HGNC symbols.</w:t>
      </w:r>
    </w:p>
    <w:p w:rsidR="00A610BD" w:rsidRDefault="00A610BD" w:rsidP="00125E5B">
      <w:pPr>
        <w:spacing w:after="0"/>
        <w:rPr>
          <w:color w:val="000000" w:themeColor="text1"/>
        </w:rPr>
      </w:pPr>
    </w:p>
    <w:p w:rsidR="00A610BD" w:rsidRDefault="00A610BD" w:rsidP="00125E5B">
      <w:pPr>
        <w:spacing w:after="0"/>
        <w:rPr>
          <w:color w:val="000000" w:themeColor="text1"/>
        </w:rPr>
      </w:pPr>
      <w:r>
        <w:rPr>
          <w:color w:val="000000" w:themeColor="text1"/>
        </w:rPr>
        <w:t>Finally, transcription factors must be defined prior to performing analysis.</w:t>
      </w:r>
      <w:r w:rsidR="00C0121B">
        <w:rPr>
          <w:color w:val="000000" w:themeColor="text1"/>
        </w:rPr>
        <w:t xml:space="preserve"> Sourcing the </w:t>
      </w:r>
      <w:r w:rsidR="00C0121B">
        <w:rPr>
          <w:b/>
          <w:bCs/>
          <w:color w:val="000000" w:themeColor="text1"/>
        </w:rPr>
        <w:t xml:space="preserve">normalizeTF.R </w:t>
      </w:r>
      <w:r w:rsidR="00C0121B">
        <w:rPr>
          <w:color w:val="000000" w:themeColor="text1"/>
        </w:rPr>
        <w:t>subscript will automatically compile a list of transcription factors common among at least two out of the five following datasets:</w:t>
      </w:r>
    </w:p>
    <w:p w:rsidR="00C0121B" w:rsidRDefault="00C0121B" w:rsidP="00125E5B">
      <w:pPr>
        <w:spacing w:after="0"/>
        <w:rPr>
          <w:color w:val="000000" w:themeColor="text1"/>
        </w:rPr>
      </w:pP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TFCat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DBD (DNA-binding domain) database</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A manually assembled list of transcription factors with annotations</w:t>
      </w:r>
      <w:r>
        <w:rPr>
          <w:rFonts w:eastAsiaTheme="majorEastAsia" w:cs="Courier New"/>
          <w:color w:val="000000" w:themeColor="text1"/>
          <w:vertAlign w:val="superscript"/>
        </w:rPr>
        <w:t>5</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FANTOM5 transcription factor dataset</w:t>
      </w:r>
    </w:p>
    <w:p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ENCODE transcription factor data derived from their ChIP-seq antibody list</w:t>
      </w:r>
    </w:p>
    <w:p w:rsidR="00C0121B" w:rsidRDefault="00C0121B" w:rsidP="00C0121B">
      <w:pPr>
        <w:spacing w:after="0"/>
        <w:rPr>
          <w:rFonts w:ascii="Courier New" w:eastAsiaTheme="majorEastAsia" w:hAnsi="Courier New" w:cs="Courier New"/>
          <w:color w:val="000000" w:themeColor="text1"/>
        </w:rPr>
      </w:pPr>
    </w:p>
    <w:p w:rsidR="00C0121B" w:rsidRDefault="00AE1D06" w:rsidP="00AE1D06">
      <w:pPr>
        <w:spacing w:after="0"/>
        <w:rPr>
          <w:rFonts w:eastAsiaTheme="majorEastAsia" w:cs="Courier New"/>
          <w:color w:val="000000" w:themeColor="text1"/>
        </w:rPr>
      </w:pPr>
      <w:r>
        <w:rPr>
          <w:rFonts w:eastAsiaTheme="majorEastAsia" w:cs="Courier New"/>
          <w:color w:val="000000" w:themeColor="text1"/>
        </w:rPr>
        <w:t xml:space="preserve">The choice of how many lists to use as a cutoff was based on variations in overlap between the lists </w:t>
      </w:r>
      <w:r>
        <w:rPr>
          <w:rFonts w:eastAsiaTheme="majorEastAsia" w:cs="Courier New"/>
          <w:b/>
          <w:bCs/>
          <w:color w:val="000000" w:themeColor="text1"/>
        </w:rPr>
        <w:t>(Figure 1)</w:t>
      </w:r>
      <w:r>
        <w:rPr>
          <w:rFonts w:eastAsiaTheme="majorEastAsia" w:cs="Courier New"/>
          <w:color w:val="000000" w:themeColor="text1"/>
        </w:rPr>
        <w:t xml:space="preserve">, and may be easily modified through subsetting of the MergedList table generated by this </w:t>
      </w:r>
      <w:r>
        <w:rPr>
          <w:rFonts w:eastAsiaTheme="majorEastAsia" w:cs="Courier New"/>
          <w:color w:val="000000" w:themeColor="text1"/>
        </w:rPr>
        <w:lastRenderedPageBreak/>
        <w:t>submodule, which lists all transcription factors and whether or not they are present in each dataset, via modification of the following line:</w:t>
      </w:r>
    </w:p>
    <w:p w:rsidR="00AE1D06" w:rsidRDefault="00AE1D06" w:rsidP="00C0121B">
      <w:pPr>
        <w:spacing w:after="0"/>
        <w:rPr>
          <w:rFonts w:eastAsiaTheme="majorEastAsia" w:cs="Courier New"/>
          <w:color w:val="000000" w:themeColor="text1"/>
        </w:rPr>
      </w:pPr>
    </w:p>
    <w:p w:rsidR="00AE1D06" w:rsidRDefault="00AE1D06" w:rsidP="00AE1D06">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&gt; TFList &lt;- unique(MergedList[!MergedList$Count==”1”,])$Gene.Symbol</w:t>
      </w:r>
    </w:p>
    <w:p w:rsidR="00AE1D06" w:rsidRPr="00AE1D06" w:rsidRDefault="00AE1D06" w:rsidP="00AE1D06">
      <w:pPr>
        <w:spacing w:after="0"/>
        <w:rPr>
          <w:rFonts w:ascii="Courier New" w:eastAsiaTheme="majorEastAsia" w:hAnsi="Courier New" w:cs="Courier New"/>
          <w:color w:val="000000" w:themeColor="text1"/>
        </w:rPr>
      </w:pPr>
    </w:p>
    <w:p w:rsidR="00522C24" w:rsidRDefault="00522C24" w:rsidP="00AE1D06">
      <w:pPr>
        <w:spacing w:after="0"/>
        <w:jc w:val="center"/>
        <w:rPr>
          <w:rFonts w:ascii="Courier New" w:eastAsiaTheme="majorEastAsia" w:hAnsi="Courier New" w:cs="Courier New"/>
          <w:color w:val="000000" w:themeColor="text1"/>
        </w:rPr>
      </w:pPr>
      <w:r>
        <w:rPr>
          <w:noProof/>
          <w:lang w:val="en-US" w:eastAsia="en-US"/>
        </w:rPr>
        <w:drawing>
          <wp:inline distT="0" distB="0" distL="0" distR="0">
            <wp:extent cx="4305377" cy="3505200"/>
            <wp:effectExtent l="0" t="0" r="0" b="0"/>
            <wp:docPr id="10" name="Picture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77" cy="3505200"/>
                    </a:xfrm>
                    <a:prstGeom prst="rect">
                      <a:avLst/>
                    </a:prstGeom>
                    <a:noFill/>
                    <a:ln>
                      <a:noFill/>
                    </a:ln>
                  </pic:spPr>
                </pic:pic>
              </a:graphicData>
            </a:graphic>
          </wp:inline>
        </w:drawing>
      </w:r>
    </w:p>
    <w:p w:rsidR="00522C24" w:rsidRDefault="00522C24" w:rsidP="00522C24">
      <w:pPr>
        <w:spacing w:after="0"/>
        <w:rPr>
          <w:rFonts w:ascii="Courier New" w:eastAsiaTheme="majorEastAsia" w:hAnsi="Courier New" w:cs="Courier New"/>
          <w:color w:val="000000" w:themeColor="text1"/>
        </w:rPr>
      </w:pPr>
    </w:p>
    <w:p w:rsidR="00522C24" w:rsidRDefault="00522C24" w:rsidP="00AE1D06">
      <w:pPr>
        <w:spacing w:after="0"/>
        <w:rPr>
          <w:rFonts w:ascii="Courier New" w:eastAsiaTheme="majorEastAsia" w:hAnsi="Courier New" w:cs="Courier New"/>
          <w:color w:val="000000" w:themeColor="text1"/>
        </w:rPr>
      </w:pPr>
      <w:r>
        <w:rPr>
          <w:rFonts w:eastAsiaTheme="majorEastAsia" w:cs="Courier New"/>
          <w:b/>
          <w:bCs/>
          <w:color w:val="000000" w:themeColor="text1"/>
        </w:rPr>
        <w:t xml:space="preserve">Figure 1: </w:t>
      </w:r>
      <w:r w:rsidR="004F7490">
        <w:rPr>
          <w:rFonts w:eastAsiaTheme="majorEastAsia" w:cs="Courier New"/>
          <w:b/>
          <w:bCs/>
          <w:color w:val="000000" w:themeColor="text1"/>
        </w:rPr>
        <w:t>Varying degrees of overlap between human transcription factor datasets</w:t>
      </w:r>
      <w:r>
        <w:rPr>
          <w:rFonts w:eastAsiaTheme="majorEastAsia" w:cs="Courier New"/>
          <w:b/>
          <w:bCs/>
          <w:color w:val="000000" w:themeColor="text1"/>
        </w:rPr>
        <w:t xml:space="preserve">. </w:t>
      </w:r>
      <w:r w:rsidR="00AE1D06">
        <w:rPr>
          <w:rFonts w:eastAsiaTheme="majorEastAsia" w:cs="Courier New"/>
          <w:color w:val="000000" w:themeColor="text1"/>
        </w:rPr>
        <w:t>Venn diagram depicting large overlap between the manually curated and Fantom5 lists, while other datasets possess less unique and overlapping transcription factors</w:t>
      </w:r>
      <w:r>
        <w:rPr>
          <w:rFonts w:eastAsiaTheme="majorEastAsia" w:cs="Courier New"/>
          <w:color w:val="000000" w:themeColor="text1"/>
        </w:rPr>
        <w:t>. Genera</w:t>
      </w:r>
      <w:r w:rsidR="00E72E8E">
        <w:rPr>
          <w:rFonts w:eastAsiaTheme="majorEastAsia" w:cs="Courier New"/>
          <w:color w:val="000000" w:themeColor="text1"/>
        </w:rPr>
        <w:t xml:space="preserve">ted by the VennDiagrams package: </w:t>
      </w:r>
      <w:r w:rsidR="00E72E8E">
        <w:rPr>
          <w:rFonts w:ascii="Courier New" w:eastAsiaTheme="majorEastAsia" w:hAnsi="Courier New" w:cs="Courier New"/>
          <w:color w:val="000000" w:themeColor="text1"/>
        </w:rPr>
        <w:t>draw.quintuple.venn(</w:t>
      </w:r>
      <w:r w:rsidR="004F7490">
        <w:rPr>
          <w:rFonts w:ascii="Courier New" w:eastAsiaTheme="majorEastAsia" w:hAnsi="Courier New" w:cs="Courier New"/>
          <w:color w:val="000000" w:themeColor="text1"/>
        </w:rPr>
        <w:t>)</w:t>
      </w:r>
    </w:p>
    <w:p w:rsidR="0030604A" w:rsidRDefault="0030604A" w:rsidP="00AE1D06">
      <w:pPr>
        <w:spacing w:after="0"/>
        <w:rPr>
          <w:rFonts w:ascii="Courier New" w:eastAsiaTheme="majorEastAsia" w:hAnsi="Courier New" w:cs="Courier New"/>
          <w:color w:val="000000" w:themeColor="text1"/>
        </w:rPr>
      </w:pPr>
    </w:p>
    <w:p w:rsidR="0030604A" w:rsidRPr="0030604A" w:rsidRDefault="0030604A" w:rsidP="00DD74A6">
      <w:pPr>
        <w:spacing w:after="0"/>
        <w:rPr>
          <w:rFonts w:eastAsiaTheme="majorEastAsia" w:cs="Courier New"/>
          <w:color w:val="000000" w:themeColor="text1"/>
        </w:rPr>
      </w:pPr>
      <w:r>
        <w:rPr>
          <w:rFonts w:eastAsiaTheme="majorEastAsia" w:cs="Courier New"/>
          <w:color w:val="000000" w:themeColor="text1"/>
        </w:rPr>
        <w:t xml:space="preserve">Note that </w:t>
      </w:r>
      <w:r w:rsidR="00DD74A6">
        <w:rPr>
          <w:rFonts w:eastAsiaTheme="majorEastAsia" w:cs="Courier New"/>
          <w:color w:val="000000" w:themeColor="text1"/>
        </w:rPr>
        <w:t>all transcription factors have been normalized to HGNC symbols where appropriate. The normalize submodule allows for easy replacement or update of lists through the replacement of their .csv datafiles with updated data.</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3.2     FANTOM expression data import</w:t>
      </w:r>
    </w:p>
    <w:p w:rsidR="003346BC" w:rsidRDefault="003346BC" w:rsidP="005A53C0">
      <w:pPr>
        <w:spacing w:after="0"/>
        <w:rPr>
          <w:b/>
          <w:bCs/>
          <w:color w:val="365F91" w:themeColor="accent1" w:themeShade="BF"/>
        </w:rPr>
      </w:pPr>
    </w:p>
    <w:p w:rsidR="003346BC" w:rsidRDefault="003102C8" w:rsidP="00FF51C8">
      <w:pPr>
        <w:spacing w:after="0"/>
        <w:rPr>
          <w:color w:val="000000" w:themeColor="text1"/>
        </w:rPr>
      </w:pPr>
      <w:r>
        <w:rPr>
          <w:color w:val="000000" w:themeColor="text1"/>
        </w:rPr>
        <w:t xml:space="preserve">Expression profiles for genes across </w:t>
      </w:r>
      <w:r w:rsidR="00FF51C8">
        <w:rPr>
          <w:color w:val="000000" w:themeColor="text1"/>
        </w:rPr>
        <w:t xml:space="preserve">available cell lines have been derived from cap analysis of gene expression (CAGE) sequencing by the FANTOM5 consortium. </w:t>
      </w:r>
      <w:r>
        <w:rPr>
          <w:color w:val="000000" w:themeColor="text1"/>
        </w:rPr>
        <w:t xml:space="preserve">The FANTOM import submodule allows for </w:t>
      </w:r>
      <w:r w:rsidR="00FF51C8">
        <w:rPr>
          <w:color w:val="000000" w:themeColor="text1"/>
        </w:rPr>
        <w:t xml:space="preserve">the import and processing of raw read counts from this sequencing data, accepting several different possible search terms as inputs and allowing for import of normalized read counts as an alternative. For the purposes of the Ontoscope workflow, the </w:t>
      </w:r>
      <w:r w:rsidR="00FF51C8">
        <w:rPr>
          <w:b/>
          <w:bCs/>
          <w:color w:val="000000" w:themeColor="text1"/>
        </w:rPr>
        <w:t xml:space="preserve">fantom_main.R </w:t>
      </w:r>
      <w:r w:rsidR="00FF51C8">
        <w:rPr>
          <w:color w:val="000000" w:themeColor="text1"/>
        </w:rPr>
        <w:t>submodule has already been sourced. Furthermore, as we perform our own normalization and background derivations further downstream, we must focus on importing raw read counts rather than normalized expression data.</w:t>
      </w:r>
    </w:p>
    <w:p w:rsidR="00FF51C8" w:rsidRDefault="00FF51C8" w:rsidP="00FF51C8">
      <w:pPr>
        <w:spacing w:after="0"/>
        <w:rPr>
          <w:color w:val="000000" w:themeColor="text1"/>
        </w:rPr>
      </w:pPr>
    </w:p>
    <w:p w:rsidR="00FF51C8" w:rsidRDefault="00FF51C8" w:rsidP="00FF51C8">
      <w:pPr>
        <w:spacing w:after="0"/>
        <w:rPr>
          <w:color w:val="000000" w:themeColor="text1"/>
        </w:rPr>
      </w:pPr>
      <w:r>
        <w:rPr>
          <w:color w:val="000000" w:themeColor="text1"/>
        </w:rPr>
        <w:t xml:space="preserve">The </w:t>
      </w:r>
      <w:r w:rsidRPr="00FF51C8">
        <w:rPr>
          <w:b/>
          <w:bCs/>
          <w:color w:val="000000" w:themeColor="text1"/>
        </w:rPr>
        <w:t>runOntoscope.R</w:t>
      </w:r>
      <w:r>
        <w:rPr>
          <w:b/>
          <w:bCs/>
          <w:color w:val="000000" w:themeColor="text1"/>
        </w:rPr>
        <w:t xml:space="preserve"> </w:t>
      </w:r>
      <w:r>
        <w:rPr>
          <w:color w:val="000000" w:themeColor="text1"/>
        </w:rPr>
        <w:t xml:space="preserve">script </w:t>
      </w:r>
      <w:r w:rsidR="007D2CD8">
        <w:rPr>
          <w:color w:val="000000" w:themeColor="text1"/>
        </w:rPr>
        <w:t>first searches the FANTOM5 database for matching FF IDs and downloads the raw expression counts for each as follows:</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&gt; FFVect &lt;- c(sourceFF, targetFF)</w:t>
      </w:r>
    </w:p>
    <w:p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&gt; fantomOntology(FFVect)</w:t>
      </w:r>
    </w:p>
    <w:p w:rsidR="007D2CD8" w:rsidRDefault="007D2CD8" w:rsidP="00FF51C8">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color w:val="000000"/>
        </w:rPr>
      </w:pPr>
      <w:r w:rsidRPr="007D2CD8">
        <w:rPr>
          <w:color w:val="000000"/>
        </w:rPr>
        <w:t>[1] "Sample_DB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Returning RAW COUNTS</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MATCHED: 2 of 2</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2 Search Result(s) Were Found. Loading...</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Loading Results from Fantom Access Number 1381 ( 1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Results from Fantom Access Number 1381 Loaded!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Loading Results from Fantom Access Number 377 ( 2 / 2 )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Results from Fantom Access Number 377 Loaded!</w:t>
      </w:r>
    </w:p>
    <w:p w:rsidR="007D2CD8" w:rsidRPr="007D2CD8" w:rsidRDefault="007D2CD8" w:rsidP="007D2CD8">
      <w:pPr>
        <w:pStyle w:val="HTMLPreformatted"/>
        <w:shd w:val="clear" w:color="auto" w:fill="FFFFFF"/>
        <w:wordWrap w:val="0"/>
        <w:spacing w:line="225" w:lineRule="atLeast"/>
        <w:rPr>
          <w:color w:val="000000"/>
        </w:rPr>
      </w:pPr>
      <w:r w:rsidRPr="007D2CD8">
        <w:rPr>
          <w:rStyle w:val="gem3dmtcpfb"/>
          <w:color w:val="C5060B"/>
        </w:rPr>
        <w:t>All results have been loaded into fantomResults</w:t>
      </w:r>
    </w:p>
    <w:p w:rsidR="007D2CD8" w:rsidRPr="007D2CD8" w:rsidRDefault="007D2CD8" w:rsidP="00FF51C8">
      <w:pPr>
        <w:spacing w:after="0"/>
        <w:rPr>
          <w:rFonts w:ascii="Courier New" w:hAnsi="Courier New" w:cs="Courier New"/>
          <w:color w:val="000000" w:themeColor="text1"/>
        </w:rPr>
      </w:pPr>
    </w:p>
    <w:p w:rsidR="009C7A3D" w:rsidRDefault="007D2CD8" w:rsidP="005A53C0">
      <w:pPr>
        <w:spacing w:after="0"/>
        <w:rPr>
          <w:color w:val="000000" w:themeColor="text1"/>
        </w:rPr>
      </w:pPr>
      <w:r>
        <w:rPr>
          <w:color w:val="000000" w:themeColor="text1"/>
        </w:rPr>
        <w:t>fantomResults is a large, subsettable list of dataframes containing genetic annotations, peak numbers, gene names, and HGNC, Uniprot, and Entrez Gene IDs for every sample, with one dataframe per sample. These results can be summarized in one dataframe, with normalized HGNC symbol gene names and raw expression counts for each gene, through the fantomSummarize command:</w:t>
      </w:r>
    </w:p>
    <w:p w:rsidR="007D2CD8" w:rsidRDefault="007D2CD8" w:rsidP="005A53C0">
      <w:pPr>
        <w:spacing w:after="0"/>
        <w:rPr>
          <w:color w:val="000000" w:themeColor="text1"/>
        </w:rPr>
      </w:pPr>
    </w:p>
    <w:p w:rsidR="007D2CD8" w:rsidRDefault="007D2CD8" w:rsidP="005A53C0">
      <w:pPr>
        <w:spacing w:after="0"/>
        <w:rPr>
          <w:rFonts w:ascii="Courier New" w:hAnsi="Courier New" w:cs="Courier New"/>
          <w:color w:val="000000" w:themeColor="text1"/>
        </w:rPr>
      </w:pPr>
      <w:r>
        <w:rPr>
          <w:rFonts w:ascii="Courier New" w:hAnsi="Courier New" w:cs="Courier New"/>
          <w:color w:val="000000" w:themeColor="text1"/>
        </w:rPr>
        <w:t>&gt; fantomSummarize(5)</w:t>
      </w:r>
    </w:p>
    <w:p w:rsidR="007D2CD8" w:rsidRDefault="007D2CD8" w:rsidP="005A53C0">
      <w:pPr>
        <w:spacing w:after="0"/>
        <w:rPr>
          <w:rFonts w:ascii="Courier New" w:hAnsi="Courier New" w:cs="Courier New"/>
          <w:color w:val="000000" w:themeColor="text1"/>
        </w:rPr>
      </w:pP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the Genes</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Summarizing:eye - muscle inferior rectus, donor1.CNhs13444.10272-104E2</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Summarizing:Fibroblast - Cardiac, donor1.CNhs12498.11268-116G8</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Filtering Relevant Results. This step takes awhile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Normalized Gene Names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All Genes Normalized!</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Fixing Duplicates ...</w:t>
      </w:r>
    </w:p>
    <w:p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Applying Threshold ...</w:t>
      </w:r>
    </w:p>
    <w:p w:rsid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Your results have been summarized in: fantomCounts!</w:t>
      </w:r>
    </w:p>
    <w:p w:rsidR="007D2CD8" w:rsidRDefault="007D2CD8" w:rsidP="007D2CD8">
      <w:pPr>
        <w:pStyle w:val="HTMLPreformatted"/>
        <w:shd w:val="clear" w:color="auto" w:fill="FFFFFF"/>
        <w:wordWrap w:val="0"/>
        <w:spacing w:line="225" w:lineRule="atLeast"/>
        <w:rPr>
          <w:rStyle w:val="gem3dmtcpfb"/>
          <w:color w:val="C5060B"/>
        </w:rPr>
      </w:pPr>
    </w:p>
    <w:p w:rsidR="007D2CD8" w:rsidRDefault="007D2CD8" w:rsidP="00581535">
      <w:pPr>
        <w:pStyle w:val="HTMLPreformatted"/>
        <w:shd w:val="clear" w:color="auto" w:fill="FFFFFF"/>
        <w:wordWrap w:val="0"/>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The bracketed number indicates the minimum threshold for read counts in each gene. Genes with read  counts less than the threshold number (here, 5) will not be </w:t>
      </w:r>
      <w:r w:rsidR="00581535">
        <w:rPr>
          <w:rFonts w:asciiTheme="minorHAnsi" w:hAnsiTheme="minorHAnsi"/>
          <w:color w:val="000000" w:themeColor="text1"/>
          <w:sz w:val="22"/>
          <w:szCs w:val="22"/>
        </w:rPr>
        <w:t>included in the summarized fantomCounts</w:t>
      </w:r>
    </w:p>
    <w:p w:rsidR="00581535" w:rsidRPr="007D2CD8" w:rsidRDefault="00581535" w:rsidP="00581535">
      <w:pPr>
        <w:pStyle w:val="HTMLPreformatted"/>
        <w:shd w:val="clear" w:color="auto" w:fill="FFFFFF"/>
        <w:wordWrap w:val="0"/>
        <w:spacing w:line="276" w:lineRule="auto"/>
        <w:rPr>
          <w:color w:val="000000" w:themeColor="text1"/>
        </w:rPr>
      </w:pPr>
      <w:r>
        <w:rPr>
          <w:rFonts w:asciiTheme="minorHAnsi" w:hAnsiTheme="minorHAnsi"/>
          <w:color w:val="000000" w:themeColor="text1"/>
          <w:sz w:val="22"/>
          <w:szCs w:val="22"/>
        </w:rPr>
        <w:t>file, which is now ready for downstream processing.</w:t>
      </w:r>
    </w:p>
    <w:p w:rsidR="007D2CD8" w:rsidRDefault="007D2CD8" w:rsidP="005A53C0">
      <w:pPr>
        <w:spacing w:after="0"/>
        <w:rPr>
          <w:color w:val="000000" w:themeColor="text1"/>
        </w:rPr>
      </w:pPr>
    </w:p>
    <w:p w:rsidR="009C7A3D" w:rsidRDefault="009C7A3D" w:rsidP="005A53C0">
      <w:pPr>
        <w:spacing w:after="0"/>
        <w:rPr>
          <w:b/>
          <w:bCs/>
          <w:color w:val="365F91" w:themeColor="accent1" w:themeShade="BF"/>
        </w:rPr>
      </w:pPr>
      <w:r>
        <w:rPr>
          <w:b/>
          <w:bCs/>
          <w:color w:val="365F91" w:themeColor="accent1" w:themeShade="BF"/>
        </w:rPr>
        <w:t>3.3     Background derivation from cell ontology</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3.4     Protein and transcription factor network analysis</w:t>
      </w:r>
    </w:p>
    <w:p w:rsidR="009C7A3D" w:rsidRDefault="009C7A3D" w:rsidP="005A53C0">
      <w:pPr>
        <w:spacing w:after="0"/>
        <w:rPr>
          <w:b/>
          <w:bCs/>
          <w:color w:val="365F91" w:themeColor="accent1" w:themeShade="BF"/>
        </w:rPr>
      </w:pPr>
    </w:p>
    <w:p w:rsidR="009C7A3D" w:rsidRDefault="009C7A3D" w:rsidP="005A53C0">
      <w:pPr>
        <w:spacing w:after="0"/>
        <w:rPr>
          <w:color w:val="365F91" w:themeColor="accent1" w:themeShade="BF"/>
        </w:rPr>
      </w:pPr>
      <w:r>
        <w:rPr>
          <w:color w:val="365F91" w:themeColor="accent1" w:themeShade="BF"/>
        </w:rPr>
        <w:t>3.4.1     STRING</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t>3.4.2     TRRUST</w:t>
      </w:r>
    </w:p>
    <w:p w:rsidR="009C7A3D" w:rsidRDefault="009C7A3D" w:rsidP="005A53C0">
      <w:pPr>
        <w:spacing w:after="0"/>
        <w:rPr>
          <w:color w:val="365F91" w:themeColor="accent1" w:themeShade="BF"/>
        </w:rPr>
      </w:pPr>
    </w:p>
    <w:p w:rsidR="009C7A3D" w:rsidRDefault="009C7A3D" w:rsidP="005A53C0">
      <w:pPr>
        <w:spacing w:after="0"/>
        <w:rPr>
          <w:color w:val="365F91" w:themeColor="accent1" w:themeShade="BF"/>
        </w:rPr>
      </w:pPr>
      <w:r>
        <w:rPr>
          <w:color w:val="365F91" w:themeColor="accent1" w:themeShade="BF"/>
        </w:rPr>
        <w:t>3.4.3     Regnet</w:t>
      </w:r>
    </w:p>
    <w:p w:rsidR="009C7A3D" w:rsidRDefault="009C7A3D" w:rsidP="005A53C0">
      <w:pPr>
        <w:spacing w:after="0"/>
        <w:rPr>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lastRenderedPageBreak/>
        <w:t>3.5     Differential gene expression analysis</w:t>
      </w:r>
    </w:p>
    <w:p w:rsidR="009C7A3D" w:rsidRDefault="009C7A3D" w:rsidP="005A53C0">
      <w:pPr>
        <w:spacing w:after="0"/>
        <w:rPr>
          <w:b/>
          <w:bCs/>
          <w:color w:val="365F91" w:themeColor="accent1" w:themeShade="BF"/>
        </w:rPr>
      </w:pPr>
    </w:p>
    <w:p w:rsidR="009C7A3D" w:rsidRDefault="009C7A3D" w:rsidP="005A53C0">
      <w:pPr>
        <w:spacing w:after="0"/>
        <w:rPr>
          <w:b/>
          <w:bCs/>
          <w:color w:val="365F91" w:themeColor="accent1" w:themeShade="BF"/>
        </w:rPr>
      </w:pPr>
      <w:r>
        <w:rPr>
          <w:b/>
          <w:bCs/>
          <w:color w:val="365F91" w:themeColor="accent1" w:themeShade="BF"/>
        </w:rPr>
        <w:t>3.6     Integration of network- and expression-based influence scores</w:t>
      </w:r>
    </w:p>
    <w:p w:rsidR="009C7A3D" w:rsidRDefault="009C7A3D" w:rsidP="005A53C0">
      <w:pPr>
        <w:spacing w:after="0"/>
        <w:rPr>
          <w:b/>
          <w:bCs/>
          <w:color w:val="365F91" w:themeColor="accent1" w:themeShade="BF"/>
        </w:rPr>
      </w:pPr>
    </w:p>
    <w:p w:rsidR="009C7A3D" w:rsidRPr="009C7A3D" w:rsidRDefault="009C7A3D" w:rsidP="005A53C0">
      <w:pPr>
        <w:spacing w:after="0"/>
        <w:rPr>
          <w:b/>
          <w:bCs/>
          <w:color w:val="365F91" w:themeColor="accent1" w:themeShade="BF"/>
        </w:rPr>
      </w:pPr>
      <w:r>
        <w:rPr>
          <w:b/>
          <w:bCs/>
          <w:color w:val="365F91" w:themeColor="accent1" w:themeShade="BF"/>
        </w:rPr>
        <w:t>3.7     Selection of transcription factors needed for conversion</w:t>
      </w:r>
    </w:p>
    <w:p w:rsidR="009C7A3D" w:rsidRDefault="009C7A3D" w:rsidP="005A53C0">
      <w:pPr>
        <w:spacing w:after="0"/>
        <w:rPr>
          <w:b/>
          <w:bCs/>
          <w:color w:val="365F91" w:themeColor="accent1" w:themeShade="BF"/>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4     Post-processing and analysis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7456" behindDoc="0" locked="0" layoutInCell="1" allowOverlap="1" wp14:anchorId="4345E32F" wp14:editId="6B294B0D">
                <wp:simplePos x="0" y="0"/>
                <wp:positionH relativeFrom="column">
                  <wp:posOffset>0</wp:posOffset>
                </wp:positionH>
                <wp:positionV relativeFrom="paragraph">
                  <wp:posOffset>-1905</wp:posOffset>
                </wp:positionV>
                <wp:extent cx="6038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C07Ssu3AQAAwwMAAA4AAAAAAAAAAAAAAAAALgIAAGRycy9lMm9E&#10;b2MueG1sUEsBAi0AFAAGAAgAAAAhANBhZMXcAAAABAEAAA8AAAAAAAAAAAAAAAAAEQQAAGRycy9k&#10;b3ducmV2LnhtbFBLBQYAAAAABAAEAPMAAAAaBQAAAAA=&#10;" strokecolor="#4579b8 [3044]"/>
            </w:pict>
          </mc:Fallback>
        </mc:AlternateContent>
      </w:r>
    </w:p>
    <w:p w:rsidR="009C7A3D" w:rsidRDefault="009C7A3D" w:rsidP="009C7A3D">
      <w:pPr>
        <w:spacing w:after="0"/>
        <w:rPr>
          <w:b/>
          <w:bCs/>
          <w:color w:val="365F91" w:themeColor="accent1" w:themeShade="BF"/>
        </w:rPr>
      </w:pPr>
      <w:r>
        <w:rPr>
          <w:b/>
          <w:bCs/>
          <w:color w:val="365F91" w:themeColor="accent1" w:themeShade="BF"/>
        </w:rPr>
        <w:t>4.1     Visualization</w:t>
      </w:r>
    </w:p>
    <w:p w:rsidR="009C7A3D" w:rsidRDefault="009C7A3D" w:rsidP="009C7A3D">
      <w:pPr>
        <w:spacing w:after="0"/>
        <w:rPr>
          <w:b/>
          <w:bCs/>
          <w:color w:val="365F91" w:themeColor="accent1" w:themeShade="BF"/>
        </w:rPr>
      </w:pPr>
    </w:p>
    <w:p w:rsidR="009C7A3D" w:rsidRDefault="009C7A3D" w:rsidP="009C7A3D">
      <w:pPr>
        <w:spacing w:after="0"/>
        <w:rPr>
          <w:b/>
          <w:bCs/>
          <w:color w:val="365F91" w:themeColor="accent1" w:themeShade="BF"/>
        </w:rPr>
      </w:pPr>
      <w:r>
        <w:rPr>
          <w:b/>
          <w:bCs/>
          <w:color w:val="365F91" w:themeColor="accent1" w:themeShade="BF"/>
        </w:rPr>
        <w:t>4.2     Literature-based confidence score</w:t>
      </w:r>
    </w:p>
    <w:p w:rsidR="009C7A3D" w:rsidRDefault="009C7A3D" w:rsidP="009C7A3D">
      <w:pPr>
        <w:spacing w:after="0"/>
        <w:rPr>
          <w:b/>
          <w:bCs/>
          <w:color w:val="365F91" w:themeColor="accent1" w:themeShade="BF"/>
        </w:rPr>
      </w:pPr>
    </w:p>
    <w:p w:rsidR="003C53A2" w:rsidRDefault="009C7A3D" w:rsidP="00BD63D5">
      <w:pPr>
        <w:spacing w:after="0"/>
        <w:rPr>
          <w:b/>
          <w:bCs/>
          <w:color w:val="365F91" w:themeColor="accent1" w:themeShade="BF"/>
        </w:rPr>
      </w:pPr>
      <w:r>
        <w:rPr>
          <w:b/>
          <w:bCs/>
          <w:color w:val="365F91" w:themeColor="accent1" w:themeShade="BF"/>
        </w:rPr>
        <w:t>4.3     Validation from published data</w:t>
      </w:r>
    </w:p>
    <w:p w:rsidR="00BD63D5" w:rsidRPr="00BD63D5" w:rsidRDefault="00BD63D5" w:rsidP="00BD63D5">
      <w:pPr>
        <w:spacing w:after="0"/>
        <w:rPr>
          <w:b/>
          <w:bCs/>
          <w:color w:val="365F91" w:themeColor="accent1" w:themeShade="BF"/>
        </w:rPr>
      </w:pPr>
    </w:p>
    <w:p w:rsidR="003C53A2" w:rsidRDefault="003C53A2" w:rsidP="003C53A2">
      <w:r>
        <w:t xml:space="preserve">The characteristic set of transcription factors predicted by Ontoscope can be compared to published sets of transcription factors for cell conversions. The </w:t>
      </w:r>
      <w:r w:rsidRPr="003C53A2">
        <w:rPr>
          <w:b/>
        </w:rPr>
        <w:t>OntoscopeValidate.R</w:t>
      </w:r>
      <w:r>
        <w:t xml:space="preserve"> script contains the functions to compare Ontoscope-predicted transcription factors with publ</w:t>
      </w:r>
      <w:r w:rsidR="00CE3F05">
        <w:t>ished transcription factors for a specific cell conversion</w:t>
      </w:r>
      <w:r>
        <w:t>.</w:t>
      </w:r>
    </w:p>
    <w:p w:rsidR="00CE3F05" w:rsidRDefault="00CE3F05" w:rsidP="00CE3F05">
      <w:r>
        <w:t xml:space="preserve">One of the inputs required to run the script is a </w:t>
      </w:r>
      <w:r w:rsidRPr="00CE3F05">
        <w:rPr>
          <w:b/>
        </w:rPr>
        <w:t>list</w:t>
      </w:r>
      <w:r>
        <w:t xml:space="preserve"> of characteristic transcription factors for a cell conversion. This can be obtained by subsetting the first column </w:t>
      </w:r>
      <w:r w:rsidR="0030796D">
        <w:t xml:space="preserve">in the </w:t>
      </w:r>
      <w:r>
        <w:t xml:space="preserve">dataframe produced by the </w:t>
      </w:r>
      <w:r w:rsidRPr="001F4448">
        <w:rPr>
          <w:rFonts w:ascii="Courier New" w:hAnsi="Courier New" w:cs="Courier New"/>
        </w:rPr>
        <w:t xml:space="preserve">pruneTFDataFrame </w:t>
      </w:r>
      <w:r>
        <w:t xml:space="preserve">function in the </w:t>
      </w:r>
      <w:r w:rsidRPr="0030796D">
        <w:rPr>
          <w:b/>
        </w:rPr>
        <w:t>OntoscopeRank.R</w:t>
      </w:r>
      <w:r>
        <w:t xml:space="preserve"> script</w:t>
      </w:r>
      <w:r w:rsidR="0030796D">
        <w:t xml:space="preserve"> (bolded below).</w:t>
      </w:r>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 xml:space="preserve">      </w:t>
      </w:r>
      <w:r w:rsidRPr="0030796D">
        <w:rPr>
          <w:rFonts w:ascii="Courier New" w:eastAsia="Times New Roman" w:hAnsi="Courier New" w:cs="Courier New"/>
          <w:color w:val="000000"/>
          <w:sz w:val="20"/>
          <w:szCs w:val="20"/>
          <w:lang w:val="en-US" w:eastAsia="en-US"/>
        </w:rPr>
        <w:t>gene</w:t>
      </w:r>
      <w:r w:rsidRPr="000252E6">
        <w:rPr>
          <w:rFonts w:ascii="Courier New" w:eastAsia="Times New Roman" w:hAnsi="Courier New" w:cs="Courier New"/>
          <w:color w:val="000000"/>
          <w:sz w:val="20"/>
          <w:szCs w:val="20"/>
          <w:lang w:val="en-US" w:eastAsia="en-US"/>
        </w:rPr>
        <w:t xml:space="preserve"> finalRank gsxRank tisSTRINGRank tisMARARank</w:t>
      </w:r>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 xml:space="preserve">1  </w:t>
      </w:r>
      <w:r w:rsidRPr="0030796D">
        <w:rPr>
          <w:rFonts w:ascii="Courier New" w:eastAsia="Times New Roman" w:hAnsi="Courier New" w:cs="Courier New"/>
          <w:b/>
          <w:color w:val="000000"/>
          <w:sz w:val="20"/>
          <w:szCs w:val="20"/>
          <w:lang w:val="en-US" w:eastAsia="en-US"/>
        </w:rPr>
        <w:t>gene 14</w:t>
      </w:r>
      <w:r w:rsidRPr="000252E6">
        <w:rPr>
          <w:rFonts w:ascii="Courier New" w:eastAsia="Times New Roman" w:hAnsi="Courier New" w:cs="Courier New"/>
          <w:color w:val="000000"/>
          <w:sz w:val="20"/>
          <w:szCs w:val="20"/>
          <w:lang w:val="en-US" w:eastAsia="en-US"/>
        </w:rPr>
        <w:t xml:space="preserve">         8       2             1           5</w:t>
      </w:r>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 xml:space="preserve">4   </w:t>
      </w:r>
      <w:r w:rsidRPr="0030796D">
        <w:rPr>
          <w:rFonts w:ascii="Courier New" w:eastAsia="Times New Roman" w:hAnsi="Courier New" w:cs="Courier New"/>
          <w:b/>
          <w:color w:val="000000"/>
          <w:sz w:val="20"/>
          <w:szCs w:val="20"/>
          <w:lang w:val="en-US" w:eastAsia="en-US"/>
        </w:rPr>
        <w:t>gene 4</w:t>
      </w:r>
      <w:r w:rsidRPr="000252E6">
        <w:rPr>
          <w:rFonts w:ascii="Courier New" w:eastAsia="Times New Roman" w:hAnsi="Courier New" w:cs="Courier New"/>
          <w:color w:val="000000"/>
          <w:sz w:val="20"/>
          <w:szCs w:val="20"/>
          <w:lang w:val="en-US" w:eastAsia="en-US"/>
        </w:rPr>
        <w:t xml:space="preserve">        11       1             5           5</w:t>
      </w:r>
    </w:p>
    <w:p w:rsidR="00CE3F05" w:rsidRPr="000252E6" w:rsidRDefault="00CE3F05" w:rsidP="00CE3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sz w:val="20"/>
          <w:szCs w:val="20"/>
          <w:lang w:val="en-US" w:eastAsia="en-US"/>
        </w:rPr>
      </w:pPr>
      <w:r w:rsidRPr="000252E6">
        <w:rPr>
          <w:rFonts w:ascii="Courier New" w:eastAsia="Times New Roman" w:hAnsi="Courier New" w:cs="Courier New"/>
          <w:color w:val="000000"/>
          <w:sz w:val="20"/>
          <w:szCs w:val="20"/>
          <w:lang w:val="en-US" w:eastAsia="en-US"/>
        </w:rPr>
        <w:t xml:space="preserve">10  </w:t>
      </w:r>
      <w:r w:rsidRPr="0030796D">
        <w:rPr>
          <w:rFonts w:ascii="Courier New" w:eastAsia="Times New Roman" w:hAnsi="Courier New" w:cs="Courier New"/>
          <w:b/>
          <w:color w:val="000000"/>
          <w:sz w:val="20"/>
          <w:szCs w:val="20"/>
          <w:lang w:val="en-US" w:eastAsia="en-US"/>
        </w:rPr>
        <w:t>gene 3</w:t>
      </w:r>
      <w:r w:rsidRPr="000252E6">
        <w:rPr>
          <w:rFonts w:ascii="Courier New" w:eastAsia="Times New Roman" w:hAnsi="Courier New" w:cs="Courier New"/>
          <w:color w:val="000000"/>
          <w:sz w:val="20"/>
          <w:szCs w:val="20"/>
          <w:lang w:val="en-US" w:eastAsia="en-US"/>
        </w:rPr>
        <w:t xml:space="preserve">        15       5             5           5</w:t>
      </w:r>
    </w:p>
    <w:p w:rsidR="00CE3F05" w:rsidRDefault="00CE3F05" w:rsidP="00CE3F05"/>
    <w:p w:rsidR="0030796D" w:rsidRDefault="0030796D" w:rsidP="003C53A2">
      <w:r>
        <w:t>Another important input</w:t>
      </w:r>
      <w:r w:rsidR="001F4448">
        <w:t xml:space="preserve"> for the script</w:t>
      </w:r>
      <w:r>
        <w:t xml:space="preserve"> is </w:t>
      </w:r>
      <w:r w:rsidR="00BD63D5">
        <w:t xml:space="preserve">cell conversion transcription factor lists obtained from </w:t>
      </w:r>
      <w:r>
        <w:t>published dataset</w:t>
      </w:r>
      <w:r w:rsidR="00BD63D5">
        <w:t>s</w:t>
      </w:r>
      <w:r w:rsidR="001F4448">
        <w:t>. These are the lists used</w:t>
      </w:r>
      <w:r w:rsidR="00BD63D5">
        <w:t xml:space="preserve"> for validation of Ontoscope predictions</w:t>
      </w:r>
      <w:r>
        <w:t xml:space="preserve">. As part of </w:t>
      </w:r>
      <w:r w:rsidR="001F4448">
        <w:t xml:space="preserve">initial build of </w:t>
      </w:r>
      <w:r>
        <w:t xml:space="preserve">Ontoscope, published cell conversion transcription factor </w:t>
      </w:r>
      <w:r w:rsidR="00BD63D5">
        <w:t>dataframes</w:t>
      </w:r>
      <w:r>
        <w:t xml:space="preserve"> </w:t>
      </w:r>
      <w:r w:rsidR="001F4448">
        <w:t>have been produced</w:t>
      </w:r>
      <w:r>
        <w:t xml:space="preserve"> from the following sources:</w:t>
      </w:r>
    </w:p>
    <w:p w:rsidR="00BD63D5" w:rsidRDefault="00BD63D5" w:rsidP="00BD63D5">
      <w:pPr>
        <w:pStyle w:val="ListParagraph"/>
        <w:numPr>
          <w:ilvl w:val="0"/>
          <w:numId w:val="4"/>
        </w:numPr>
      </w:pPr>
      <w:r>
        <w:t xml:space="preserve">Published conversion transcription factors, referenced by Rackham </w:t>
      </w:r>
      <w:r w:rsidRPr="00BD63D5">
        <w:rPr>
          <w:i/>
        </w:rPr>
        <w:t>et al.</w:t>
      </w:r>
      <w:r>
        <w:t xml:space="preserve"> [1]</w:t>
      </w:r>
    </w:p>
    <w:p w:rsidR="0030796D" w:rsidRDefault="0030796D" w:rsidP="0030796D">
      <w:pPr>
        <w:pStyle w:val="ListParagraph"/>
        <w:numPr>
          <w:ilvl w:val="0"/>
          <w:numId w:val="4"/>
        </w:numPr>
      </w:pPr>
      <w:r>
        <w:t xml:space="preserve">Cell conversion transcription factors predicted by D’Allessio </w:t>
      </w:r>
      <w:r w:rsidRPr="00BD63D5">
        <w:rPr>
          <w:i/>
        </w:rPr>
        <w:t>et al.</w:t>
      </w:r>
      <w:r>
        <w:t xml:space="preserve"> [6]</w:t>
      </w:r>
    </w:p>
    <w:p w:rsidR="00BD63D5" w:rsidRDefault="00BD63D5" w:rsidP="00BD63D5">
      <w:pPr>
        <w:pStyle w:val="ListParagraph"/>
        <w:numPr>
          <w:ilvl w:val="0"/>
          <w:numId w:val="4"/>
        </w:numPr>
      </w:pPr>
      <w:r>
        <w:t xml:space="preserve">Cell conversion transcription factors predicted by Mogrify (Rackham </w:t>
      </w:r>
      <w:r w:rsidRPr="00BD63D5">
        <w:rPr>
          <w:i/>
        </w:rPr>
        <w:t>et al.</w:t>
      </w:r>
      <w:r>
        <w:t>) [1]</w:t>
      </w:r>
    </w:p>
    <w:p w:rsidR="00BD63D5" w:rsidRDefault="00BD63D5" w:rsidP="0030796D">
      <w:pPr>
        <w:pStyle w:val="ListParagraph"/>
        <w:numPr>
          <w:ilvl w:val="0"/>
          <w:numId w:val="4"/>
        </w:numPr>
      </w:pPr>
      <w:r>
        <w:t xml:space="preserve">Cell conversion transcription factors predicted by Mogrify (Rackham </w:t>
      </w:r>
      <w:r w:rsidRPr="00BD63D5">
        <w:rPr>
          <w:i/>
        </w:rPr>
        <w:t>et al.</w:t>
      </w:r>
      <w:r>
        <w:t>) [1] using only MARA network influence scores</w:t>
      </w:r>
    </w:p>
    <w:p w:rsidR="00BD63D5" w:rsidRDefault="00BD63D5" w:rsidP="0030796D">
      <w:pPr>
        <w:pStyle w:val="ListParagraph"/>
        <w:numPr>
          <w:ilvl w:val="0"/>
          <w:numId w:val="4"/>
        </w:numPr>
      </w:pPr>
      <w:r>
        <w:t xml:space="preserve">Cell conversion transcription factors predicted by Mogrify (Rackham </w:t>
      </w:r>
      <w:r w:rsidRPr="00BD63D5">
        <w:rPr>
          <w:i/>
        </w:rPr>
        <w:t>et al.</w:t>
      </w:r>
      <w:r>
        <w:t>) [1] using only STRING network influence scores</w:t>
      </w:r>
    </w:p>
    <w:p w:rsidR="00BD63D5" w:rsidRDefault="001F4448" w:rsidP="00BD63D5">
      <w:r>
        <w:lastRenderedPageBreak/>
        <w:t>These five dataframes have</w:t>
      </w:r>
      <w:r w:rsidR="00BD63D5">
        <w:t xml:space="preserve"> the following general format</w:t>
      </w:r>
      <w:r w:rsidR="00A71929">
        <w:t xml:space="preserve">, with the </w:t>
      </w:r>
      <w:r w:rsidR="00A71929" w:rsidRPr="00A71929">
        <w:rPr>
          <w:rFonts w:ascii="Courier New" w:hAnsi="Courier New" w:cs="Courier New"/>
        </w:rPr>
        <w:t>CellFrom</w:t>
      </w:r>
      <w:r w:rsidR="00A71929">
        <w:t xml:space="preserve"> and </w:t>
      </w:r>
      <w:r w:rsidR="00A71929" w:rsidRPr="00A71929">
        <w:rPr>
          <w:rFonts w:ascii="Courier New" w:hAnsi="Courier New" w:cs="Courier New"/>
        </w:rPr>
        <w:t>CellTo</w:t>
      </w:r>
      <w:r w:rsidR="00A71929">
        <w:t xml:space="preserve"> columns identifying the cell conversion, and the </w:t>
      </w:r>
      <w:r w:rsidR="00A71929" w:rsidRPr="00A71929">
        <w:rPr>
          <w:rFonts w:ascii="Courier New" w:hAnsi="Courier New" w:cs="Courier New"/>
        </w:rPr>
        <w:t>TFList</w:t>
      </w:r>
      <w:r w:rsidR="00A71929">
        <w:t xml:space="preserve"> column containing the transcription factors for the conversion.</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 xml:space="preserve">              CellFrom                               CellTo TFList</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1                Bcell                           Macrophage  CEBPA</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2                Bcell                           Macrophage   SPI1</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3           Fibroblast                           Macrophage  CEBPA</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4           Fibroblast                           Macrophage   SPI1</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5           Fibroblast                             Myoblast  MYOD1</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6           Fibroblast                                  IPS   SOX2</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7           Fibroblast                                  IPS   OCT4</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8           Fibroblast                                  IPS   KLF4</w:t>
      </w:r>
    </w:p>
    <w:p w:rsidR="00BD63D5" w:rsidRPr="00BD63D5" w:rsidRDefault="00BD63D5" w:rsidP="00BD63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New" w:eastAsia="Times New Roman" w:hAnsi="Courier New" w:cs="Courier New"/>
          <w:color w:val="000000"/>
          <w:lang w:val="en-US" w:eastAsia="en-US"/>
        </w:rPr>
      </w:pPr>
      <w:r w:rsidRPr="00BD63D5">
        <w:rPr>
          <w:rFonts w:ascii="Courier New" w:eastAsia="Times New Roman" w:hAnsi="Courier New" w:cs="Courier New"/>
          <w:color w:val="000000"/>
          <w:lang w:val="en-US" w:eastAsia="en-US"/>
        </w:rPr>
        <w:t>9           Fibroblast                                  IPS   CMYC</w:t>
      </w:r>
    </w:p>
    <w:p w:rsidR="00BD63D5" w:rsidRDefault="00BD63D5" w:rsidP="00BD63D5"/>
    <w:p w:rsidR="00BD63D5" w:rsidRDefault="00A71929" w:rsidP="00A71929">
      <w:r>
        <w:t xml:space="preserve">The </w:t>
      </w:r>
      <w:r w:rsidRPr="00A71929">
        <w:rPr>
          <w:rFonts w:ascii="Courier New" w:hAnsi="Courier New" w:cs="Courier New"/>
        </w:rPr>
        <w:t>getTFList</w:t>
      </w:r>
      <w:r>
        <w:t xml:space="preserve"> function is used to retrieve th</w:t>
      </w:r>
      <w:r w:rsidR="001F4448">
        <w:t>e transcription factor</w:t>
      </w:r>
      <w:r>
        <w:t xml:space="preserve"> list for a specific cell conversion based on</w:t>
      </w:r>
      <w:r w:rsidR="001F4448">
        <w:t xml:space="preserve"> the </w:t>
      </w:r>
      <w:r>
        <w:t xml:space="preserve">. For example, to get the </w:t>
      </w:r>
      <w:r w:rsidR="001F4448">
        <w:t>transcription factor  list for the cell conversion from “Bcell” to “Macrophage” in the example dataframe above, we must enter the following command:</w:t>
      </w:r>
    </w:p>
    <w:p w:rsidR="00A71929" w:rsidRPr="001F4448" w:rsidRDefault="001F4448" w:rsidP="00A71929">
      <w:pPr>
        <w:rPr>
          <w:rFonts w:ascii="Courier New" w:hAnsi="Courier New" w:cs="Courier New"/>
        </w:rPr>
      </w:pPr>
      <w:r w:rsidRPr="001F4448">
        <w:rPr>
          <w:rFonts w:ascii="Courier New" w:hAnsi="Courier New" w:cs="Courier New"/>
        </w:rPr>
        <w:t>myList &lt;- getTFList(dataSet, "Bcell", "Macrophage")</w:t>
      </w:r>
    </w:p>
    <w:p w:rsidR="001F4448" w:rsidRDefault="001F4448" w:rsidP="003C53A2">
      <w:r>
        <w:t>Once transcription factor lists are generated, they can be compared with Ontoscope-predicted lists using three different functions</w:t>
      </w:r>
      <w:r w:rsidR="00E04824">
        <w:t xml:space="preserve"> in the </w:t>
      </w:r>
      <w:r w:rsidR="00E04824" w:rsidRPr="00E04824">
        <w:rPr>
          <w:b/>
        </w:rPr>
        <w:t>OntoscopeRank.R</w:t>
      </w:r>
      <w:r w:rsidR="00E04824">
        <w:t xml:space="preserve"> script:</w:t>
      </w:r>
      <w:r w:rsidR="00E04824" w:rsidRPr="00E04824">
        <w:rPr>
          <w:rFonts w:ascii="Courier New" w:hAnsi="Courier New" w:cs="Courier New"/>
        </w:rPr>
        <w:t xml:space="preserve"> </w:t>
      </w:r>
      <w:r w:rsidR="00E04824" w:rsidRPr="00CC04FE">
        <w:rPr>
          <w:rFonts w:ascii="Courier New" w:hAnsi="Courier New" w:cs="Courier New"/>
        </w:rPr>
        <w:t>fractionRecovery</w:t>
      </w:r>
      <w:r w:rsidR="00E04824">
        <w:t xml:space="preserve">, </w:t>
      </w:r>
      <w:r w:rsidR="00E04824" w:rsidRPr="002019C7">
        <w:rPr>
          <w:rFonts w:ascii="Courier New" w:hAnsi="Courier New" w:cs="Courier New"/>
        </w:rPr>
        <w:t>averageTFRank</w:t>
      </w:r>
      <w:r w:rsidR="00E04824">
        <w:t xml:space="preserve"> and </w:t>
      </w:r>
      <w:r w:rsidR="00E04824" w:rsidRPr="0005070A">
        <w:rPr>
          <w:rFonts w:ascii="Courier New" w:hAnsi="Courier New" w:cs="Courier New"/>
        </w:rPr>
        <w:t>averageOverlap</w:t>
      </w:r>
      <w:r>
        <w:t>.</w:t>
      </w:r>
    </w:p>
    <w:p w:rsidR="00CC04FE" w:rsidRDefault="001F4448" w:rsidP="003C53A2">
      <w:r>
        <w:t xml:space="preserve">The </w:t>
      </w:r>
      <w:r w:rsidRPr="00CC04FE">
        <w:rPr>
          <w:rFonts w:ascii="Courier New" w:hAnsi="Courier New" w:cs="Courier New"/>
        </w:rPr>
        <w:t>fractionRecovery</w:t>
      </w:r>
      <w:r>
        <w:t xml:space="preserve"> function calculated the fraction of of transcription factors in a list that are matched, or recovered, in another “reference” list. </w:t>
      </w:r>
      <w:r w:rsidR="00CC04FE">
        <w:t>For example, t</w:t>
      </w:r>
      <w:r w:rsidR="00CC04FE" w:rsidRPr="00CC04FE">
        <w:t>he publishe</w:t>
      </w:r>
      <w:r w:rsidR="00CC04FE">
        <w:t>d transcription factors for a B</w:t>
      </w:r>
      <w:r w:rsidR="00CC04FE" w:rsidRPr="00CC04FE">
        <w:t>cell-to-macrophage conversion are SPI1, CEBPA (Xie et al, 2004). The Mogrify predicted TFs are MITF, SPI1, CEBPA, MAFB, DBP, ETS2, SNAI3, HMGA1. The fractional recovery of the published TFs by Mogrify for this conversion is 1, or 100%.</w:t>
      </w:r>
    </w:p>
    <w:p w:rsidR="001F4448" w:rsidRDefault="001F4448" w:rsidP="003C53A2">
      <w:r>
        <w:t>The function is called as follows:</w:t>
      </w:r>
    </w:p>
    <w:p w:rsidR="001F4448" w:rsidRPr="00CC04FE" w:rsidRDefault="00CC04FE" w:rsidP="003C53A2">
      <w:pPr>
        <w:rPr>
          <w:rFonts w:ascii="Courier New" w:hAnsi="Courier New" w:cs="Courier New"/>
        </w:rPr>
      </w:pPr>
      <w:r w:rsidRPr="00CC04FE">
        <w:rPr>
          <w:rFonts w:ascii="Courier New" w:hAnsi="Courier New" w:cs="Courier New"/>
        </w:rPr>
        <w:t xml:space="preserve">fracRec &lt;- </w:t>
      </w:r>
      <w:r w:rsidR="001F4448" w:rsidRPr="00CC04FE">
        <w:rPr>
          <w:rFonts w:ascii="Courier New" w:hAnsi="Courier New" w:cs="Courier New"/>
        </w:rPr>
        <w:t>fractionRecovery(myList, refList)</w:t>
      </w:r>
    </w:p>
    <w:p w:rsidR="003C53A2" w:rsidRDefault="001F4448" w:rsidP="003C53A2">
      <w:r>
        <w:t xml:space="preserve">The output is </w:t>
      </w:r>
      <w:r w:rsidR="00CC04FE">
        <w:t>a number between 0 and 1. An output of 0 means no identity between the two lists</w:t>
      </w:r>
      <w:r>
        <w:t xml:space="preserve"> </w:t>
      </w:r>
      <w:r w:rsidR="00CC04FE">
        <w:t xml:space="preserve">and an output of 1 means that all the items present in </w:t>
      </w:r>
      <w:r w:rsidR="00CC04FE" w:rsidRPr="00CC04FE">
        <w:rPr>
          <w:rFonts w:ascii="Courier New" w:hAnsi="Courier New" w:cs="Courier New"/>
        </w:rPr>
        <w:t>myList</w:t>
      </w:r>
      <w:r w:rsidR="00CC04FE">
        <w:t xml:space="preserve"> are present in </w:t>
      </w:r>
      <w:r w:rsidR="00CC04FE" w:rsidRPr="00CC04FE">
        <w:rPr>
          <w:rFonts w:ascii="Courier New" w:hAnsi="Courier New" w:cs="Courier New"/>
        </w:rPr>
        <w:t>refList</w:t>
      </w:r>
      <w:r w:rsidR="00CC04FE">
        <w:t>.</w:t>
      </w:r>
    </w:p>
    <w:p w:rsidR="00CC04FE" w:rsidRDefault="00CC04FE" w:rsidP="003C53A2">
      <w:r>
        <w:t xml:space="preserve">The </w:t>
      </w:r>
      <w:r w:rsidRPr="002019C7">
        <w:rPr>
          <w:rFonts w:ascii="Courier New" w:hAnsi="Courier New" w:cs="Courier New"/>
        </w:rPr>
        <w:t>averageTFRank</w:t>
      </w:r>
      <w:r>
        <w:t xml:space="preserve"> function calculates the average rank of transcription factors in a “reference” list that have been matched in another list. For example, t</w:t>
      </w:r>
      <w:r w:rsidRPr="00CC04FE">
        <w:t>he published transcription factors for a B cell-to-macrophage conversion are SPI1, CEBPA (Xie et al, 2004). The Mogrify predicted TFs are MITF, SPI1, CEBPA, MAFB, DBP, ETS2, SNAI3, HMGA1. The average rank of recovered TFs is (2 + 3) / 2 = 2.5.</w:t>
      </w:r>
      <w:r>
        <w:t>The function is called as follows:</w:t>
      </w:r>
    </w:p>
    <w:p w:rsidR="00CC04FE" w:rsidRPr="00CC04FE" w:rsidRDefault="00CC04FE" w:rsidP="003C53A2">
      <w:pPr>
        <w:rPr>
          <w:rFonts w:ascii="Courier New" w:hAnsi="Courier New" w:cs="Courier New"/>
        </w:rPr>
      </w:pPr>
      <w:r w:rsidRPr="00CC04FE">
        <w:rPr>
          <w:rFonts w:ascii="Courier New" w:hAnsi="Courier New" w:cs="Courier New"/>
        </w:rPr>
        <w:t>avRank &lt;- averageTFRank(myList, refList)</w:t>
      </w:r>
    </w:p>
    <w:p w:rsidR="00CC04FE" w:rsidRDefault="00CC04FE" w:rsidP="003C53A2">
      <w:r>
        <w:lastRenderedPageBreak/>
        <w:t>The output is a number</w:t>
      </w:r>
      <w:r w:rsidR="002019C7">
        <w:t xml:space="preserve"> between 0 and the number of transcription factors in the reference list</w:t>
      </w:r>
      <w:r>
        <w:t xml:space="preserve">. If there is no overlap between </w:t>
      </w:r>
      <w:r w:rsidR="002019C7" w:rsidRPr="00CC04FE">
        <w:rPr>
          <w:rFonts w:ascii="Courier New" w:hAnsi="Courier New" w:cs="Courier New"/>
        </w:rPr>
        <w:t>myList</w:t>
      </w:r>
      <w:r w:rsidR="002019C7">
        <w:t xml:space="preserve"> </w:t>
      </w:r>
      <w:r>
        <w:t xml:space="preserve">and the </w:t>
      </w:r>
      <w:r w:rsidR="002019C7" w:rsidRPr="00CC04FE">
        <w:rPr>
          <w:rFonts w:ascii="Courier New" w:hAnsi="Courier New" w:cs="Courier New"/>
        </w:rPr>
        <w:t>refList</w:t>
      </w:r>
      <w:r w:rsidR="002019C7">
        <w:t>, the output is 0.</w:t>
      </w:r>
    </w:p>
    <w:p w:rsidR="002019C7" w:rsidRDefault="002019C7" w:rsidP="003C53A2">
      <w:r>
        <w:t xml:space="preserve">The </w:t>
      </w:r>
      <w:r w:rsidRPr="0005070A">
        <w:rPr>
          <w:rFonts w:ascii="Courier New" w:hAnsi="Courier New" w:cs="Courier New"/>
        </w:rPr>
        <w:t>averageOverlap</w:t>
      </w:r>
      <w:r>
        <w:t xml:space="preserve"> function calculates a similarity score between two transcription factor lists, based on the “average overlap” method, outlined by Webber </w:t>
      </w:r>
      <w:r w:rsidRPr="002019C7">
        <w:rPr>
          <w:i/>
        </w:rPr>
        <w:t>et al</w:t>
      </w:r>
      <w:r>
        <w:rPr>
          <w:i/>
        </w:rPr>
        <w:t xml:space="preserve"> </w:t>
      </w:r>
      <w:r>
        <w:t>[7]</w:t>
      </w:r>
      <w:r w:rsidRPr="002019C7">
        <w:rPr>
          <w:i/>
        </w:rPr>
        <w:t>.</w:t>
      </w:r>
      <w:r>
        <w:rPr>
          <w:i/>
        </w:rPr>
        <w:t xml:space="preserve"> </w:t>
      </w:r>
      <w:r w:rsidR="00E04824">
        <w:t>An example of t</w:t>
      </w:r>
      <w:r>
        <w:t>he average overlap method is illustrated in the figure below</w:t>
      </w:r>
      <w:r w:rsidR="00E04824">
        <w:t xml:space="preserve"> for two lists S (</w:t>
      </w:r>
      <w:r w:rsidR="00E04824" w:rsidRPr="0005070A">
        <w:rPr>
          <w:rFonts w:ascii="Courier New" w:hAnsi="Courier New" w:cs="Courier New"/>
        </w:rPr>
        <w:t>&lt;abcdefg&gt;</w:t>
      </w:r>
      <w:r w:rsidR="00E04824">
        <w:t>) and T (</w:t>
      </w:r>
      <w:r w:rsidR="00E04824" w:rsidRPr="0005070A">
        <w:rPr>
          <w:rFonts w:ascii="Courier New" w:hAnsi="Courier New" w:cs="Courier New"/>
        </w:rPr>
        <w:t>&lt;zcavwxy&gt;</w:t>
      </w:r>
      <w:r w:rsidR="00E04824">
        <w:t>)</w:t>
      </w:r>
      <w:r>
        <w:t>. The fractional overlap between</w:t>
      </w:r>
      <w:r w:rsidR="00E04824">
        <w:t xml:space="preserve"> the</w:t>
      </w:r>
      <w:r>
        <w:t xml:space="preserve"> lists </w:t>
      </w:r>
      <w:r w:rsidR="00E04824">
        <w:t>is</w:t>
      </w:r>
      <w:r>
        <w:t xml:space="preserve"> calculated </w:t>
      </w:r>
      <w:r w:rsidR="0005070A">
        <w:t>at</w:t>
      </w:r>
      <w:r>
        <w:t xml:space="preserve"> increasing depth</w:t>
      </w:r>
      <w:r w:rsidR="0005070A">
        <w:t>,</w:t>
      </w:r>
      <w:r w:rsidR="00E04824">
        <w:t xml:space="preserve"> d. F</w:t>
      </w:r>
      <w:r w:rsidR="0005070A">
        <w:t xml:space="preserve">ractional </w:t>
      </w:r>
      <w:r>
        <w:t>overlap</w:t>
      </w:r>
      <w:r w:rsidR="0005070A">
        <w:t>s</w:t>
      </w:r>
      <w:r>
        <w:t xml:space="preserve"> </w:t>
      </w:r>
      <w:r w:rsidR="0005070A">
        <w:t>are averaged from depth 1 to d. This average overlap gives</w:t>
      </w:r>
      <w:r>
        <w:t xml:space="preserve"> a score measuring the similarity of the two lists.</w:t>
      </w:r>
    </w:p>
    <w:p w:rsidR="002019C7" w:rsidRDefault="002019C7" w:rsidP="003C53A2">
      <w:r>
        <w:t xml:space="preserve">Note that </w:t>
      </w:r>
      <w:r w:rsidR="0005070A">
        <w:t>the order of the lists, not only their similarity of elements affects the average overlap score. H</w:t>
      </w:r>
      <w:r>
        <w:t xml:space="preserve">igher ranked items in the lists are included repeatedly in the </w:t>
      </w:r>
      <w:r w:rsidR="0005070A">
        <w:t>calculation</w:t>
      </w:r>
      <w:r>
        <w:t xml:space="preserve">. This means that similarity between higher ranked transcription factors is given more importance </w:t>
      </w:r>
      <w:r w:rsidR="0005070A">
        <w:t>in the similarity score. In other words, t</w:t>
      </w:r>
      <w:r>
        <w:t xml:space="preserve">he similarity score is considered “top-weighted”. </w:t>
      </w:r>
    </w:p>
    <w:p w:rsidR="002019C7" w:rsidRDefault="002019C7" w:rsidP="003C53A2">
      <w:r>
        <w:rPr>
          <w:noProof/>
          <w:lang w:val="en-US" w:eastAsia="en-US"/>
        </w:rPr>
        <w:drawing>
          <wp:inline distT="0" distB="0" distL="0" distR="0">
            <wp:extent cx="5943600" cy="2162658"/>
            <wp:effectExtent l="0" t="0" r="0" b="9525"/>
            <wp:docPr id="2" name="Picture 2" descr="Illustration of &quot;Average Overlap&quot; technique Webber et al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quot;Average Overlap&quot; technique Webber et al (2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2658"/>
                    </a:xfrm>
                    <a:prstGeom prst="rect">
                      <a:avLst/>
                    </a:prstGeom>
                    <a:noFill/>
                    <a:ln>
                      <a:noFill/>
                    </a:ln>
                  </pic:spPr>
                </pic:pic>
              </a:graphicData>
            </a:graphic>
          </wp:inline>
        </w:drawing>
      </w:r>
      <w:r>
        <w:t xml:space="preserve"> </w:t>
      </w:r>
    </w:p>
    <w:p w:rsidR="0005070A" w:rsidRPr="0005070A" w:rsidRDefault="0005070A" w:rsidP="0005070A">
      <w:r>
        <w:t xml:space="preserve">The </w:t>
      </w:r>
      <w:r w:rsidRPr="0005070A">
        <w:rPr>
          <w:rFonts w:ascii="Courier New" w:hAnsi="Courier New" w:cs="Courier New"/>
        </w:rPr>
        <w:t>averageOverlap</w:t>
      </w:r>
      <w:r>
        <w:t xml:space="preserve"> function is called as shown below. The </w:t>
      </w:r>
      <w:r w:rsidRPr="0005070A">
        <w:rPr>
          <w:rFonts w:ascii="Courier New" w:hAnsi="Courier New" w:cs="Courier New"/>
        </w:rPr>
        <w:t>myList</w:t>
      </w:r>
      <w:r>
        <w:t xml:space="preserve"> and </w:t>
      </w:r>
      <w:r w:rsidRPr="0005070A">
        <w:rPr>
          <w:rFonts w:ascii="Courier New" w:hAnsi="Courier New" w:cs="Courier New"/>
        </w:rPr>
        <w:t>refList</w:t>
      </w:r>
      <w:r>
        <w:t xml:space="preserve"> arguments have to be of the same length. If necessary, the longer list must be truncated to match the length of the other list.</w:t>
      </w:r>
    </w:p>
    <w:p w:rsidR="002019C7" w:rsidRDefault="0005070A" w:rsidP="009C7A3D">
      <w:pPr>
        <w:spacing w:after="0"/>
        <w:rPr>
          <w:rFonts w:ascii="Courier New" w:hAnsi="Courier New" w:cs="Courier New"/>
        </w:rPr>
      </w:pPr>
      <w:r>
        <w:rPr>
          <w:rFonts w:ascii="Courier New" w:hAnsi="Courier New" w:cs="Courier New"/>
        </w:rPr>
        <w:t>avOverlap</w:t>
      </w:r>
      <w:r w:rsidRPr="00CC04FE">
        <w:rPr>
          <w:rFonts w:ascii="Courier New" w:hAnsi="Courier New" w:cs="Courier New"/>
        </w:rPr>
        <w:t xml:space="preserve"> &lt;- average</w:t>
      </w:r>
      <w:r>
        <w:rPr>
          <w:rFonts w:ascii="Courier New" w:hAnsi="Courier New" w:cs="Courier New"/>
        </w:rPr>
        <w:t>Overlap</w:t>
      </w:r>
      <w:r w:rsidRPr="00CC04FE">
        <w:rPr>
          <w:rFonts w:ascii="Courier New" w:hAnsi="Courier New" w:cs="Courier New"/>
        </w:rPr>
        <w:t>(myList, refList)</w:t>
      </w:r>
    </w:p>
    <w:p w:rsidR="0005070A" w:rsidRDefault="0005070A" w:rsidP="009C7A3D">
      <w:pPr>
        <w:spacing w:after="0"/>
        <w:rPr>
          <w:rFonts w:ascii="Courier New" w:hAnsi="Courier New" w:cs="Courier New"/>
        </w:rPr>
      </w:pPr>
    </w:p>
    <w:p w:rsidR="0005070A" w:rsidRDefault="0005070A" w:rsidP="0005070A">
      <w:r>
        <w:t>The output of the function is a number between 0 and 1, for completely non-identical and identical lists respectively.</w:t>
      </w: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5     Acknowledgments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9504" behindDoc="0" locked="0" layoutInCell="1" allowOverlap="1" wp14:anchorId="4E039518" wp14:editId="7A7BAB15">
                <wp:simplePos x="0" y="0"/>
                <wp:positionH relativeFrom="column">
                  <wp:posOffset>0</wp:posOffset>
                </wp:positionH>
                <wp:positionV relativeFrom="paragraph">
                  <wp:posOffset>3810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7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kJuAEAAMMDAAAOAAAAZHJzL2Uyb0RvYy54bWysU8GOEzEMvSPxD1HudKaL2K1G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" strokecolor="#4579b8 [3044]"/>
            </w:pict>
          </mc:Fallback>
        </mc:AlternateContent>
      </w:r>
    </w:p>
    <w:p w:rsidR="009C7A3D" w:rsidRPr="009C7A3D" w:rsidRDefault="009C7A3D" w:rsidP="00522C24">
      <w:pPr>
        <w:spacing w:after="0"/>
        <w:rPr>
          <w:color w:val="000000" w:themeColor="text1"/>
        </w:rPr>
      </w:pPr>
      <w:r>
        <w:rPr>
          <w:color w:val="000000" w:themeColor="text1"/>
        </w:rPr>
        <w:t xml:space="preserve">This package was developed as part of the BCB420/JTB2020 bioinformatics class as part of the Department of Biochemistry at the University of Toronto, Canada, with the support of Dr. Boris Steipe. We wish to acknowledge all co-authors of </w:t>
      </w:r>
      <w:r>
        <w:rPr>
          <w:i/>
          <w:iCs/>
          <w:color w:val="000000" w:themeColor="text1"/>
        </w:rPr>
        <w:t xml:space="preserve">Ontoscope </w:t>
      </w:r>
      <w:r>
        <w:rPr>
          <w:color w:val="000000" w:themeColor="text1"/>
        </w:rPr>
        <w:t>package modules</w:t>
      </w:r>
      <w:r w:rsidR="00522C24">
        <w:rPr>
          <w:color w:val="000000" w:themeColor="text1"/>
        </w:rPr>
        <w:t>, who have equally contributed to the development of this project: Julian Mazzitelli, Dmitry Horodetsky, Christopher Li, Kartikay Chadha, Fupan Yao, Shivani Kamdar, Dan Litovitz, Howard Wu, Anam Qudrat, Jialun Tom Chen, Ryoga Li, Eugenia Barkova, Burton Mendonca, Phil Fradkin, and Boris Steipe.</w:t>
      </w:r>
    </w:p>
    <w:p w:rsidR="009C7A3D" w:rsidRPr="009C7A3D" w:rsidRDefault="009C7A3D" w:rsidP="009C7A3D">
      <w:pPr>
        <w:spacing w:after="0"/>
        <w:rPr>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6     Session Info</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1552"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N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695EEF5XlEj5mU&#10;3Y9ZbDEEFhBJrIpOx5g6Dt+GHV28FHdUSE+GfPkyHTFVbU+ztjBlofnytn2/Wn3gEejrW/MMjJTy&#10;R0AvyqGXzoZCW3Xq8CllLsah1xB2SiPn0vWUTw5KsAtfwTAVLras6LpEsHUkDorHr7SGkJeFCuer&#10;0QVmrHMzsP078BJfoFAX7F/AM6JWxpBnsLcB6U/V83Rt2ZzjrwqceRcJnnA41aFUaXhTKsPLVpdV&#10;/NWv8Od/b/MT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KO9vI23AQAAwwMAAA4AAAAAAAAAAAAAAAAALgIAAGRycy9lMm9E&#10;b2MueG1sUEsBAi0AFAAGAAgAAAAhANBhZMXcAAAABAEAAA8AAAAAAAAAAAAAAAAAEQQAAGRycy9k&#10;b3ducmV2LnhtbFBLBQYAAAAABAAEAPMAAAAaBQAAAAA=&#10;" strokecolor="#4579b8 [3044]"/>
            </w:pict>
          </mc:Fallback>
        </mc:AlternateContent>
      </w:r>
    </w:p>
    <w:p w:rsidR="009C7A3D" w:rsidRDefault="00522C24" w:rsidP="009C7A3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&gt; sessionInfo(package=NULL)</w:t>
      </w:r>
    </w:p>
    <w:p w:rsidR="00522C24" w:rsidRDefault="00522C24" w:rsidP="009C7A3D">
      <w:pPr>
        <w:spacing w:after="0"/>
        <w:rPr>
          <w:rFonts w:ascii="Courier New" w:eastAsiaTheme="majorEastAsia" w:hAnsi="Courier New" w:cs="Courier New"/>
          <w:color w:val="000000" w:themeColor="text1"/>
        </w:rPr>
      </w:pPr>
    </w:p>
    <w:p w:rsidR="00522C24" w:rsidRDefault="00522C24" w:rsidP="00A9131A">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(Th</w:t>
      </w:r>
      <w:r w:rsidR="00A9131A">
        <w:rPr>
          <w:rFonts w:ascii="Courier New" w:eastAsiaTheme="majorEastAsia" w:hAnsi="Courier New" w:cs="Courier New"/>
          <w:color w:val="000000" w:themeColor="text1"/>
        </w:rPr>
        <w:t xml:space="preserve">e output of the above command </w:t>
      </w:r>
      <w:r>
        <w:rPr>
          <w:rFonts w:ascii="Courier New" w:eastAsiaTheme="majorEastAsia" w:hAnsi="Courier New" w:cs="Courier New"/>
          <w:color w:val="000000" w:themeColor="text1"/>
        </w:rPr>
        <w:t>needs to be filled in by Dr. Steipe after integrating all the code and running it).</w:t>
      </w:r>
    </w:p>
    <w:p w:rsidR="00522C24" w:rsidRPr="00522C24" w:rsidRDefault="00522C24" w:rsidP="009C7A3D">
      <w:pPr>
        <w:spacing w:after="0"/>
        <w:rPr>
          <w:rFonts w:ascii="Courier New" w:eastAsiaTheme="majorEastAsia" w:hAnsi="Courier New" w:cs="Courier New"/>
          <w:color w:val="000000" w:themeColor="text1"/>
        </w:rPr>
      </w:pPr>
    </w:p>
    <w:p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7     References</w:t>
      </w:r>
    </w:p>
    <w:p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3600" behindDoc="0" locked="0" layoutInCell="1" allowOverlap="1" wp14:anchorId="4217F448" wp14:editId="2C03430D">
                <wp:simplePos x="0" y="0"/>
                <wp:positionH relativeFrom="column">
                  <wp:posOffset>0</wp:posOffset>
                </wp:positionH>
                <wp:positionV relativeFrom="paragraph">
                  <wp:posOffset>-1905</wp:posOffset>
                </wp:positionV>
                <wp:extent cx="6038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9PuAEAAMMDAAAOAAAAZHJzL2Uyb0RvYy54bWysU8GOEzEMvSPxD1HudKaLWHVH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BPyJ9PuAEAAMMDAAAOAAAAAAAAAAAAAAAAAC4CAABkcnMvZTJv&#10;RG9jLnhtbFBLAQItABQABgAIAAAAIQDQYWTF3AAAAAQBAAAPAAAAAAAAAAAAAAAAABIEAABkcnMv&#10;ZG93bnJldi54bWxQSwUGAAAAAAQABADzAAAAGwUAAAAA&#10;" strokecolor="#4579b8 [3044]"/>
            </w:pict>
          </mc:Fallback>
        </mc:AlternateContent>
      </w:r>
    </w:p>
    <w:p w:rsidR="009C7A3D" w:rsidRDefault="00A9131A" w:rsidP="00A9131A">
      <w:pPr>
        <w:spacing w:after="0"/>
        <w:rPr>
          <w:color w:val="000000" w:themeColor="text1"/>
        </w:rPr>
      </w:pPr>
      <w:r w:rsidRPr="00A9131A">
        <w:rPr>
          <w:color w:val="000000" w:themeColor="text1"/>
        </w:rPr>
        <w:t>[1]</w:t>
      </w:r>
      <w:r>
        <w:rPr>
          <w:color w:val="000000" w:themeColor="text1"/>
        </w:rPr>
        <w:t xml:space="preserve">     Rackham OJ, Firas J, Fang H, Oates ME, Holmes ML, Knaupp AS, FANTOM Consortium, Suzuki H, Nefzeger CM, Daub CO, Shin JW, Petretto E, Forrest AR, Hayashizaki Y, Polo JM, Gough J. A predictive computational framework for direct reprogramming between human cell types. </w:t>
      </w:r>
      <w:r>
        <w:rPr>
          <w:i/>
          <w:iCs/>
          <w:color w:val="000000" w:themeColor="text1"/>
        </w:rPr>
        <w:t xml:space="preserve">Nat Genet, </w:t>
      </w:r>
      <w:r>
        <w:rPr>
          <w:color w:val="000000" w:themeColor="text1"/>
        </w:rPr>
        <w:t>48(3): 331-335, 2016.</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[2]     Han H, Shim H, Shin D, Shim JE, Ko Y, Shin J, Kim H, Cho A, Kim E, Lee T, Kim H, Kim K, Yang S, Bae D, Yun A, Kim S, Kim CY, Cho HJ, Kang B, Shin S, Lee I. TRRUST: a reference database of human transcriptional regulatory interactions. </w:t>
      </w:r>
      <w:r>
        <w:rPr>
          <w:i/>
          <w:iCs/>
          <w:color w:val="000000" w:themeColor="text1"/>
        </w:rPr>
        <w:t xml:space="preserve">Sci Rep, </w:t>
      </w:r>
      <w:r>
        <w:rPr>
          <w:color w:val="000000" w:themeColor="text1"/>
        </w:rPr>
        <w:t>5:11432, 2015.</w:t>
      </w:r>
    </w:p>
    <w:p w:rsidR="00E95893" w:rsidRDefault="00E95893" w:rsidP="00A9131A">
      <w:pPr>
        <w:spacing w:after="0"/>
        <w:rPr>
          <w:color w:val="000000" w:themeColor="text1"/>
        </w:rPr>
      </w:pPr>
    </w:p>
    <w:p w:rsidR="00E95893" w:rsidRDefault="00E95893" w:rsidP="00A9131A">
      <w:pPr>
        <w:spacing w:after="0"/>
        <w:rPr>
          <w:color w:val="000000" w:themeColor="text1"/>
        </w:rPr>
      </w:pPr>
      <w:r>
        <w:rPr>
          <w:color w:val="000000" w:themeColor="text1"/>
        </w:rPr>
        <w:t xml:space="preserve">[3]     Chi SM, Seo YK, Park YK, Yoon S, Park CY, Kim YS, Kim SY, Nam D. REGNET: mining context-specific human transcription networks using composite genomic information. </w:t>
      </w:r>
      <w:r>
        <w:rPr>
          <w:i/>
          <w:iCs/>
          <w:color w:val="000000" w:themeColor="text1"/>
        </w:rPr>
        <w:t xml:space="preserve">BMC Genomics, </w:t>
      </w:r>
      <w:r>
        <w:rPr>
          <w:color w:val="000000" w:themeColor="text1"/>
        </w:rPr>
        <w:t>15:450, 2014.</w:t>
      </w:r>
    </w:p>
    <w:p w:rsidR="003346BC" w:rsidRDefault="003346BC" w:rsidP="0030604A">
      <w:pPr>
        <w:spacing w:after="0"/>
      </w:pPr>
      <w:r>
        <w:rPr>
          <w:color w:val="000000" w:themeColor="text1"/>
        </w:rPr>
        <w:t xml:space="preserve">[4]     </w:t>
      </w:r>
      <w:r w:rsidR="0030604A">
        <w:t>Szklarczyk D, Franceschini A, Wyder S, Forslund K, Heller D, Huerta-Cepas J, Simonovic M, Roth A, Santos A, Tsafou KP, Kuhn M, Bork P, Jensen LJ, von Mering C</w:t>
      </w:r>
      <w:r w:rsidR="0030604A" w:rsidRPr="0030604A">
        <w:t>. STRING v10: protein-protein interaction networks, integrated over the tree of life.</w:t>
      </w:r>
      <w:r w:rsidR="0030604A">
        <w:t xml:space="preserve"> </w:t>
      </w:r>
      <w:r w:rsidR="0030604A" w:rsidRPr="0030604A">
        <w:rPr>
          <w:i/>
          <w:iCs/>
        </w:rPr>
        <w:t>Nucleic Acids Res</w:t>
      </w:r>
      <w:r w:rsidR="0030604A">
        <w:t>,  43:D447-52, 2015.</w:t>
      </w:r>
    </w:p>
    <w:p w:rsidR="0030604A" w:rsidRDefault="0030604A" w:rsidP="0030604A">
      <w:pPr>
        <w:spacing w:after="0"/>
      </w:pPr>
    </w:p>
    <w:p w:rsidR="0030604A" w:rsidRDefault="0030604A" w:rsidP="0030604A">
      <w:pPr>
        <w:spacing w:after="0"/>
      </w:pPr>
      <w:r>
        <w:t xml:space="preserve">[5]     Vaquerizas JM, Kummerfield SK, Teichmann SA, Luscombe NM. A census of human transcription factors: function, expression and evolution. </w:t>
      </w:r>
      <w:r>
        <w:rPr>
          <w:i/>
          <w:iCs/>
        </w:rPr>
        <w:t>Nat Rev Genet</w:t>
      </w:r>
      <w:r>
        <w:t>, 10(4):252-263, 2009.</w:t>
      </w:r>
    </w:p>
    <w:p w:rsidR="00BD63D5" w:rsidRPr="0030604A" w:rsidRDefault="00BD63D5" w:rsidP="0030604A">
      <w:pPr>
        <w:spacing w:after="0"/>
      </w:pPr>
      <w:r>
        <w:t xml:space="preserve">[6]     </w:t>
      </w:r>
      <w:r w:rsidRPr="00BD63D5">
        <w:t>D'Alessio, A.C. et al. A systematic approach to identify candidate transcription factors that control cell identity. Stem Cell Reports doi:doi:10.1016/j.stemcr.2015.09.016 (23 October 2015).</w:t>
      </w:r>
    </w:p>
    <w:p w:rsidR="0030604A" w:rsidRDefault="0030604A" w:rsidP="00A9131A">
      <w:pPr>
        <w:spacing w:after="0"/>
        <w:rPr>
          <w:color w:val="000000" w:themeColor="text1"/>
        </w:rPr>
      </w:pPr>
    </w:p>
    <w:p w:rsidR="0030604A" w:rsidRPr="00E95893" w:rsidRDefault="0030604A" w:rsidP="00A9131A">
      <w:pPr>
        <w:spacing w:after="0"/>
        <w:rPr>
          <w:color w:val="000000" w:themeColor="text1"/>
        </w:rPr>
      </w:pPr>
    </w:p>
    <w:p w:rsidR="00E95893" w:rsidRDefault="00E95893" w:rsidP="00A9131A">
      <w:pPr>
        <w:spacing w:after="0"/>
        <w:rPr>
          <w:color w:val="000000" w:themeColor="text1"/>
        </w:rPr>
      </w:pPr>
    </w:p>
    <w:p w:rsidR="00E95893" w:rsidRPr="00E95893" w:rsidRDefault="00E95893" w:rsidP="00A9131A">
      <w:pPr>
        <w:spacing w:after="0"/>
        <w:rPr>
          <w:color w:val="000000" w:themeColor="text1"/>
        </w:rPr>
      </w:pPr>
    </w:p>
    <w:p w:rsidR="00E95893" w:rsidRPr="00A9131A" w:rsidRDefault="00E95893" w:rsidP="00A9131A">
      <w:pPr>
        <w:spacing w:after="0"/>
        <w:rPr>
          <w:color w:val="000000" w:themeColor="text1"/>
        </w:rPr>
      </w:pPr>
    </w:p>
    <w:p w:rsidR="00A9131A" w:rsidRDefault="00A9131A" w:rsidP="009C7A3D">
      <w:pPr>
        <w:spacing w:after="0"/>
        <w:rPr>
          <w:color w:val="000000" w:themeColor="text1"/>
        </w:rPr>
      </w:pPr>
    </w:p>
    <w:p w:rsidR="00A9131A" w:rsidRPr="00A9131A" w:rsidRDefault="00A9131A" w:rsidP="009C7A3D">
      <w:pPr>
        <w:spacing w:after="0"/>
        <w:rPr>
          <w:color w:val="000000" w:themeColor="text1"/>
        </w:rPr>
      </w:pPr>
    </w:p>
    <w:sectPr w:rsidR="00A9131A" w:rsidRPr="00A91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62758"/>
    <w:multiLevelType w:val="hybridMultilevel"/>
    <w:tmpl w:val="54406B9C"/>
    <w:lvl w:ilvl="0" w:tplc="67AA494C">
      <w:start w:val="1"/>
      <w:numFmt w:val="decimal"/>
      <w:lvlText w:val="%1."/>
      <w:lvlJc w:val="left"/>
      <w:pPr>
        <w:ind w:left="720" w:hanging="360"/>
      </w:pPr>
      <w:rPr>
        <w:rFonts w:asciiTheme="minorHAnsi" w:eastAsiaTheme="minorEastAsia"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3812C2B"/>
    <w:multiLevelType w:val="hybridMultilevel"/>
    <w:tmpl w:val="4FB42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45B4E"/>
    <w:multiLevelType w:val="hybridMultilevel"/>
    <w:tmpl w:val="AD02C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32151CB"/>
    <w:multiLevelType w:val="hybridMultilevel"/>
    <w:tmpl w:val="3E96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2A"/>
    <w:rsid w:val="00037E18"/>
    <w:rsid w:val="0005070A"/>
    <w:rsid w:val="000524FB"/>
    <w:rsid w:val="00125E5B"/>
    <w:rsid w:val="00185A61"/>
    <w:rsid w:val="001F4448"/>
    <w:rsid w:val="002019C7"/>
    <w:rsid w:val="0030604A"/>
    <w:rsid w:val="0030796D"/>
    <w:rsid w:val="003102C8"/>
    <w:rsid w:val="003346BC"/>
    <w:rsid w:val="003C53A2"/>
    <w:rsid w:val="004F7490"/>
    <w:rsid w:val="00522C24"/>
    <w:rsid w:val="00581535"/>
    <w:rsid w:val="005A4737"/>
    <w:rsid w:val="005A53C0"/>
    <w:rsid w:val="005C5D2A"/>
    <w:rsid w:val="00746C8C"/>
    <w:rsid w:val="007D2CD8"/>
    <w:rsid w:val="00814C59"/>
    <w:rsid w:val="009C7A3D"/>
    <w:rsid w:val="009F5F41"/>
    <w:rsid w:val="00A610BD"/>
    <w:rsid w:val="00A71929"/>
    <w:rsid w:val="00A72C2A"/>
    <w:rsid w:val="00A9131A"/>
    <w:rsid w:val="00AE1D06"/>
    <w:rsid w:val="00B63C62"/>
    <w:rsid w:val="00BD63D5"/>
    <w:rsid w:val="00C0121B"/>
    <w:rsid w:val="00C025CD"/>
    <w:rsid w:val="00C050AD"/>
    <w:rsid w:val="00C33C62"/>
    <w:rsid w:val="00CC04FE"/>
    <w:rsid w:val="00CE3F05"/>
    <w:rsid w:val="00D26A77"/>
    <w:rsid w:val="00DD74A6"/>
    <w:rsid w:val="00DE47F4"/>
    <w:rsid w:val="00E04824"/>
    <w:rsid w:val="00E72E8E"/>
    <w:rsid w:val="00E95893"/>
    <w:rsid w:val="00F755E4"/>
    <w:rsid w:val="00FF240C"/>
    <w:rsid w:val="00FF51C8"/>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32932">
      <w:bodyDiv w:val="1"/>
      <w:marLeft w:val="0"/>
      <w:marRight w:val="0"/>
      <w:marTop w:val="0"/>
      <w:marBottom w:val="0"/>
      <w:divBdr>
        <w:top w:val="none" w:sz="0" w:space="0" w:color="auto"/>
        <w:left w:val="none" w:sz="0" w:space="0" w:color="auto"/>
        <w:bottom w:val="none" w:sz="0" w:space="0" w:color="auto"/>
        <w:right w:val="none" w:sz="0" w:space="0" w:color="auto"/>
      </w:divBdr>
      <w:divsChild>
        <w:div w:id="87312080">
          <w:marLeft w:val="0"/>
          <w:marRight w:val="0"/>
          <w:marTop w:val="0"/>
          <w:marBottom w:val="0"/>
          <w:divBdr>
            <w:top w:val="none" w:sz="0" w:space="0" w:color="auto"/>
            <w:left w:val="none" w:sz="0" w:space="0" w:color="auto"/>
            <w:bottom w:val="none" w:sz="0" w:space="0" w:color="auto"/>
            <w:right w:val="none" w:sz="0" w:space="0" w:color="auto"/>
          </w:divBdr>
        </w:div>
        <w:div w:id="726028778">
          <w:marLeft w:val="0"/>
          <w:marRight w:val="0"/>
          <w:marTop w:val="0"/>
          <w:marBottom w:val="0"/>
          <w:divBdr>
            <w:top w:val="none" w:sz="0" w:space="0" w:color="auto"/>
            <w:left w:val="none" w:sz="0" w:space="0" w:color="auto"/>
            <w:bottom w:val="none" w:sz="0" w:space="0" w:color="auto"/>
            <w:right w:val="none" w:sz="0" w:space="0" w:color="auto"/>
          </w:divBdr>
        </w:div>
      </w:divsChild>
    </w:div>
    <w:div w:id="349529384">
      <w:bodyDiv w:val="1"/>
      <w:marLeft w:val="0"/>
      <w:marRight w:val="0"/>
      <w:marTop w:val="0"/>
      <w:marBottom w:val="0"/>
      <w:divBdr>
        <w:top w:val="none" w:sz="0" w:space="0" w:color="auto"/>
        <w:left w:val="none" w:sz="0" w:space="0" w:color="auto"/>
        <w:bottom w:val="none" w:sz="0" w:space="0" w:color="auto"/>
        <w:right w:val="none" w:sz="0" w:space="0" w:color="auto"/>
      </w:divBdr>
    </w:div>
    <w:div w:id="443034382">
      <w:bodyDiv w:val="1"/>
      <w:marLeft w:val="0"/>
      <w:marRight w:val="0"/>
      <w:marTop w:val="0"/>
      <w:marBottom w:val="0"/>
      <w:divBdr>
        <w:top w:val="none" w:sz="0" w:space="0" w:color="auto"/>
        <w:left w:val="none" w:sz="0" w:space="0" w:color="auto"/>
        <w:bottom w:val="none" w:sz="0" w:space="0" w:color="auto"/>
        <w:right w:val="none" w:sz="0" w:space="0" w:color="auto"/>
      </w:divBdr>
    </w:div>
    <w:div w:id="443501207">
      <w:bodyDiv w:val="1"/>
      <w:marLeft w:val="0"/>
      <w:marRight w:val="0"/>
      <w:marTop w:val="0"/>
      <w:marBottom w:val="0"/>
      <w:divBdr>
        <w:top w:val="none" w:sz="0" w:space="0" w:color="auto"/>
        <w:left w:val="none" w:sz="0" w:space="0" w:color="auto"/>
        <w:bottom w:val="none" w:sz="0" w:space="0" w:color="auto"/>
        <w:right w:val="none" w:sz="0" w:space="0" w:color="auto"/>
      </w:divBdr>
    </w:div>
    <w:div w:id="578440118">
      <w:bodyDiv w:val="1"/>
      <w:marLeft w:val="0"/>
      <w:marRight w:val="0"/>
      <w:marTop w:val="0"/>
      <w:marBottom w:val="0"/>
      <w:divBdr>
        <w:top w:val="none" w:sz="0" w:space="0" w:color="auto"/>
        <w:left w:val="none" w:sz="0" w:space="0" w:color="auto"/>
        <w:bottom w:val="none" w:sz="0" w:space="0" w:color="auto"/>
        <w:right w:val="none" w:sz="0" w:space="0" w:color="auto"/>
      </w:divBdr>
      <w:divsChild>
        <w:div w:id="1083917654">
          <w:marLeft w:val="0"/>
          <w:marRight w:val="0"/>
          <w:marTop w:val="0"/>
          <w:marBottom w:val="0"/>
          <w:divBdr>
            <w:top w:val="none" w:sz="0" w:space="0" w:color="auto"/>
            <w:left w:val="none" w:sz="0" w:space="0" w:color="auto"/>
            <w:bottom w:val="none" w:sz="0" w:space="0" w:color="auto"/>
            <w:right w:val="none" w:sz="0" w:space="0" w:color="auto"/>
          </w:divBdr>
        </w:div>
        <w:div w:id="319888724">
          <w:marLeft w:val="0"/>
          <w:marRight w:val="0"/>
          <w:marTop w:val="0"/>
          <w:marBottom w:val="0"/>
          <w:divBdr>
            <w:top w:val="none" w:sz="0" w:space="0" w:color="auto"/>
            <w:left w:val="none" w:sz="0" w:space="0" w:color="auto"/>
            <w:bottom w:val="none" w:sz="0" w:space="0" w:color="auto"/>
            <w:right w:val="none" w:sz="0" w:space="0" w:color="auto"/>
          </w:divBdr>
        </w:div>
      </w:divsChild>
    </w:div>
    <w:div w:id="585043487">
      <w:bodyDiv w:val="1"/>
      <w:marLeft w:val="0"/>
      <w:marRight w:val="0"/>
      <w:marTop w:val="0"/>
      <w:marBottom w:val="0"/>
      <w:divBdr>
        <w:top w:val="none" w:sz="0" w:space="0" w:color="auto"/>
        <w:left w:val="none" w:sz="0" w:space="0" w:color="auto"/>
        <w:bottom w:val="none" w:sz="0" w:space="0" w:color="auto"/>
        <w:right w:val="none" w:sz="0" w:space="0" w:color="auto"/>
      </w:divBdr>
    </w:div>
    <w:div w:id="596212443">
      <w:bodyDiv w:val="1"/>
      <w:marLeft w:val="0"/>
      <w:marRight w:val="0"/>
      <w:marTop w:val="0"/>
      <w:marBottom w:val="0"/>
      <w:divBdr>
        <w:top w:val="none" w:sz="0" w:space="0" w:color="auto"/>
        <w:left w:val="none" w:sz="0" w:space="0" w:color="auto"/>
        <w:bottom w:val="none" w:sz="0" w:space="0" w:color="auto"/>
        <w:right w:val="none" w:sz="0" w:space="0" w:color="auto"/>
      </w:divBdr>
    </w:div>
    <w:div w:id="1055205051">
      <w:bodyDiv w:val="1"/>
      <w:marLeft w:val="0"/>
      <w:marRight w:val="0"/>
      <w:marTop w:val="0"/>
      <w:marBottom w:val="0"/>
      <w:divBdr>
        <w:top w:val="none" w:sz="0" w:space="0" w:color="auto"/>
        <w:left w:val="none" w:sz="0" w:space="0" w:color="auto"/>
        <w:bottom w:val="none" w:sz="0" w:space="0" w:color="auto"/>
        <w:right w:val="none" w:sz="0" w:space="0" w:color="auto"/>
      </w:divBdr>
    </w:div>
    <w:div w:id="1246378216">
      <w:bodyDiv w:val="1"/>
      <w:marLeft w:val="0"/>
      <w:marRight w:val="0"/>
      <w:marTop w:val="0"/>
      <w:marBottom w:val="0"/>
      <w:divBdr>
        <w:top w:val="none" w:sz="0" w:space="0" w:color="auto"/>
        <w:left w:val="none" w:sz="0" w:space="0" w:color="auto"/>
        <w:bottom w:val="none" w:sz="0" w:space="0" w:color="auto"/>
        <w:right w:val="none" w:sz="0" w:space="0" w:color="auto"/>
      </w:divBdr>
    </w:div>
    <w:div w:id="1515072064">
      <w:bodyDiv w:val="1"/>
      <w:marLeft w:val="0"/>
      <w:marRight w:val="0"/>
      <w:marTop w:val="0"/>
      <w:marBottom w:val="0"/>
      <w:divBdr>
        <w:top w:val="none" w:sz="0" w:space="0" w:color="auto"/>
        <w:left w:val="none" w:sz="0" w:space="0" w:color="auto"/>
        <w:bottom w:val="none" w:sz="0" w:space="0" w:color="auto"/>
        <w:right w:val="none" w:sz="0" w:space="0" w:color="auto"/>
      </w:divBdr>
    </w:div>
    <w:div w:id="1538618650">
      <w:bodyDiv w:val="1"/>
      <w:marLeft w:val="0"/>
      <w:marRight w:val="0"/>
      <w:marTop w:val="0"/>
      <w:marBottom w:val="0"/>
      <w:divBdr>
        <w:top w:val="none" w:sz="0" w:space="0" w:color="auto"/>
        <w:left w:val="none" w:sz="0" w:space="0" w:color="auto"/>
        <w:bottom w:val="none" w:sz="0" w:space="0" w:color="auto"/>
        <w:right w:val="none" w:sz="0" w:space="0" w:color="auto"/>
      </w:divBdr>
      <w:divsChild>
        <w:div w:id="291790158">
          <w:marLeft w:val="0"/>
          <w:marRight w:val="0"/>
          <w:marTop w:val="0"/>
          <w:marBottom w:val="0"/>
          <w:divBdr>
            <w:top w:val="none" w:sz="0" w:space="0" w:color="auto"/>
            <w:left w:val="none" w:sz="0" w:space="0" w:color="auto"/>
            <w:bottom w:val="none" w:sz="0" w:space="0" w:color="auto"/>
            <w:right w:val="none" w:sz="0" w:space="0" w:color="auto"/>
          </w:divBdr>
        </w:div>
        <w:div w:id="583491550">
          <w:marLeft w:val="0"/>
          <w:marRight w:val="0"/>
          <w:marTop w:val="0"/>
          <w:marBottom w:val="0"/>
          <w:divBdr>
            <w:top w:val="none" w:sz="0" w:space="0" w:color="auto"/>
            <w:left w:val="none" w:sz="0" w:space="0" w:color="auto"/>
            <w:bottom w:val="none" w:sz="0" w:space="0" w:color="auto"/>
            <w:right w:val="none" w:sz="0" w:space="0" w:color="auto"/>
          </w:divBdr>
        </w:div>
      </w:divsChild>
    </w:div>
    <w:div w:id="1556772640">
      <w:bodyDiv w:val="1"/>
      <w:marLeft w:val="0"/>
      <w:marRight w:val="0"/>
      <w:marTop w:val="0"/>
      <w:marBottom w:val="0"/>
      <w:divBdr>
        <w:top w:val="none" w:sz="0" w:space="0" w:color="auto"/>
        <w:left w:val="none" w:sz="0" w:space="0" w:color="auto"/>
        <w:bottom w:val="none" w:sz="0" w:space="0" w:color="auto"/>
        <w:right w:val="none" w:sz="0" w:space="0" w:color="auto"/>
      </w:divBdr>
      <w:divsChild>
        <w:div w:id="2112554162">
          <w:marLeft w:val="0"/>
          <w:marRight w:val="0"/>
          <w:marTop w:val="0"/>
          <w:marBottom w:val="0"/>
          <w:divBdr>
            <w:top w:val="none" w:sz="0" w:space="0" w:color="auto"/>
            <w:left w:val="none" w:sz="0" w:space="0" w:color="auto"/>
            <w:bottom w:val="none" w:sz="0" w:space="0" w:color="auto"/>
            <w:right w:val="none" w:sz="0" w:space="0" w:color="auto"/>
          </w:divBdr>
        </w:div>
        <w:div w:id="744567257">
          <w:marLeft w:val="0"/>
          <w:marRight w:val="0"/>
          <w:marTop w:val="0"/>
          <w:marBottom w:val="0"/>
          <w:divBdr>
            <w:top w:val="none" w:sz="0" w:space="0" w:color="auto"/>
            <w:left w:val="none" w:sz="0" w:space="0" w:color="auto"/>
            <w:bottom w:val="none" w:sz="0" w:space="0" w:color="auto"/>
            <w:right w:val="none" w:sz="0" w:space="0" w:color="auto"/>
          </w:divBdr>
        </w:div>
      </w:divsChild>
    </w:div>
    <w:div w:id="17258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grify.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snk</dc:creator>
  <cp:lastModifiedBy>burton</cp:lastModifiedBy>
  <cp:revision>4</cp:revision>
  <dcterms:created xsi:type="dcterms:W3CDTF">2016-04-27T17:55:00Z</dcterms:created>
  <dcterms:modified xsi:type="dcterms:W3CDTF">2016-04-27T19:49:00Z</dcterms:modified>
</cp:coreProperties>
</file>