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 Cálculos e Rigor Metodológico do ISVT</w:t>
      </w:r>
    </w:p>
    <w:p>
      <w:pPr>
        <w:jc w:val="center"/>
      </w:pPr>
      <w:r>
        <w:rPr>
          <w:b/>
          <w:color w:val="465F69"/>
        </w:rPr>
        <w:t>Modelo oficial de 3 dimensões | Série SICOR 2016–2025 | Bahia e Rio Grande do Sul</w:t>
      </w:r>
    </w:p>
    <w:p>
      <w:r>
        <w:rPr>
          <w:b/>
        </w:rPr>
        <w:t xml:space="preserve">Nota de atualização. </w:t>
      </w:r>
      <w:r>
        <w:t>Este manual substitui versões anteriores baseadas em AHP, BNDES, FNE, diversidade financeira, Airbnb ou Waze. O modelo vigente utiliza pesos equivalentes entre D1, D2 e D3 e exclusivamente as variáveis descritas neste documento.</w:t>
      </w:r>
    </w:p>
    <w:p>
      <w:pPr>
        <w:pStyle w:val="Heading1"/>
      </w:pPr>
      <w:r>
        <w:t>1. Escopo do modelo</w:t>
      </w:r>
    </w:p>
    <w:p>
      <w:pPr>
        <w:spacing w:after="100"/>
      </w:pPr>
      <w:r>
        <w:t>O Índice Sintético de Viabilidade Territorial (ISVT) compara 421 municípios prioritários, sendo 136 na Bahia e 285 no Rio Grande do Sul. O índice integra três dimensões normalizadas em escala de 0 a 1: Fomento Rural (D1), Alojamento e Emprego Turístico Formal (D2) e Governança e Conectividade (D3).</w:t>
      </w:r>
    </w:p>
    <w:p>
      <w:pPr>
        <w:pStyle w:val="Heading1"/>
      </w:pPr>
      <w:r>
        <w:t>2. Arquitetura das dimensões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1F5B6B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Dimensão</w:t>
            </w:r>
          </w:p>
        </w:tc>
        <w:tc>
          <w:tcPr>
            <w:tcW w:type="dxa" w:w="2484"/>
            <w:vAlign w:val="center"/>
            <w:shd w:fill="1F5B6B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Variáveis</w:t>
            </w:r>
          </w:p>
        </w:tc>
        <w:tc>
          <w:tcPr>
            <w:tcW w:type="dxa" w:w="2484"/>
            <w:vAlign w:val="center"/>
            <w:shd w:fill="1F5B6B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Fontes</w:t>
            </w:r>
          </w:p>
        </w:tc>
        <w:tc>
          <w:tcPr>
            <w:tcW w:type="dxa" w:w="2484"/>
            <w:vAlign w:val="center"/>
            <w:shd w:fill="1F5B6B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Tratamento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 w:before="40"/>
            </w:pPr>
            <w:r>
              <w:t>D1 – Fomento Rural</w:t>
            </w:r>
          </w:p>
        </w:tc>
        <w:tc>
          <w:tcPr>
            <w:tcW w:type="dxa" w:w="2484"/>
            <w:vAlign w:val="center"/>
          </w:tcPr>
          <w:p>
            <w:pPr>
              <w:spacing w:after="40" w:before="40"/>
            </w:pPr>
            <w:r>
              <w:t>Crédito rural municipal acumulado de 2016 a 2025</w:t>
            </w:r>
          </w:p>
        </w:tc>
        <w:tc>
          <w:tcPr>
            <w:tcW w:type="dxa" w:w="2484"/>
            <w:vAlign w:val="center"/>
          </w:tcPr>
          <w:p>
            <w:pPr>
              <w:spacing w:after="40" w:before="40"/>
            </w:pPr>
            <w:r>
              <w:t>SICOR/BCB</w:t>
            </w:r>
          </w:p>
        </w:tc>
        <w:tc>
          <w:tcPr>
            <w:tcW w:type="dxa" w:w="2484"/>
            <w:vAlign w:val="center"/>
          </w:tcPr>
          <w:p>
            <w:pPr>
              <w:spacing w:after="40" w:before="40"/>
            </w:pPr>
            <w:r>
              <w:t>Soma anual, ln(1+X) e Min-Max por UF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 w:before="40"/>
            </w:pPr>
            <w:r>
              <w:t>D2 – Alojamento e Emprego</w:t>
            </w:r>
          </w:p>
        </w:tc>
        <w:tc>
          <w:tcPr>
            <w:tcW w:type="dxa" w:w="2484"/>
            <w:vAlign w:val="center"/>
          </w:tcPr>
          <w:p>
            <w:pPr>
              <w:spacing w:after="40" w:before="40"/>
            </w:pPr>
            <w:r>
              <w:t>Densidade de leitos; densidade de estabelecimentos de hospedagem; ocupações formais; estabelecimentos formais</w:t>
            </w:r>
          </w:p>
        </w:tc>
        <w:tc>
          <w:tcPr>
            <w:tcW w:type="dxa" w:w="2484"/>
            <w:vAlign w:val="center"/>
          </w:tcPr>
          <w:p>
            <w:pPr>
              <w:spacing w:after="40" w:before="40"/>
            </w:pPr>
            <w:r>
              <w:t>CADASTUR/MTur e RAIS/MTE</w:t>
            </w:r>
          </w:p>
        </w:tc>
        <w:tc>
          <w:tcPr>
            <w:tcW w:type="dxa" w:w="2484"/>
            <w:vAlign w:val="center"/>
          </w:tcPr>
          <w:p>
            <w:pPr>
              <w:spacing w:after="40" w:before="40"/>
            </w:pPr>
            <w:r>
              <w:t>ln(1+X), Min-Max por UF e média simples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 w:before="40"/>
            </w:pPr>
            <w:r>
              <w:t>D3 – Governança e Conectividade</w:t>
            </w:r>
          </w:p>
        </w:tc>
        <w:tc>
          <w:tcPr>
            <w:tcW w:type="dxa" w:w="2484"/>
            <w:vAlign w:val="center"/>
          </w:tcPr>
          <w:p>
            <w:pPr>
              <w:spacing w:after="40" w:before="40"/>
            </w:pPr>
            <w:r>
              <w:t>Conselho e órgão de turismo; Plano Diretor; Plano Municipal de Turismo; rede móvel, 4G, 5G e banda larga fixa</w:t>
            </w:r>
          </w:p>
        </w:tc>
        <w:tc>
          <w:tcPr>
            <w:tcW w:type="dxa" w:w="2484"/>
            <w:vAlign w:val="center"/>
          </w:tcPr>
          <w:p>
            <w:pPr>
              <w:spacing w:after="40" w:before="40"/>
            </w:pPr>
            <w:r>
              <w:t>MTur/IBGE e Anatel</w:t>
            </w:r>
          </w:p>
        </w:tc>
        <w:tc>
          <w:tcPr>
            <w:tcW w:type="dxa" w:w="2484"/>
            <w:vAlign w:val="center"/>
          </w:tcPr>
          <w:p>
            <w:pPr>
              <w:spacing w:after="40" w:before="40"/>
            </w:pPr>
            <w:r>
              <w:t>Min-Max por UF e média simples</w:t>
            </w:r>
          </w:p>
        </w:tc>
      </w:tr>
    </w:tbl>
    <w:p>
      <w:pPr>
        <w:pStyle w:val="Heading1"/>
      </w:pPr>
      <w:r>
        <w:t>3. Dimensão 1: Fomento Rural</w:t>
      </w:r>
    </w:p>
    <w:p>
      <w:pPr>
        <w:spacing w:after="100"/>
      </w:pPr>
      <w:r>
        <w:t>Para cada município, o valor bruto de D1 corresponde à soma das colunas anuais vol_2016 a vol_2025 da base Fomento_Municipal_Anual_WIDE.csv. Valores monetários no padrão brasileiro são convertidos com remoção de “R$”, pontos de milhar e substituição da vírgula decimal por ponto.</w:t>
      </w:r>
    </w:p>
    <w:p>
      <w:pPr>
        <w:jc w:val="center"/>
      </w:pPr>
      <w:r>
        <w:rPr>
          <w:rFonts w:ascii="Cambria Math" w:hAnsi="Cambria Math"/>
          <w:b/>
          <w:sz w:val="24"/>
        </w:rPr>
        <w:t>Crédito acumuladoₘ = Σ volₘ,ano , para ano = 2016,…,2025</w:t>
      </w:r>
    </w:p>
    <w:p>
      <w:pPr>
        <w:spacing w:after="100"/>
      </w:pPr>
      <w:r>
        <w:t>Após o merge pelo código IBGE municipal de sete dígitos, o processamento interrompe a execução caso algum município da base principal não possua correspondência na base SICOR. Ausência de correspondência não é convertida automaticamente em crédito zero.</w:t>
      </w:r>
    </w:p>
    <w:p>
      <w:pPr>
        <w:pStyle w:val="Heading1"/>
      </w:pPr>
      <w:r>
        <w:t>4. Transformação logarítmica</w:t>
      </w:r>
    </w:p>
    <w:p>
      <w:pPr>
        <w:spacing w:after="100"/>
      </w:pPr>
      <w:r>
        <w:t>Variáveis quantitativas com forte assimetria à direita são transformadas por logaritmo natural. A função log1p preserva valores nulos e reduz a influência de volumes extremos sem alterar a ordenação dos municípios.</w:t>
      </w:r>
    </w:p>
    <w:p>
      <w:pPr>
        <w:jc w:val="center"/>
      </w:pPr>
      <w:r>
        <w:rPr>
          <w:rFonts w:ascii="Cambria Math" w:hAnsi="Cambria Math"/>
          <w:b/>
          <w:sz w:val="24"/>
        </w:rPr>
        <w:t>Yₘ = ln(1 + Xₘ)</w:t>
      </w:r>
    </w:p>
    <w:p>
      <w:pPr>
        <w:pStyle w:val="Heading1"/>
      </w:pPr>
      <w:r>
        <w:t>5. Normalização Min-Max intraestado</w:t>
      </w:r>
    </w:p>
    <w:p>
      <w:pPr>
        <w:spacing w:after="100"/>
      </w:pPr>
      <w:r>
        <w:t>A normalização é calculada separadamente dentro de cada Unidade da Federação. Assim, cada indicador expressa a posição relativa do município em sua distribuição estadual, e não uma comparação direta de magnitudes absolutas entre Bahia e Rio Grande do Sul.</w:t>
      </w:r>
    </w:p>
    <w:p>
      <w:pPr>
        <w:jc w:val="center"/>
      </w:pPr>
      <w:r>
        <w:rPr>
          <w:rFonts w:ascii="Cambria Math" w:hAnsi="Cambria Math"/>
          <w:b/>
          <w:sz w:val="24"/>
        </w:rPr>
        <w:t>Iₘ,UF = (Yₘ − min(YUF)) / (max(YUF) − min(YUF))</w:t>
      </w:r>
    </w:p>
    <w:p>
      <w:pPr>
        <w:spacing w:after="100"/>
      </w:pPr>
      <w:r>
        <w:t>Quando máximo e mínimo são iguais, o indicador normalizado recebe 0,0 para todas as observações do grupo, evitando divisão por zero.</w:t>
      </w:r>
    </w:p>
    <w:p>
      <w:pPr>
        <w:pStyle w:val="Heading1"/>
      </w:pPr>
      <w:r>
        <w:t>6. Cálculo de D2, D3 e ISVT</w:t>
      </w:r>
    </w:p>
    <w:p>
      <w:pPr>
        <w:spacing w:after="100"/>
      </w:pPr>
      <w:r>
        <w:t>D2 é a média simples dos quatro componentes normalizados de alojamento e emprego. D3 é a média simples dos oito componentes normalizados de governança e conectividade. Não se utiliza AHP; as dimensões recebem pesos equivalentes no ISVT final.</w:t>
      </w:r>
    </w:p>
    <w:p>
      <w:pPr>
        <w:jc w:val="center"/>
      </w:pPr>
      <w:r>
        <w:rPr>
          <w:rFonts w:ascii="Cambria Math" w:hAnsi="Cambria Math"/>
          <w:b/>
          <w:sz w:val="24"/>
        </w:rPr>
        <w:t>D2ₘ = média dos 4 componentes normalizados de D2</w:t>
      </w:r>
    </w:p>
    <w:p>
      <w:pPr>
        <w:jc w:val="center"/>
      </w:pPr>
      <w:r>
        <w:rPr>
          <w:rFonts w:ascii="Cambria Math" w:hAnsi="Cambria Math"/>
          <w:b/>
          <w:sz w:val="24"/>
        </w:rPr>
        <w:t>D3ₘ = média dos 8 componentes normalizados de D3</w:t>
      </w:r>
    </w:p>
    <w:p>
      <w:pPr>
        <w:jc w:val="center"/>
      </w:pPr>
      <w:r>
        <w:rPr>
          <w:rFonts w:ascii="Cambria Math" w:hAnsi="Cambria Math"/>
          <w:b/>
          <w:sz w:val="24"/>
        </w:rPr>
        <w:t>ISVTₘ = (D1ₘ + D2ₘ + D3ₘ) / 3</w:t>
      </w:r>
    </w:p>
    <w:p>
      <w:pPr>
        <w:pStyle w:val="Heading1"/>
      </w:pPr>
      <w:r>
        <w:t>7. Matriz de Tração Territorial</w:t>
      </w:r>
    </w:p>
    <w:p>
      <w:pPr>
        <w:spacing w:after="100"/>
      </w:pPr>
      <w:r>
        <w:t>A Matriz de Tração complementa o ISVT ao confrontar a Capacidade Territorial com a intensidade relativa do fomento. A Capacidade Territorial corresponde à média de D2 e D3.</w:t>
      </w:r>
    </w:p>
    <w:p>
      <w:pPr>
        <w:jc w:val="center"/>
      </w:pPr>
      <w:r>
        <w:rPr>
          <w:rFonts w:ascii="Cambria Math" w:hAnsi="Cambria Math"/>
          <w:b/>
          <w:sz w:val="24"/>
        </w:rPr>
        <w:t>CTₘ = (D2ₘ + D3ₘ) / 2</w:t>
      </w:r>
    </w:p>
    <w:p>
      <w:pPr>
        <w:jc w:val="center"/>
      </w:pPr>
      <w:r>
        <w:rPr>
          <w:rFonts w:ascii="Cambria Math" w:hAnsi="Cambria Math"/>
          <w:b/>
          <w:sz w:val="24"/>
        </w:rPr>
        <w:t>GFₘ = CTₘ − D1ₘ</w:t>
      </w:r>
    </w:p>
    <w:p>
      <w:pPr>
        <w:spacing w:after="100"/>
      </w:pPr>
      <w:r>
        <w:t>Os pontos de corte são as medianas estaduais de CT e D1. Valores iguais ou superiores à mediana são classificados como altos; valores inferiores, como baixos.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5B6B"/>
          </w:tcPr>
          <w:p>
            <w:r>
              <w:rPr>
                <w:b/>
                <w:color w:val="FFFFFF"/>
              </w:rPr>
              <w:t>Quadrante</w:t>
            </w:r>
          </w:p>
        </w:tc>
        <w:tc>
          <w:tcPr>
            <w:tcW w:type="dxa" w:w="2484"/>
            <w:shd w:fill="1F5B6B"/>
          </w:tcPr>
          <w:p>
            <w:r>
              <w:rPr>
                <w:b/>
                <w:color w:val="FFFFFF"/>
              </w:rPr>
              <w:t>CT</w:t>
            </w:r>
          </w:p>
        </w:tc>
        <w:tc>
          <w:tcPr>
            <w:tcW w:type="dxa" w:w="2484"/>
            <w:shd w:fill="1F5B6B"/>
          </w:tcPr>
          <w:p>
            <w:r>
              <w:rPr>
                <w:b/>
                <w:color w:val="FFFFFF"/>
              </w:rPr>
              <w:t>D1</w:t>
            </w:r>
          </w:p>
        </w:tc>
        <w:tc>
          <w:tcPr>
            <w:tcW w:type="dxa" w:w="2484"/>
            <w:shd w:fill="1F5B6B"/>
          </w:tcPr>
          <w:p>
            <w:r>
              <w:rPr>
                <w:b/>
                <w:color w:val="FFFFFF"/>
              </w:rPr>
              <w:t>Interpretação</w:t>
            </w:r>
          </w:p>
        </w:tc>
      </w:tr>
      <w:tr>
        <w:tc>
          <w:tcPr>
            <w:tcW w:type="dxa" w:w="2484"/>
          </w:tcPr>
          <w:p>
            <w:r>
              <w:t>I</w:t>
            </w:r>
          </w:p>
        </w:tc>
        <w:tc>
          <w:tcPr>
            <w:tcW w:type="dxa" w:w="2484"/>
          </w:tcPr>
          <w:p>
            <w:r>
              <w:t>Alta</w:t>
            </w:r>
          </w:p>
        </w:tc>
        <w:tc>
          <w:tcPr>
            <w:tcW w:type="dxa" w:w="2484"/>
          </w:tcPr>
          <w:p>
            <w:r>
              <w:t>Alto</w:t>
            </w:r>
          </w:p>
        </w:tc>
        <w:tc>
          <w:tcPr>
            <w:tcW w:type="dxa" w:w="2484"/>
          </w:tcPr>
          <w:p>
            <w:r>
              <w:t>Estruturado e financiado</w:t>
            </w:r>
          </w:p>
        </w:tc>
      </w:tr>
      <w:tr>
        <w:tc>
          <w:tcPr>
            <w:tcW w:type="dxa" w:w="2484"/>
          </w:tcPr>
          <w:p>
            <w:r>
              <w:t>II</w:t>
            </w:r>
          </w:p>
        </w:tc>
        <w:tc>
          <w:tcPr>
            <w:tcW w:type="dxa" w:w="2484"/>
          </w:tcPr>
          <w:p>
            <w:r>
              <w:t>Alta</w:t>
            </w:r>
          </w:p>
        </w:tc>
        <w:tc>
          <w:tcPr>
            <w:tcW w:type="dxa" w:w="2484"/>
          </w:tcPr>
          <w:p>
            <w:r>
              <w:t>Baixo</w:t>
            </w:r>
          </w:p>
        </w:tc>
        <w:tc>
          <w:tcPr>
            <w:tcW w:type="dxa" w:w="2484"/>
          </w:tcPr>
          <w:p>
            <w:r>
              <w:t>Vazio relativo de fomento</w:t>
            </w:r>
          </w:p>
        </w:tc>
      </w:tr>
      <w:tr>
        <w:tc>
          <w:tcPr>
            <w:tcW w:type="dxa" w:w="2484"/>
          </w:tcPr>
          <w:p>
            <w:r>
              <w:t>III</w:t>
            </w:r>
          </w:p>
        </w:tc>
        <w:tc>
          <w:tcPr>
            <w:tcW w:type="dxa" w:w="2484"/>
          </w:tcPr>
          <w:p>
            <w:r>
              <w:t>Baixa</w:t>
            </w:r>
          </w:p>
        </w:tc>
        <w:tc>
          <w:tcPr>
            <w:tcW w:type="dxa" w:w="2484"/>
          </w:tcPr>
          <w:p>
            <w:r>
              <w:t>Baixo</w:t>
            </w:r>
          </w:p>
        </w:tc>
        <w:tc>
          <w:tcPr>
            <w:tcW w:type="dxa" w:w="2484"/>
          </w:tcPr>
          <w:p>
            <w:r>
              <w:t>Fragilidade territorial e financeira</w:t>
            </w:r>
          </w:p>
        </w:tc>
      </w:tr>
      <w:tr>
        <w:tc>
          <w:tcPr>
            <w:tcW w:type="dxa" w:w="2484"/>
          </w:tcPr>
          <w:p>
            <w:r>
              <w:t>IV</w:t>
            </w:r>
          </w:p>
        </w:tc>
        <w:tc>
          <w:tcPr>
            <w:tcW w:type="dxa" w:w="2484"/>
          </w:tcPr>
          <w:p>
            <w:r>
              <w:t>Baixa</w:t>
            </w:r>
          </w:p>
        </w:tc>
        <w:tc>
          <w:tcPr>
            <w:tcW w:type="dxa" w:w="2484"/>
          </w:tcPr>
          <w:p>
            <w:r>
              <w:t>Alto</w:t>
            </w:r>
          </w:p>
        </w:tc>
        <w:tc>
          <w:tcPr>
            <w:tcW w:type="dxa" w:w="2484"/>
          </w:tcPr>
          <w:p>
            <w:r>
              <w:t>Fomento relativamente elevado</w:t>
            </w:r>
          </w:p>
        </w:tc>
      </w:tr>
    </w:tbl>
    <w:p>
      <w:r>
        <w:rPr>
          <w:b/>
        </w:rPr>
        <w:t xml:space="preserve">Interpretação obrigatória. </w:t>
      </w:r>
      <w:r>
        <w:t>D1 = 0,0000 indica a posição mínima na distribuição intraestadual após o Min-Max e não necessariamente crédito bruto igual a zero. A classificação no Quadrante II não comprova, isoladamente, demanda reprimida, racionamento de crédito ou insuficiência absoluta de financiamento.</w:t>
      </w:r>
    </w:p>
    <w:p>
      <w:pPr>
        <w:pStyle w:val="Heading1"/>
      </w:pPr>
      <w:r>
        <w:t>8. Auditoria e saídas</w:t>
      </w:r>
    </w:p>
    <w:p>
      <w:pPr>
        <w:spacing w:after="100"/>
      </w:pPr>
      <w:r>
        <w:t>O pipeline valida as colunas anuais do SICOR, padroniza códigos IBGE, verifica correspondências do merge, registra mínimos e máximos de D1 por UF, calcula estatísticas descritivas, correlações exploratórias e distribuição dos quadrantes. A mesma execução gera o dashboard HTML e as tabelas consolidadas CSV/XLSX, assegurando uma única fonte de cálculo.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50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050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3241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Adriele Amorim Lyrio</dc:creator>
  <keywords/>
  <dc:description>generated by python-docx</dc:description>
  <lastModifiedBy>Adriele Amorim Lyrio</lastModifiedBy>
  <revision>1</revision>
  <dcterms:created xsi:type="dcterms:W3CDTF">2026-10-22T15:23:08.8909645Z</dcterms:created>
  <dcterms:modified xsi:type="dcterms:W3CDTF">2026-10-22T15:23:08.8909645Z</dcterms:modified>
  <category/>
</coreProperties>
</file>