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1A1A1A"/>
          <w:sz w:val="30"/>
          <w:szCs w:val="30"/>
        </w:rPr>
        <w:t xml:space="preserve">Bank Disclosure Intelligence Platform</w:t>
      </w:r>
    </w:p>
    <w:p>
      <w:pPr>
        <w:pBdr>
          <w:bottom w:val="single" w:color="C8102E" w:sz="8" w:space="4"/>
        </w:pBdr>
        <w:spacing w:after="60"/>
      </w:pPr>
      <w:r>
        <w:rPr>
          <w:rFonts w:ascii="Arial" w:cs="Arial" w:eastAsia="Arial" w:hAnsi="Arial"/>
          <w:i/>
          <w:iCs/>
          <w:color w:val="1A1A1A"/>
          <w:sz w:val="20"/>
          <w:szCs w:val="20"/>
        </w:rPr>
        <w:t xml:space="preserve">Technical Exercise Write-Up + Debrief Talking Points</w:t>
      </w:r>
    </w:p>
    <w:p>
      <w:pPr>
        <w:spacing w:after="60"/>
      </w:pPr>
      <w:r>
        <w:rPr>
          <w:rFonts w:ascii="Arial" w:cs="Arial" w:eastAsia="Arial" w:hAnsi="Arial"/>
          <w:i/>
          <w:iCs/>
          <w:color w:val="6B6B6B"/>
          <w:sz w:val="18"/>
          <w:szCs w:val="18"/>
        </w:rPr>
        <w:t xml:space="preserve">Submitted for the SCode Technical Exercise — April 2026</w:t>
      </w:r>
    </w:p>
    <w:p>
      <w:pPr>
        <w:spacing w:after="60"/>
      </w:pPr>
      <w:r>
        <w:rPr>
          <w:rFonts w:ascii="Arial" w:cs="Arial" w:eastAsia="Arial" w:hAnsi="Arial"/>
          <w:i/>
          <w:iCs/>
          <w:color w:val="6B6B6B"/>
          <w:sz w:val="18"/>
          <w:szCs w:val="18"/>
        </w:rPr>
        <w:t xml:space="preserve">Repo: github.com/&lt;user&gt;/bank-disclosure-platform   •   Stack: Python 3.11, BeautifulSoup, pypdf, pytest</w:t>
      </w:r>
    </w:p>
    <w:p>
      <w:pPr>
        <w:spacing w:after="60" w:before="140"/>
      </w:pPr>
      <w:r>
        <w:rPr>
          <w:rFonts w:ascii="Arial" w:cs="Arial" w:eastAsia="Arial" w:hAnsi="Arial"/>
          <w:b/>
          <w:bCs/>
          <w:color w:val="C8102E"/>
          <w:sz w:val="22"/>
          <w:szCs w:val="22"/>
        </w:rPr>
        <w:t xml:space="preserve">1. What I built</w:t>
      </w:r>
    </w:p>
    <w:p>
      <w:pPr>
        <w:spacing w:after="80" w:line="240"/>
        <w:jc w:val="both"/>
      </w:pPr>
      <w:r>
        <w:rPr>
          <w:rFonts w:ascii="Arial" w:cs="Arial" w:eastAsia="Arial" w:hAnsi="Arial"/>
          <w:b w:val="false"/>
          <w:bCs w:val="false"/>
          <w:i w:val="false"/>
          <w:iCs w:val="false"/>
          <w:color w:val="1A1A1A"/>
          <w:sz w:val="19"/>
          <w:szCs w:val="19"/>
        </w:rPr>
        <w:t xml:space="preserve">A 10-K / 10-Q parser that pulls MD&amp;A and Risk Factor sections from bank disclosures, scores each against a nine-theme risk taxonomy, and produces a structured JSON report. The platform tracks 13 banks across three continents — six US bulge-bracket, three European, and four African — and routes each bank to the right ingestion path. US and European banks file with the SEC, so the platform pulls 10-K, 10-Q, and 20-F filings via the EDGAR submissions API. African banks (Afriland, Ecobank, Standard Bank, Attijariwafa) don't file with the SEC, so a separate parser ingests their PDF annual reports. Both paths converge on the same downstream analyzer.</w:t>
      </w:r>
    </w:p>
    <w:p>
      <w:pPr>
        <w:spacing w:after="80" w:line="240"/>
        <w:jc w:val="both"/>
      </w:pPr>
      <w:r>
        <w:rPr>
          <w:rFonts w:ascii="Arial" w:cs="Arial" w:eastAsia="Arial" w:hAnsi="Arial"/>
          <w:b/>
          <w:bCs/>
          <w:i w:val="false"/>
          <w:iCs w:val="false"/>
          <w:color w:val="1A1A1A"/>
          <w:sz w:val="19"/>
          <w:szCs w:val="19"/>
        </w:rPr>
        <w:t xml:space="preserve">Key design choice: </w:t>
      </w:r>
      <w:r>
        <w:rPr>
          <w:rFonts w:ascii="Arial" w:cs="Arial" w:eastAsia="Arial" w:hAnsi="Arial"/>
          <w:b w:val="false"/>
          <w:bCs w:val="false"/>
          <w:i w:val="false"/>
          <w:iCs w:val="false"/>
          <w:color w:val="1A1A1A"/>
          <w:sz w:val="19"/>
          <w:szCs w:val="19"/>
        </w:rPr>
        <w:t xml:space="preserve">the analyzer is rule-based, not transformer-based. I considered FinBERT but kept the v1 scorer keyword-driven for two reasons. First, transparency — every score traces to a list of keywords any auditor can read. Second, cost and latency — the keyword scorer runs in milliseconds on a laptop. The PRD treats FinBERT as a v2 enhancement that runs </w:t>
      </w:r>
      <w:r>
        <w:rPr>
          <w:rFonts w:ascii="Arial" w:cs="Arial" w:eastAsia="Arial" w:hAnsi="Arial"/>
          <w:b w:val="false"/>
          <w:bCs w:val="false"/>
          <w:i/>
          <w:iCs/>
          <w:color w:val="1A1A1A"/>
          <w:sz w:val="19"/>
          <w:szCs w:val="19"/>
        </w:rPr>
        <w:t xml:space="preserve">alongside </w:t>
      </w:r>
      <w:r>
        <w:rPr>
          <w:rFonts w:ascii="Arial" w:cs="Arial" w:eastAsia="Arial" w:hAnsi="Arial"/>
          <w:b w:val="false"/>
          <w:bCs w:val="false"/>
          <w:i w:val="false"/>
          <w:iCs w:val="false"/>
          <w:color w:val="1A1A1A"/>
          <w:sz w:val="19"/>
          <w:szCs w:val="19"/>
        </w:rPr>
        <w:t xml:space="preserve">the keyword scorer rather than replacing it, because in a regulated environment the explainable fallback is the score you can actually defend in front of a supervisor.</w:t>
      </w:r>
    </w:p>
    <w:p>
      <w:pPr>
        <w:spacing w:after="80" w:line="240"/>
        <w:jc w:val="both"/>
      </w:pPr>
      <w:r>
        <w:rPr>
          <w:rFonts w:ascii="Arial" w:cs="Arial" w:eastAsia="Arial" w:hAnsi="Arial"/>
          <w:b w:val="false"/>
          <w:bCs w:val="false"/>
          <w:i w:val="false"/>
          <w:iCs w:val="false"/>
          <w:color w:val="1A1A1A"/>
          <w:sz w:val="19"/>
          <w:szCs w:val="19"/>
        </w:rPr>
        <w:t xml:space="preserve">The repo includes 20 unit tests (all passing, no network required), a CLI, a PRD for v2, this write-up, and the debrief talking points below.</w:t>
      </w:r>
    </w:p>
    <w:p>
      <w:pPr>
        <w:spacing w:after="60" w:before="140"/>
      </w:pPr>
      <w:r>
        <w:rPr>
          <w:rFonts w:ascii="Arial" w:cs="Arial" w:eastAsia="Arial" w:hAnsi="Arial"/>
          <w:b/>
          <w:bCs/>
          <w:color w:val="C8102E"/>
          <w:sz w:val="22"/>
          <w:szCs w:val="22"/>
        </w:rPr>
        <w:t xml:space="preserve">2. Difficulties and how I overcame them</w:t>
      </w:r>
    </w:p>
    <w:p>
      <w:pPr>
        <w:pStyle w:val="ListParagraph"/>
        <w:numPr>
          <w:ilvl w:val="0"/>
          <w:numId w:val="2"/>
        </w:numPr>
        <w:spacing w:after="50" w:line="240"/>
      </w:pPr>
      <w:r>
        <w:rPr>
          <w:rFonts w:ascii="Arial" w:cs="Arial" w:eastAsia="Arial" w:hAnsi="Arial"/>
          <w:b/>
          <w:bCs/>
          <w:i w:val="false"/>
          <w:iCs w:val="false"/>
          <w:color w:val="1A1A1A"/>
          <w:sz w:val="19"/>
          <w:szCs w:val="19"/>
        </w:rPr>
        <w:t xml:space="preserve">Section boundaries are slippery. </w:t>
      </w:r>
      <w:r>
        <w:rPr>
          <w:rFonts w:ascii="Arial" w:cs="Arial" w:eastAsia="Arial" w:hAnsi="Arial"/>
          <w:b w:val="false"/>
          <w:bCs w:val="false"/>
          <w:i w:val="false"/>
          <w:iCs w:val="false"/>
          <w:color w:val="1A1A1A"/>
          <w:sz w:val="19"/>
          <w:szCs w:val="19"/>
        </w:rPr>
        <w:t xml:space="preserve">10-K filings name their sections "Item 1A", "Item 7", "Item 7A" — easy to anchor on, in theory. In practice the same filing mentions "Item 7A" inside the body of Item 7A itself (e.g. "as required by Item 7A of Form 10-K"). My first regex grabbed the last occurrence of each item heading and ended up with a 194-character section that was actually just the tail of the real one. I rewrote the pattern to anchor on start-of-line, which excludes inline references. Tests caught this immediately because I had built a fixture with both a TOC entry and a body for each item — the TOC-vs-body distinction is the same problem in a different costume.</w:t>
      </w:r>
    </w:p>
    <w:p>
      <w:pPr>
        <w:pStyle w:val="ListParagraph"/>
        <w:numPr>
          <w:ilvl w:val="0"/>
          <w:numId w:val="2"/>
        </w:numPr>
        <w:spacing w:after="50" w:line="240"/>
      </w:pPr>
      <w:r>
        <w:rPr>
          <w:rFonts w:ascii="Arial" w:cs="Arial" w:eastAsia="Arial" w:hAnsi="Arial"/>
          <w:b/>
          <w:bCs/>
          <w:i w:val="false"/>
          <w:iCs w:val="false"/>
          <w:color w:val="1A1A1A"/>
          <w:sz w:val="19"/>
          <w:szCs w:val="19"/>
        </w:rPr>
        <w:t xml:space="preserve">EDGAR access from a sandbox. </w:t>
      </w:r>
      <w:r>
        <w:rPr>
          <w:rFonts w:ascii="Arial" w:cs="Arial" w:eastAsia="Arial" w:hAnsi="Arial"/>
          <w:b w:val="false"/>
          <w:bCs w:val="false"/>
          <w:i w:val="false"/>
          <w:iCs w:val="false"/>
          <w:color w:val="1A1A1A"/>
          <w:sz w:val="19"/>
          <w:szCs w:val="19"/>
        </w:rPr>
        <w:t xml:space="preserve">When I tried a live smoke test, EDGAR returned 403 Forbidden. The SEC fair-access policy requires a real contact email in the User-Agent header, and even then they sometimes block cloud-IP ranges. I addressed this two ways: (a) the client reads the User-Agent from an environment variable so production deploys can set a real address, and (b) all unit tests use synthetic HTML fixtures so CI doesn't depend on EDGAR being reachable. Live validation moves to manual smoke tests run from a residential connection.</w:t>
      </w:r>
    </w:p>
    <w:p>
      <w:pPr>
        <w:pStyle w:val="ListParagraph"/>
        <w:numPr>
          <w:ilvl w:val="0"/>
          <w:numId w:val="2"/>
        </w:numPr>
        <w:spacing w:after="50" w:line="240"/>
      </w:pPr>
      <w:r>
        <w:rPr>
          <w:rFonts w:ascii="Arial" w:cs="Arial" w:eastAsia="Arial" w:hAnsi="Arial"/>
          <w:b/>
          <w:bCs/>
          <w:i w:val="false"/>
          <w:iCs w:val="false"/>
          <w:color w:val="1A1A1A"/>
          <w:sz w:val="19"/>
          <w:szCs w:val="19"/>
        </w:rPr>
        <w:t xml:space="preserve">Two data sources, one pipeline. </w:t>
      </w:r>
      <w:r>
        <w:rPr>
          <w:rFonts w:ascii="Arial" w:cs="Arial" w:eastAsia="Arial" w:hAnsi="Arial"/>
          <w:b w:val="false"/>
          <w:bCs w:val="false"/>
          <w:i w:val="false"/>
          <w:iCs w:val="false"/>
          <w:color w:val="1A1A1A"/>
          <w:sz w:val="19"/>
          <w:szCs w:val="19"/>
        </w:rPr>
        <w:t xml:space="preserve">The temptation was to write two parallel pipelines — one for EDGAR, one for PDF. I resisted. Instead, the bank registry tags each bank with a SourceType, and a single pipeline.analyze_bank() function dispatches to the right fetcher based on that tag. The downstream analyzer doesn't know or care where the text came from. This made the African bank addition a 30-line PDF parser plus four registry entries, not a parallel codebase.</w:t>
      </w:r>
    </w:p>
    <w:p>
      <w:pPr>
        <w:pStyle w:val="ListParagraph"/>
        <w:numPr>
          <w:ilvl w:val="0"/>
          <w:numId w:val="2"/>
        </w:numPr>
        <w:spacing w:after="50" w:line="240"/>
      </w:pPr>
      <w:r>
        <w:rPr>
          <w:rFonts w:ascii="Arial" w:cs="Arial" w:eastAsia="Arial" w:hAnsi="Arial"/>
          <w:b/>
          <w:bCs/>
          <w:i w:val="false"/>
          <w:iCs w:val="false"/>
          <w:color w:val="1A1A1A"/>
          <w:sz w:val="19"/>
          <w:szCs w:val="19"/>
        </w:rPr>
        <w:t xml:space="preserve">Threshold tuning. </w:t>
      </w:r>
      <w:r>
        <w:rPr>
          <w:rFonts w:ascii="Arial" w:cs="Arial" w:eastAsia="Arial" w:hAnsi="Arial"/>
          <w:b w:val="false"/>
          <w:bCs w:val="false"/>
          <w:i w:val="false"/>
          <w:iCs w:val="false"/>
          <w:color w:val="1A1A1A"/>
          <w:sz w:val="19"/>
          <w:szCs w:val="19"/>
        </w:rPr>
        <w:t xml:space="preserve">I initially required extracted sections to be at least 300 characters before treating them as valid. This rejected real 10-Q updates, which are sometimes quite brief. I lowered it to 150 — high enough to filter out TOC entries, low enough to accept short but real disclosures. The number is a judgment call; documenting why is more important than the exact value.</w:t>
      </w:r>
    </w:p>
    <w:p>
      <w:pPr>
        <w:spacing w:after="60" w:before="140"/>
      </w:pPr>
      <w:r>
        <w:rPr>
          <w:rFonts w:ascii="Arial" w:cs="Arial" w:eastAsia="Arial" w:hAnsi="Arial"/>
          <w:b/>
          <w:bCs/>
          <w:color w:val="C8102E"/>
          <w:sz w:val="22"/>
          <w:szCs w:val="22"/>
        </w:rPr>
        <w:t xml:space="preserve">3. Are we at AGI now?</w:t>
      </w:r>
    </w:p>
    <w:p>
      <w:pPr>
        <w:spacing w:after="80" w:line="240"/>
        <w:jc w:val="both"/>
      </w:pPr>
      <w:r>
        <w:rPr>
          <w:rFonts w:ascii="Arial" w:cs="Arial" w:eastAsia="Arial" w:hAnsi="Arial"/>
          <w:b/>
          <w:bCs/>
          <w:i w:val="false"/>
          <w:iCs w:val="false"/>
          <w:color w:val="C8102E"/>
          <w:sz w:val="19"/>
          <w:szCs w:val="19"/>
        </w:rPr>
        <w:t xml:space="preserve">No. </w:t>
      </w:r>
      <w:r>
        <w:rPr>
          <w:rFonts w:ascii="Arial" w:cs="Arial" w:eastAsia="Arial" w:hAnsi="Arial"/>
          <w:b w:val="false"/>
          <w:bCs w:val="false"/>
          <w:i w:val="false"/>
          <w:iCs w:val="false"/>
          <w:color w:val="1A1A1A"/>
          <w:sz w:val="19"/>
          <w:szCs w:val="19"/>
        </w:rPr>
        <w:t xml:space="preserve">And I'd argue this exercise is a good prompt for explaining why.</w:t>
      </w:r>
    </w:p>
    <w:p>
      <w:pPr>
        <w:spacing w:after="80" w:line="240"/>
        <w:jc w:val="both"/>
      </w:pPr>
      <w:r>
        <w:rPr>
          <w:rFonts w:ascii="Arial" w:cs="Arial" w:eastAsia="Arial" w:hAnsi="Arial"/>
          <w:b w:val="false"/>
          <w:bCs w:val="false"/>
          <w:i w:val="false"/>
          <w:iCs w:val="false"/>
          <w:color w:val="1A1A1A"/>
          <w:sz w:val="19"/>
          <w:szCs w:val="19"/>
        </w:rPr>
        <w:t xml:space="preserve">What this platform does well — extract a named section from a structured filing, count keyword themes, produce a JSON report — is narrow automation of a specific document-handling task. It looks impressive because the input documents are 200-page legal artifacts and the output is a tidy structured summary. But the system has no understanding of what credit risk </w:t>
      </w:r>
      <w:r>
        <w:rPr>
          <w:rFonts w:ascii="Arial" w:cs="Arial" w:eastAsia="Arial" w:hAnsi="Arial"/>
          <w:b w:val="false"/>
          <w:bCs w:val="false"/>
          <w:i/>
          <w:iCs/>
          <w:color w:val="1A1A1A"/>
          <w:sz w:val="19"/>
          <w:szCs w:val="19"/>
        </w:rPr>
        <w:t xml:space="preserve">is</w:t>
      </w:r>
      <w:r>
        <w:rPr>
          <w:rFonts w:ascii="Arial" w:cs="Arial" w:eastAsia="Arial" w:hAnsi="Arial"/>
          <w:b w:val="false"/>
          <w:bCs w:val="false"/>
          <w:i w:val="false"/>
          <w:iCs w:val="false"/>
          <w:color w:val="1A1A1A"/>
          <w:sz w:val="19"/>
          <w:szCs w:val="19"/>
        </w:rPr>
        <w:t xml:space="preserve">. It has no view on whether JPMorgan's 287 mentions of "credit" in its 2024 10-K are good news, bad news, or boilerplate. It just counts. Even with FinBERT swapped in, that wouldn't change the picture — FinBERT is a domain-fine-tuned BERT, still a pattern matcher operating on tokens. JPMorgan's COiN does similar work at industrial scale and saves 360,000 lawyer-hours a year, which is genuinely valuable. It is also genuinely not general intelligence.</w:t>
      </w:r>
    </w:p>
    <w:p>
      <w:pPr>
        <w:spacing w:after="80" w:line="240"/>
        <w:jc w:val="both"/>
      </w:pPr>
      <w:r>
        <w:rPr>
          <w:rFonts w:ascii="Arial" w:cs="Arial" w:eastAsia="Arial" w:hAnsi="Arial"/>
          <w:b w:val="false"/>
          <w:bCs w:val="false"/>
          <w:i w:val="false"/>
          <w:iCs w:val="false"/>
          <w:color w:val="1A1A1A"/>
          <w:sz w:val="19"/>
          <w:szCs w:val="19"/>
        </w:rPr>
        <w:t xml:space="preserve">The honest framing for a finance audience: modern NLP gives us </w:t>
      </w:r>
      <w:r>
        <w:rPr>
          <w:rFonts w:ascii="Arial" w:cs="Arial" w:eastAsia="Arial" w:hAnsi="Arial"/>
          <w:b/>
          <w:bCs/>
          <w:i w:val="false"/>
          <w:iCs w:val="false"/>
          <w:color w:val="1A1A1A"/>
          <w:sz w:val="19"/>
          <w:szCs w:val="19"/>
        </w:rPr>
        <w:t xml:space="preserve">leverage</w:t>
      </w:r>
      <w:r>
        <w:rPr>
          <w:rFonts w:ascii="Arial" w:cs="Arial" w:eastAsia="Arial" w:hAnsi="Arial"/>
          <w:b w:val="false"/>
          <w:bCs w:val="false"/>
          <w:i w:val="false"/>
          <w:iCs w:val="false"/>
          <w:color w:val="1A1A1A"/>
          <w:sz w:val="19"/>
          <w:szCs w:val="19"/>
        </w:rPr>
        <w:t xml:space="preserve"> — to use a word from last week's briefing — on document-heavy work humans used to grind through manually. Leverage is enormously useful. It is not the same thing as judgment under uncertainty or accountability for conclusions. We are not there yet.</w:t>
      </w:r>
    </w:p>
    <w:p>
      <w:pPr>
        <w:pageBreakBefore/>
        <w:pBdr>
          <w:bottom w:val="single" w:color="C8102E" w:sz="8" w:space="4"/>
        </w:pBdr>
        <w:spacing w:after="120" w:before="0"/>
      </w:pPr>
      <w:r>
        <w:rPr>
          <w:rFonts w:ascii="Arial" w:cs="Arial" w:eastAsia="Arial" w:hAnsi="Arial"/>
          <w:b/>
          <w:bCs/>
          <w:color w:val="C8102E"/>
          <w:sz w:val="30"/>
          <w:szCs w:val="30"/>
        </w:rPr>
        <w:t xml:space="preserve">Debrief Talking Points</w:t>
      </w:r>
    </w:p>
    <w:p>
      <w:pPr>
        <w:spacing w:after="60"/>
      </w:pPr>
      <w:r>
        <w:rPr>
          <w:rFonts w:ascii="Arial" w:cs="Arial" w:eastAsia="Arial" w:hAnsi="Arial"/>
          <w:i/>
          <w:iCs/>
          <w:color w:val="6B6B6B"/>
          <w:sz w:val="18"/>
          <w:szCs w:val="18"/>
        </w:rPr>
        <w:t xml:space="preserve">Five-minute spoken version for the next class — one beat per minute</w:t>
      </w:r>
    </w:p>
    <w:p>
      <w:pPr>
        <w:spacing w:after="60" w:before="140"/>
      </w:pPr>
      <w:r>
        <w:rPr>
          <w:rFonts w:ascii="Arial" w:cs="Arial" w:eastAsia="Arial" w:hAnsi="Arial"/>
          <w:b/>
          <w:bCs/>
          <w:color w:val="C8102E"/>
          <w:sz w:val="22"/>
          <w:szCs w:val="22"/>
        </w:rPr>
        <w:t xml:space="preserve">Beat 1 — what I set out to do (~45s)</w:t>
      </w:r>
    </w:p>
    <w:p>
      <w:pPr>
        <w:spacing w:after="80" w:line="240"/>
        <w:jc w:val="both"/>
      </w:pPr>
      <w:r>
        <w:rPr>
          <w:rFonts w:ascii="Arial" w:cs="Arial" w:eastAsia="Arial" w:hAnsi="Arial"/>
          <w:b w:val="false"/>
          <w:bCs w:val="false"/>
          <w:i w:val="false"/>
          <w:iCs w:val="false"/>
          <w:color w:val="1A1A1A"/>
          <w:sz w:val="19"/>
          <w:szCs w:val="19"/>
        </w:rPr>
        <w:t xml:space="preserve">Build a parser that handles bank disclosures across two structurally different sources: SEC EDGAR filings for US and European banks, and PDF annual reports for African banks that don't file with the SEC. Same downstream analysis, two ingestion paths. Thirteen banks total.</w:t>
      </w:r>
    </w:p>
    <w:p>
      <w:pPr>
        <w:spacing w:after="60" w:before="140"/>
      </w:pPr>
      <w:r>
        <w:rPr>
          <w:rFonts w:ascii="Arial" w:cs="Arial" w:eastAsia="Arial" w:hAnsi="Arial"/>
          <w:b/>
          <w:bCs/>
          <w:color w:val="C8102E"/>
          <w:sz w:val="22"/>
          <w:szCs w:val="22"/>
        </w:rPr>
        <w:t xml:space="preserve">Beat 2 — the architecture decision worth defending (~60s)</w:t>
      </w:r>
    </w:p>
    <w:p>
      <w:pPr>
        <w:spacing w:after="80" w:line="240"/>
        <w:jc w:val="both"/>
      </w:pPr>
      <w:r>
        <w:rPr>
          <w:rFonts w:ascii="Arial" w:cs="Arial" w:eastAsia="Arial" w:hAnsi="Arial"/>
          <w:b w:val="false"/>
          <w:bCs w:val="false"/>
          <w:i w:val="false"/>
          <w:iCs w:val="false"/>
          <w:color w:val="1A1A1A"/>
          <w:sz w:val="19"/>
          <w:szCs w:val="19"/>
        </w:rPr>
        <w:t xml:space="preserve">I made one design call I think is the most interesting part of this submission: the analyzer is rule-based, not FinBERT-based. The expected move would have been to slap a transformer on the extracted text and call it modern. I went the other way and explained why in the PRD. In a regulated environment, an explainable keyword scorer that any compliance officer can read in 60 seconds is more defensible than a 110-million-parameter classifier whose decisions you can't trace. v2 of the platform adds FinBERT </w:t>
      </w:r>
      <w:r>
        <w:rPr>
          <w:rFonts w:ascii="Arial" w:cs="Arial" w:eastAsia="Arial" w:hAnsi="Arial"/>
          <w:b w:val="false"/>
          <w:bCs w:val="false"/>
          <w:i/>
          <w:iCs/>
          <w:color w:val="1A1A1A"/>
          <w:sz w:val="19"/>
          <w:szCs w:val="19"/>
        </w:rPr>
        <w:t xml:space="preserve">alongside</w:t>
      </w:r>
      <w:r>
        <w:rPr>
          <w:rFonts w:ascii="Arial" w:cs="Arial" w:eastAsia="Arial" w:hAnsi="Arial"/>
          <w:b w:val="false"/>
          <w:bCs w:val="false"/>
          <w:i w:val="false"/>
          <w:iCs w:val="false"/>
          <w:color w:val="1A1A1A"/>
          <w:sz w:val="19"/>
          <w:szCs w:val="19"/>
        </w:rPr>
        <w:t xml:space="preserve"> the keyword scorer, not on top of it. The two scores live side by side, and disagreements are surfaced rather than hidden.</w:t>
      </w:r>
    </w:p>
    <w:p>
      <w:pPr>
        <w:spacing w:after="60" w:before="140"/>
      </w:pPr>
      <w:r>
        <w:rPr>
          <w:rFonts w:ascii="Arial" w:cs="Arial" w:eastAsia="Arial" w:hAnsi="Arial"/>
          <w:b/>
          <w:bCs/>
          <w:color w:val="C8102E"/>
          <w:sz w:val="22"/>
          <w:szCs w:val="22"/>
        </w:rPr>
        <w:t xml:space="preserve">Beat 3 — hardest bug (~60s)</w:t>
      </w:r>
    </w:p>
    <w:p>
      <w:pPr>
        <w:spacing w:after="80" w:line="240"/>
        <w:jc w:val="both"/>
      </w:pPr>
      <w:r>
        <w:rPr>
          <w:rFonts w:ascii="Arial" w:cs="Arial" w:eastAsia="Arial" w:hAnsi="Arial"/>
          <w:b w:val="false"/>
          <w:bCs w:val="false"/>
          <w:i w:val="false"/>
          <w:iCs w:val="false"/>
          <w:color w:val="1A1A1A"/>
          <w:sz w:val="19"/>
          <w:szCs w:val="19"/>
        </w:rPr>
        <w:t xml:space="preserve">Section boundary detection. The same 10-K mentions "Item 7A" inside the body of Item 7A — phrases like "as required by Item 7A of Form 10-K". My first regex picked up that inline reference and gave me a 194-character section that was actually just the tail of the real one. The fix was anchoring the regex on start-of-line, not just on word boundaries. I caught it because the fixture I'd built deliberately had both a table-of-contents entry and a body entry for each item. Building the right fixture mattered more than writing clever code.</w:t>
      </w:r>
    </w:p>
    <w:p>
      <w:pPr>
        <w:spacing w:after="60" w:before="140"/>
      </w:pPr>
      <w:r>
        <w:rPr>
          <w:rFonts w:ascii="Arial" w:cs="Arial" w:eastAsia="Arial" w:hAnsi="Arial"/>
          <w:b/>
          <w:bCs/>
          <w:color w:val="C8102E"/>
          <w:sz w:val="22"/>
          <w:szCs w:val="22"/>
        </w:rPr>
        <w:t xml:space="preserve">Beat 4 — what I'd do with another week (~45s)</w:t>
      </w:r>
    </w:p>
    <w:p>
      <w:pPr>
        <w:spacing w:after="80" w:line="240"/>
        <w:jc w:val="both"/>
      </w:pPr>
      <w:r>
        <w:rPr>
          <w:rFonts w:ascii="Arial" w:cs="Arial" w:eastAsia="Arial" w:hAnsi="Arial"/>
          <w:b w:val="false"/>
          <w:bCs w:val="false"/>
          <w:i w:val="false"/>
          <w:iCs w:val="false"/>
          <w:color w:val="1A1A1A"/>
          <w:sz w:val="19"/>
          <w:szCs w:val="19"/>
        </w:rPr>
        <w:t xml:space="preserve">Three things, in order. One: ingest the last five years per bank instead of just the latest, so we can do year-over-year comparisons. Two: add the FinBERT layer and the sentence-level evidence linking. Three: a heatmap UI showing all 13 banks across all 9 themes for the same period — that's the single visualization that turns this from a parser into an analyst tool. All three are scoped in the PRD.</w:t>
      </w:r>
    </w:p>
    <w:p>
      <w:pPr>
        <w:spacing w:after="60" w:before="140"/>
      </w:pPr>
      <w:r>
        <w:rPr>
          <w:rFonts w:ascii="Arial" w:cs="Arial" w:eastAsia="Arial" w:hAnsi="Arial"/>
          <w:b/>
          <w:bCs/>
          <w:color w:val="C8102E"/>
          <w:sz w:val="22"/>
          <w:szCs w:val="22"/>
        </w:rPr>
        <w:t xml:space="preserve">Beat 5 — the AGI question (~60s)</w:t>
      </w:r>
    </w:p>
    <w:p>
      <w:pPr>
        <w:spacing w:after="80" w:line="240"/>
        <w:jc w:val="both"/>
      </w:pPr>
      <w:r>
        <w:rPr>
          <w:rFonts w:ascii="Arial" w:cs="Arial" w:eastAsia="Arial" w:hAnsi="Arial"/>
          <w:b w:val="false"/>
          <w:bCs w:val="false"/>
          <w:i w:val="false"/>
          <w:iCs w:val="false"/>
          <w:color w:val="1A1A1A"/>
          <w:sz w:val="19"/>
          <w:szCs w:val="19"/>
        </w:rPr>
        <w:t xml:space="preserve">I'll close with the question in the brief: are we at AGI? No. And the platform is actually a useful illustration of why. It looks impressive — it ingests 200-page legal documents and emits structured risk reports — but it has zero understanding of what credit risk </w:t>
      </w:r>
      <w:r>
        <w:rPr>
          <w:rFonts w:ascii="Arial" w:cs="Arial" w:eastAsia="Arial" w:hAnsi="Arial"/>
          <w:b w:val="false"/>
          <w:bCs w:val="false"/>
          <w:i/>
          <w:iCs/>
          <w:color w:val="1A1A1A"/>
          <w:sz w:val="19"/>
          <w:szCs w:val="19"/>
        </w:rPr>
        <w:t xml:space="preserve">is</w:t>
      </w:r>
      <w:r>
        <w:rPr>
          <w:rFonts w:ascii="Arial" w:cs="Arial" w:eastAsia="Arial" w:hAnsi="Arial"/>
          <w:b w:val="false"/>
          <w:bCs w:val="false"/>
          <w:i w:val="false"/>
          <w:iCs w:val="false"/>
          <w:color w:val="1A1A1A"/>
          <w:sz w:val="19"/>
          <w:szCs w:val="19"/>
        </w:rPr>
        <w:t xml:space="preserve">. It just counts. JPMorgan's COiN, doing this at industrial scale, saves 360,000 lawyer-hours a year and is genuinely valuable. It is also genuinely not general intelligence. The honest framing for a finance class: NLP gives us leverage on document-heavy work. Leverage is hugely useful, and it is not the same thing as judgment. The day a model can exercise judgment under uncertainty </w:t>
      </w:r>
      <w:r>
        <w:rPr>
          <w:rFonts w:ascii="Arial" w:cs="Arial" w:eastAsia="Arial" w:hAnsi="Arial"/>
          <w:b w:val="false"/>
          <w:bCs w:val="false"/>
          <w:i/>
          <w:iCs/>
          <w:color w:val="1A1A1A"/>
          <w:sz w:val="19"/>
          <w:szCs w:val="19"/>
        </w:rPr>
        <w:t xml:space="preserve">and be held accountable for its conclusions</w:t>
      </w:r>
      <w:r>
        <w:rPr>
          <w:rFonts w:ascii="Arial" w:cs="Arial" w:eastAsia="Arial" w:hAnsi="Arial"/>
          <w:b w:val="false"/>
          <w:bCs w:val="false"/>
          <w:i w:val="false"/>
          <w:iCs w:val="false"/>
          <w:color w:val="1A1A1A"/>
          <w:sz w:val="19"/>
          <w:szCs w:val="19"/>
        </w:rPr>
        <w:t xml:space="preserve"> is the day the conversation changes. We're not there yet.</w:t>
      </w:r>
    </w:p>
    <w:p>
      <w:pPr>
        <w:spacing w:after="60" w:before="140"/>
      </w:pPr>
      <w:r>
        <w:rPr>
          <w:rFonts w:ascii="Arial" w:cs="Arial" w:eastAsia="Arial" w:hAnsi="Arial"/>
          <w:b/>
          <w:bCs/>
          <w:color w:val="C8102E"/>
          <w:sz w:val="22"/>
          <w:szCs w:val="22"/>
        </w:rPr>
        <w:t xml:space="preserve">If asked: what surprised me</w:t>
      </w:r>
    </w:p>
    <w:p>
      <w:pPr>
        <w:spacing w:after="80" w:line="240"/>
        <w:jc w:val="both"/>
      </w:pPr>
      <w:r>
        <w:rPr>
          <w:rFonts w:ascii="Arial" w:cs="Arial" w:eastAsia="Arial" w:hAnsi="Arial"/>
          <w:b w:val="false"/>
          <w:bCs w:val="false"/>
          <w:i w:val="false"/>
          <w:iCs w:val="false"/>
          <w:color w:val="1A1A1A"/>
          <w:sz w:val="19"/>
          <w:szCs w:val="19"/>
        </w:rPr>
        <w:t xml:space="preserve">How much of the value was in the boring infrastructure work — the bank registry, the source-type routing, the User-Agent contract with EDGAR — and how little was in the analyzer itself. The keyword scorer is 50 lines. The plumbing around it is the actual product.</w:t>
      </w:r>
    </w:p>
    <w:p>
      <w:pPr>
        <w:spacing w:after="60" w:before="140"/>
      </w:pPr>
      <w:r>
        <w:rPr>
          <w:rFonts w:ascii="Arial" w:cs="Arial" w:eastAsia="Arial" w:hAnsi="Arial"/>
          <w:b/>
          <w:bCs/>
          <w:color w:val="C8102E"/>
          <w:sz w:val="22"/>
          <w:szCs w:val="22"/>
        </w:rPr>
        <w:t xml:space="preserve">If asked: what I'd defend if someone pushed back</w:t>
      </w:r>
    </w:p>
    <w:p>
      <w:pPr>
        <w:spacing w:after="80" w:line="240"/>
        <w:jc w:val="both"/>
      </w:pPr>
      <w:r>
        <w:rPr>
          <w:rFonts w:ascii="Arial" w:cs="Arial" w:eastAsia="Arial" w:hAnsi="Arial"/>
          <w:b w:val="false"/>
          <w:bCs w:val="false"/>
          <w:i w:val="false"/>
          <w:iCs w:val="false"/>
          <w:color w:val="1A1A1A"/>
          <w:sz w:val="19"/>
          <w:szCs w:val="19"/>
        </w:rPr>
        <w:t xml:space="preserve">The decision not to use FinBERT in v1. Anyone who's deployed ML in a regulated industry knows the answer to "can you explain this score to a regulator?" matters more than the F1 score on a benchmark. Every score in this platform traces to a list of keywords in a single Python file. That's not a bug, it's the feature.</w:t>
      </w:r>
    </w:p>
    <w:sectPr>
      <w:pgSz w:w="12240" w:h="15840" w:orient="portrait"/>
      <w:pgMar w:top="9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Arial" w:hAnsi="Arial"/>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Disclosure Platform — Write-Up + Debrief</dc:title>
  <dc:creator>SCode Technical Exercise</dc:creator>
  <cp:lastModifiedBy>Un-named</cp:lastModifiedBy>
  <cp:revision>1</cp:revision>
  <dcterms:created xsi:type="dcterms:W3CDTF">2026-04-28T22:23:15.984Z</dcterms:created>
  <dcterms:modified xsi:type="dcterms:W3CDTF">2026-04-28T22:23:15.984Z</dcterms:modified>
</cp:coreProperties>
</file>

<file path=docProps/custom.xml><?xml version="1.0" encoding="utf-8"?>
<Properties xmlns="http://schemas.openxmlformats.org/officeDocument/2006/custom-properties" xmlns:vt="http://schemas.openxmlformats.org/officeDocument/2006/docPropsVTypes"/>
</file>