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Light" w:hAnsi="Calibri Light"/>
          <w:b/>
          <w:color w:val="2B579A"/>
          <w:sz w:val="64"/>
        </w:rPr>
        <w:t>HotelixOS</w:t>
      </w:r>
    </w:p>
    <w:p>
      <w:pPr>
        <w:spacing w:after="480"/>
        <w:jc w:val="center"/>
      </w:pPr>
      <w:r>
        <w:rPr>
          <w:i/>
          <w:color w:val="646464"/>
          <w:sz w:val="28"/>
        </w:rPr>
        <w:t>Plan Complet de Changement d'Architecture ERP</w:t>
        <w:br/>
        <w:t>Multi-Tenant Per-Database avec Conteneurisation Docker</w:t>
      </w:r>
    </w:p>
    <w:p>
      <w:pPr>
        <w:spacing w:after="480"/>
      </w:pPr>
    </w:p>
    <w:p>
      <w:r>
        <w:rPr>
          <w:b/>
        </w:rPr>
        <w:t xml:space="preserve">Destinataire : </w:t>
      </w:r>
      <w:r>
        <w:t>Propriétaire &amp; Équipe de Développement</w:t>
        <w:br/>
      </w:r>
      <w:r>
        <w:rPr>
          <w:b/>
        </w:rPr>
        <w:t xml:space="preserve">Date du Document : </w:t>
      </w:r>
      <w:r>
        <w:t>26 Juin 2026</w:t>
        <w:br/>
      </w:r>
      <w:r>
        <w:rPr>
          <w:b/>
        </w:rPr>
        <w:t xml:space="preserve">Statut : </w:t>
      </w:r>
      <w:r>
        <w:t>Pour Validation / Plan d'implémentation</w:t>
      </w:r>
    </w:p>
    <w:p>
      <w:r>
        <w:t>------------------------------------------------------------------------------------------------------------------------</w:t>
      </w:r>
    </w:p>
    <w:p>
      <w:pPr>
        <w:pStyle w:val="Heading1"/>
        <w:keepNext/>
        <w:spacing w:before="240" w:after="120"/>
        <w:pBdr>
          <w:bottom w:val="single" w:sz="12" w:space="4" w:color="2B579A"/>
        </w:pBdr>
      </w:pPr>
      <w:r>
        <w:rPr>
          <w:rFonts w:ascii="Calibri Light" w:hAnsi="Calibri Light"/>
          <w:color w:val="2B579A"/>
          <w:sz w:val="40"/>
        </w:rPr>
        <w:t>1. Vision Globale de la Nouvelle Architecture</w:t>
      </w:r>
    </w:p>
    <w:p>
      <w:r>
        <w:t>Ce plan décrit la transition du projet de gestion hôtelière Villa Boutanga PMS d'un modèle monolithique à base de données partagée (shared database) vers un modèle ERP modulaire et autonome multi-tenant par base de données (per-database) nommé HotelixOS.</w:t>
      </w:r>
    </w:p>
    <w:p>
      <w:r>
        <w:t>La nouvelle structure sépare les responsabilités en deux projets distincts :</w:t>
      </w:r>
    </w:p>
    <w:p>
      <w:pPr>
        <w:pStyle w:val="ListBullet"/>
      </w:pPr>
      <w:r>
        <w:rPr>
          <w:b/>
        </w:rPr>
        <w:t xml:space="preserve">Dépôt 1 : pms (Administration Globale) : </w:t>
      </w:r>
      <w:r>
        <w:t>Application centrale contenant uniquement le panneau d'administration générale. Elle est structurée autour de deux rôles majeurs : TECH (supervision, activation des modules, monitoring technique) et BUSINESS (vue d'ensemble consolidée pour le Propriétaire). Elle tourne sur une base de données locale SQLite (BD_ADMIN) intégrée pour une légèreté maximale.</w:t>
      </w:r>
    </w:p>
    <w:p>
      <w:pPr>
        <w:pStyle w:val="ListBullet"/>
      </w:pPr>
      <w:r>
        <w:rPr>
          <w:b/>
        </w:rPr>
        <w:t xml:space="preserve">Dépôt 2 : villab (Application Établissement) : </w:t>
      </w:r>
      <w:r>
        <w:t>Template applicatif contenant l'ensemble de la logique de gestion hôtelière opérationnelle (chambres, réservations, caisse, restaurant, boutique, housekeeping). Chaque établissement créé dispose de sa propre base de données PostgreSQL isolée.</w:t>
      </w:r>
    </w:p>
    <w:p>
      <w:pPr>
        <w:pStyle w:val="Heading1"/>
        <w:keepNext/>
        <w:spacing w:before="240" w:after="120"/>
        <w:pBdr>
          <w:bottom w:val="single" w:sz="12" w:space="4" w:color="2B579A"/>
        </w:pBdr>
      </w:pPr>
      <w:r>
        <w:rPr>
          <w:rFonts w:ascii="Calibri Light" w:hAnsi="Calibri Light"/>
          <w:color w:val="2B579A"/>
          <w:sz w:val="40"/>
        </w:rPr>
        <w:t>2. Options de Conteneurisation &amp; Optimisation des Ressources</w:t>
      </w:r>
    </w:p>
    <w:p>
      <w:r>
        <w:t>Sous Windows (via Docker Desktop et WSL2), l'exécution de multiples conteneurs applicatifs (Nginx + PHP-FPM) peut rapidement saturer la mémoire RAM. Nous proposons trois options d'architecture pour le déploiement :</w:t>
      </w:r>
    </w:p>
    <w:tbl>
      <w:tblPr>
        <w:tblStyle w:val="LightShading-Accent1"/>
        <w:tblW w:type="auto" w:w="0"/>
        <w:tblLook w:firstColumn="1" w:firstRow="1" w:lastColumn="0" w:lastRow="0" w:noHBand="0" w:noVBand="1" w:val="04A0"/>
      </w:tblPr>
      <w:tblGrid>
        <w:gridCol w:w="3120"/>
        <w:gridCol w:w="3120"/>
        <w:gridCol w:w="3120"/>
      </w:tblGrid>
      <w:tr>
        <w:tc>
          <w:tcPr>
            <w:tcW w:type="dxa" w:w="3120"/>
            <w:shd w:fill="2B579A"/>
          </w:tcPr>
          <w:p>
            <w:r>
              <w:rPr>
                <w:b/>
                <w:color w:val="FFFFFF"/>
              </w:rPr>
              <w:t>Option</w:t>
            </w:r>
          </w:p>
        </w:tc>
        <w:tc>
          <w:tcPr>
            <w:tcW w:type="dxa" w:w="3120"/>
            <w:shd w:fill="2B579A"/>
          </w:tcPr>
          <w:p>
            <w:r>
              <w:rPr>
                <w:b/>
                <w:color w:val="FFFFFF"/>
              </w:rPr>
              <w:t>Description Technique</w:t>
            </w:r>
          </w:p>
        </w:tc>
        <w:tc>
          <w:tcPr>
            <w:tcW w:type="dxa" w:w="3120"/>
            <w:shd w:fill="2B579A"/>
          </w:tcPr>
          <w:p>
            <w:r>
              <w:rPr>
                <w:b/>
                <w:color w:val="FFFFFF"/>
              </w:rPr>
              <w:t>Consommation RAM / CPU</w:t>
            </w:r>
          </w:p>
        </w:tc>
      </w:tr>
      <w:tr>
        <w:tc>
          <w:tcPr>
            <w:tcW w:type="dxa" w:w="3120"/>
          </w:tcPr>
          <w:p>
            <w:r>
              <w:t>Option A : Isolation Totale</w:t>
            </w:r>
          </w:p>
        </w:tc>
        <w:tc>
          <w:tcPr>
            <w:tcW w:type="dxa" w:w="3120"/>
          </w:tcPr>
          <w:p>
            <w:r>
              <w:t>1 conteneur App (Laravel Nginx/PHP-FPM) + 1 conteneur BD (PostgreSQL) par établissement.</w:t>
            </w:r>
          </w:p>
        </w:tc>
        <w:tc>
          <w:tcPr>
            <w:tcW w:type="dxa" w:w="3120"/>
          </w:tcPr>
          <w:p>
            <w:r>
              <w:t>Critique (~300-500 Mo par établissement. Soit ~2.5 Go pour 5 établissements).</w:t>
            </w:r>
          </w:p>
        </w:tc>
      </w:tr>
      <w:tr>
        <w:tc>
          <w:tcPr>
            <w:tcW w:type="dxa" w:w="3120"/>
          </w:tcPr>
          <w:p>
            <w:r>
              <w:t>Option B : Mutualisation de l'App (Recommandée)</w:t>
            </w:r>
          </w:p>
        </w:tc>
        <w:tc>
          <w:tcPr>
            <w:tcW w:type="dxa" w:w="3120"/>
          </w:tcPr>
          <w:p>
            <w:r>
              <w:t>1 seul conteneur App unique gérant tous les établissements. Laravel commute la connexion DB dynamiquement en fonction du domaine (ex: etab1.local).</w:t>
            </w:r>
          </w:p>
        </w:tc>
        <w:tc>
          <w:tcPr>
            <w:tcW w:type="dxa" w:w="3120"/>
          </w:tcPr>
          <w:p>
            <w:r>
              <w:t>Minimale (1 seul conteneur applicatif tourne en permanence, peu importe le nombre d'établissements).</w:t>
            </w:r>
          </w:p>
        </w:tc>
      </w:tr>
      <w:tr>
        <w:tc>
          <w:tcPr>
            <w:tcW w:type="dxa" w:w="3120"/>
          </w:tcPr>
          <w:p>
            <w:r>
              <w:t>Option C : Groupement par Propriétaire</w:t>
            </w:r>
          </w:p>
        </w:tc>
        <w:tc>
          <w:tcPr>
            <w:tcW w:type="dxa" w:w="3120"/>
          </w:tcPr>
          <w:p>
            <w:r>
              <w:t>1 conteneur App par Propriétaire. Ce conteneur gère toutes les bases de données des établissements de ce propriétaire spécifique.</w:t>
            </w:r>
          </w:p>
        </w:tc>
        <w:tc>
          <w:tcPr>
            <w:tcW w:type="dxa" w:w="3120"/>
          </w:tcPr>
          <w:p>
            <w:r>
              <w:t>Optimisée (isolation stricte entre clients/propriétaires différents, mutualisation pour le multi-établissements).</w:t>
            </w:r>
          </w:p>
        </w:tc>
      </w:tr>
    </w:tbl>
    <w:p>
      <w:pPr>
        <w:spacing w:after="240"/>
      </w:pPr>
    </w:p>
    <w:p>
      <w:pPr>
        <w:pStyle w:val="Heading1"/>
        <w:keepNext/>
        <w:spacing w:before="240" w:after="120"/>
        <w:pBdr>
          <w:bottom w:val="single" w:sz="12" w:space="4" w:color="2B579A"/>
        </w:pBdr>
      </w:pPr>
      <w:r>
        <w:rPr>
          <w:rFonts w:ascii="Calibri Light" w:hAnsi="Calibri Light"/>
          <w:color w:val="2B579A"/>
          <w:sz w:val="40"/>
        </w:rPr>
        <w:t>3. Mécanisme de Déploiement &amp; Provisioning</w:t>
      </w:r>
    </w:p>
    <w:p>
      <w:r>
        <w:t>Lorsqu'un administrateur TECH crée un nouvel établissement dans le panneau d'administration pms, le flux d'automatisation suivant est déclenché en arrière-plan :</w:t>
      </w:r>
    </w:p>
    <w:p>
      <w:pPr>
        <w:pStyle w:val="ListNumber"/>
      </w:pPr>
      <w:r>
        <w:rPr>
          <w:b/>
        </w:rPr>
        <w:t xml:space="preserve">Vérification locale : </w:t>
      </w:r>
      <w:r>
        <w:t>L'Admin vérifie si le répertoire contenant le template applicatif villab existe localement sur le disque.</w:t>
      </w:r>
    </w:p>
    <w:p>
      <w:pPr>
        <w:pStyle w:val="ListNumber"/>
      </w:pPr>
      <w:r>
        <w:rPr>
          <w:b/>
        </w:rPr>
        <w:t xml:space="preserve">Téléchargement GitHub (si absent) : </w:t>
      </w:r>
      <w:r>
        <w:t>Si le template n'est pas présent localement, l'Admin lance un processus de clonage (git clone) depuis le dépôt privé GitHub.</w:t>
      </w:r>
    </w:p>
    <w:p>
      <w:pPr>
        <w:pStyle w:val="ListNumber"/>
      </w:pPr>
      <w:r>
        <w:rPr>
          <w:b/>
        </w:rPr>
        <w:t xml:space="preserve">Création de la base de données : </w:t>
      </w:r>
      <w:r>
        <w:t>Un script système crée une nouvelle base de données isolée PostgreSQL pour le nouvel établissement.</w:t>
      </w:r>
    </w:p>
    <w:p>
      <w:pPr>
        <w:pStyle w:val="ListNumber"/>
      </w:pPr>
      <w:r>
        <w:rPr>
          <w:b/>
        </w:rPr>
        <w:t xml:space="preserve">Configuration et initialisation : </w:t>
      </w:r>
      <w:r>
        <w:t>Les variables d'environnement (.env) sont configurées dynamiquement (ports, nom de BD, clé applicative), puis les migrations et seeders de base de données (migrations Laravel de l'établissement) sont joués.</w:t>
      </w:r>
    </w:p>
    <w:p>
      <w:pPr>
        <w:pStyle w:val="Heading1"/>
        <w:keepNext/>
        <w:spacing w:before="240" w:after="120"/>
        <w:pBdr>
          <w:bottom w:val="single" w:sz="12" w:space="4" w:color="2B579A"/>
        </w:pBdr>
      </w:pPr>
      <w:r>
        <w:rPr>
          <w:rFonts w:ascii="Calibri Light" w:hAnsi="Calibri Light"/>
          <w:color w:val="2B579A"/>
          <w:sz w:val="40"/>
        </w:rPr>
        <w:t>4. Activation des Modules : Site Web et API</w:t>
      </w:r>
    </w:p>
    <w:p>
      <w:r>
        <w:t>Pour chaque établissement, l'administration générale permet d'activer ou désactiver des fonctionnalités sous forme de modules. Deux modules clés suivent des dépendances strictes :</w:t>
      </w:r>
    </w:p>
    <w:p>
      <w:pPr>
        <w:pStyle w:val="ListBullet"/>
      </w:pPr>
      <w:r>
        <w:rPr>
          <w:b/>
        </w:rPr>
        <w:t xml:space="preserve">Module Site Web (SvelteKit) : </w:t>
      </w:r>
      <w:r>
        <w:t>Génère le site internet vitrine pour l'établissement. L'activation de ce module active obligatoirement le module API de l'établissement, car le frontend SvelteKit consomme les données via l'API Laravel.</w:t>
      </w:r>
    </w:p>
    <w:p>
      <w:pPr>
        <w:pStyle w:val="ListBullet"/>
      </w:pPr>
      <w:r>
        <w:rPr>
          <w:b/>
        </w:rPr>
        <w:t xml:space="preserve">Module API (Laravel API) : </w:t>
      </w:r>
      <w:r>
        <w:t>Expose les points de terminaison de l'établissement. Il peut être activé de manière autonome (sans le site web) si l'établissement souhaite simplement utiliser l'API pour des besoins internes ou d'autres applications.</w:t>
      </w:r>
    </w:p>
    <w:p>
      <w:pPr>
        <w:pStyle w:val="Heading1"/>
        <w:keepNext/>
        <w:spacing w:before="240" w:after="120"/>
        <w:pBdr>
          <w:bottom w:val="single" w:sz="12" w:space="4" w:color="2B579A"/>
        </w:pBdr>
      </w:pPr>
      <w:r>
        <w:rPr>
          <w:rFonts w:ascii="Calibri Light" w:hAnsi="Calibri Light"/>
          <w:color w:val="2B579A"/>
          <w:sz w:val="40"/>
        </w:rPr>
        <w:t>5. Plan d'Action par Étapes</w:t>
      </w:r>
    </w:p>
    <w:p>
      <w:r>
        <w:t>Pour mener à bien ce changement sans partir de zéro, nous préconisons l'enchaînement suivant :</w:t>
      </w:r>
    </w:p>
    <w:p>
      <w:pPr>
        <w:pStyle w:val="ListBullet"/>
      </w:pPr>
      <w:r>
        <w:rPr>
          <w:b/>
        </w:rPr>
        <w:t xml:space="preserve">Phase 1 - Nettoyage du projet pms : </w:t>
      </w:r>
      <w:r>
        <w:t>Suppression de tous les modules hôteliers du dépôt actuel, passage à SQLite pour la configuration centrale et création des vues d'administration (TECH &amp; BUSINESS).</w:t>
      </w:r>
    </w:p>
    <w:p>
      <w:pPr>
        <w:pStyle w:val="ListBullet"/>
      </w:pPr>
      <w:r>
        <w:rPr>
          <w:b/>
        </w:rPr>
        <w:t xml:space="preserve">Phase 2 - Nettoyage de villab : </w:t>
      </w:r>
      <w:r>
        <w:t>Suppression du trait BelongsToTenant et de la colonne tenant_id pour rendre le projet indépendant des structures multi-tenants centralisées.</w:t>
      </w:r>
    </w:p>
    <w:p>
      <w:pPr>
        <w:pStyle w:val="ListBullet"/>
      </w:pPr>
      <w:r>
        <w:rPr>
          <w:b/>
        </w:rPr>
        <w:t xml:space="preserve">Phase 3 - Scripts d'orchestration Docker : </w:t>
      </w:r>
      <w:r>
        <w:t>Écriture de scripts PowerShell pour la création automatique de bases de données, le lancement de conteneurs de base de données PostgreSQL, et le paramétrage des conteneurs applicatifs.</w:t>
      </w:r>
    </w:p>
    <w:p>
      <w:pPr>
        <w:pStyle w:val="ListBullet"/>
      </w:pPr>
      <w:r>
        <w:rPr>
          <w:b/>
        </w:rPr>
        <w:t xml:space="preserve">Phase 4 - Intégration PHP : </w:t>
      </w:r>
      <w:r>
        <w:t>Création des services PHP (DockerOrchestrator, TenantDatabaseConnector) dans pms pour exécuter les scripts et pour interroger dynamiquement les bases de données des établissements afin d'alimenter le tableau de bord BUSINESS.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HotelixOS — Plan d'Architecture ERP | 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