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36116">
      <w:r>
        <w:br w:type="textWrapping"/>
      </w:r>
      <w:r>
        <w:br w:type="textWrapping"/>
      </w:r>
      <w:r>
        <w:br w:type="textWrapping"/>
      </w:r>
    </w:p>
    <w:p w14:paraId="0DD8DB00">
      <w:pPr>
        <w:jc w:val="center"/>
      </w:pPr>
      <w:r>
        <w:rPr>
          <w:b/>
          <w:sz w:val="52"/>
        </w:rPr>
        <w:t>Planification du Raccordement Électrique de Bâtiments</w:t>
      </w:r>
      <w:r>
        <w:rPr>
          <w:b/>
          <w:sz w:val="52"/>
        </w:rPr>
        <w:br w:type="textWrapping"/>
      </w:r>
    </w:p>
    <w:p w14:paraId="1B451480">
      <w:pPr>
        <w:jc w:val="center"/>
      </w:pPr>
      <w:r>
        <w:rPr>
          <w:sz w:val="32"/>
        </w:rPr>
        <w:t>Rapport Technique et Méthodologique (V2 mise à jour)</w:t>
      </w:r>
    </w:p>
    <w:p w14:paraId="10B71333">
      <w:r>
        <w:br w:type="textWrapping"/>
      </w:r>
    </w:p>
    <w:p w14:paraId="4850BAA0">
      <w:pPr>
        <w:jc w:val="center"/>
      </w:pPr>
      <w:r>
        <w:t>Contributeurs :</w:t>
      </w:r>
      <w:r>
        <w:br w:type="textWrapping"/>
      </w:r>
      <w:r>
        <w:t>CHERIFI Yacine</w:t>
      </w:r>
      <w:r>
        <w:br w:type="textWrapping"/>
      </w:r>
      <w:r>
        <w:t>SAICHI Madjid</w:t>
      </w:r>
      <w:r>
        <w:br w:type="textWrapping"/>
      </w:r>
      <w:r>
        <w:t>AKILAL Adrien</w:t>
      </w:r>
      <w:r>
        <w:br w:type="textWrapping"/>
      </w:r>
      <w:r>
        <w:t>BOUNAB Abdenou</w:t>
      </w:r>
    </w:p>
    <w:p w14:paraId="06F62223">
      <w:pPr>
        <w:jc w:val="center"/>
      </w:pPr>
      <w:r>
        <w:rPr>
          <w:b/>
        </w:rPr>
        <w:br w:type="textWrapping"/>
      </w:r>
      <w:r>
        <w:rPr>
          <w:b/>
        </w:rPr>
        <w:t>Date : October 2025</w:t>
      </w:r>
    </w:p>
    <w:p w14:paraId="274AFBFF">
      <w:r>
        <w:br w:type="page"/>
      </w:r>
    </w:p>
    <w:p w14:paraId="52A7D406">
      <w:pPr>
        <w:rPr>
          <w:b/>
          <w:bCs/>
          <w:color w:val="0000FF"/>
        </w:rPr>
      </w:pPr>
      <w:bookmarkStart w:id="0" w:name="_Toc3612"/>
      <w:r>
        <w:rPr>
          <w:rFonts w:asciiTheme="majorHAnsi" w:hAnsiTheme="majorHAnsi" w:eastAsiaTheme="majorEastAsia" w:cstheme="majorBidi"/>
          <w:b/>
          <w:bCs/>
          <w:color w:val="376092" w:themeColor="accent1" w:themeShade="BF"/>
          <w:sz w:val="28"/>
          <w:szCs w:val="28"/>
          <w:lang w:val="en-US" w:eastAsia="en-US" w:bidi="ar-SA"/>
        </w:rPr>
        <w:t>Introduction</w:t>
      </w:r>
      <w:bookmarkEnd w:id="0"/>
    </w:p>
    <w:p w14:paraId="78505E99"/>
    <w:p w14:paraId="2C709D77">
      <w:r>
        <w:t>Ce projet vise à planifier le raccordement électrique d’un ensemble de bâtiments de manière optimale, en prenant en compte les coûts de réparation des infrastructures, les temps de travail, la disponibilité des ouvriers (jusqu’à 4 par infrastructure) et la priorisation stratégique de certains bâtiments critiques (notamment l’hôpital).</w:t>
      </w:r>
    </w:p>
    <w:p w14:paraId="7F212761">
      <w:pPr>
        <w:pStyle w:val="2"/>
        <w:rPr>
          <w:rFonts w:asciiTheme="majorHAnsi" w:hAnsiTheme="majorHAnsi" w:eastAsiaTheme="majorEastAsia" w:cstheme="majorBidi"/>
          <w:b/>
          <w:bCs/>
          <w:color w:val="376092" w:themeColor="accent1" w:themeShade="BF"/>
          <w:sz w:val="28"/>
          <w:szCs w:val="28"/>
          <w:lang w:val="en-US" w:eastAsia="en-US" w:bidi="ar-SA"/>
        </w:rPr>
      </w:pPr>
      <w:r>
        <w:rPr>
          <w:rFonts w:asciiTheme="majorHAnsi" w:hAnsiTheme="majorHAnsi" w:eastAsiaTheme="majorEastAsia" w:cstheme="majorBidi"/>
          <w:b/>
          <w:bCs/>
          <w:color w:val="376092" w:themeColor="accent1" w:themeShade="BF"/>
          <w:sz w:val="28"/>
          <w:szCs w:val="28"/>
          <w:lang w:val="en-US" w:eastAsia="en-US" w:bidi="ar-SA"/>
        </w:rPr>
        <w:t>Inte</w:t>
      </w:r>
      <w:r>
        <w:rPr>
          <w:rFonts w:asciiTheme="majorHAnsi" w:hAnsiTheme="majorHAnsi" w:eastAsiaTheme="majorEastAsia" w:cstheme="majorBidi"/>
          <w:b/>
          <w:bCs/>
          <w:color w:val="376092" w:themeColor="accent1" w:themeShade="BF"/>
          <w:sz w:val="28"/>
          <w:szCs w:val="28"/>
          <w:lang w:val="en-US" w:eastAsia="en-US" w:bidi="ar-SA"/>
        </w:rPr>
        <w:t>rprétation globale du réseau :</w:t>
      </w:r>
    </w:p>
    <w:p w14:paraId="74D4D26E">
      <w:r>
        <w:br w:type="textWrapping"/>
      </w:r>
      <w:r>
        <w:t>- Le réseau étudié totalise 179 km d’infrastructures électriques.</w:t>
      </w:r>
      <w:r>
        <w:br w:type="textWrapping"/>
      </w:r>
      <w:r>
        <w:t>- Seulement 5,6 km (3 %) nécessitent une intervention (“à remplacer”) → réseau globalement en bon état structurel.</w:t>
      </w:r>
      <w:r>
        <w:br w:type="textWrapping"/>
      </w:r>
      <w:r>
        <w:t>- Ces 5,6 km concentrent 2,7 % des coûts et 2,6 % du temps total (travaux très localisés).</w:t>
      </w:r>
      <w:r>
        <w:br w:type="textWrapping"/>
      </w:r>
      <w:r>
        <w:t>- Les coûts moyens sont élevés (~810 €/m), reflétant la prédominance d’infrastructures enterrées (fourreau).</w:t>
      </w:r>
      <w:r>
        <w:br w:type="textWrapping"/>
      </w:r>
      <w:r>
        <w:t>- Les temps cumulés dépassent 151 000 h (~19 000 journées d’un ouvrier) — répartissables entre équipes.</w:t>
      </w:r>
    </w:p>
    <w:p w14:paraId="31BE1745">
      <w:pPr>
        <w:pStyle w:val="2"/>
        <w:numPr>
          <w:numId w:val="0"/>
        </w:numPr>
      </w:pPr>
      <w:bookmarkStart w:id="1" w:name="_Toc32099"/>
      <w:r>
        <w:t>Métrique de priorisation et plan glouton</w:t>
      </w:r>
      <w:bookmarkEnd w:id="1"/>
    </w:p>
    <w:p w14:paraId="137D4B5C">
      <w:pPr>
        <w:numPr>
          <w:numId w:val="0"/>
        </w:numPr>
      </w:pPr>
    </w:p>
    <w:p w14:paraId="100D37C7">
      <w:r>
        <w:t>Chaque bâtiment reçoit un score de priorité basé sur des critères pondérés (normalisés 0–1) combinés dans une formule de score inversée (plus petit score = plus prioritaire).</w:t>
      </w:r>
    </w:p>
    <w:tbl>
      <w:tblPr>
        <w:tblStyle w:val="37"/>
        <w:tblW w:w="0" w:type="auto"/>
        <w:tblInd w:w="0" w:type="dxa"/>
        <w:tblLayout w:type="autofit"/>
        <w:tblCellMar>
          <w:top w:w="0" w:type="dxa"/>
          <w:left w:w="108" w:type="dxa"/>
          <w:bottom w:w="0" w:type="dxa"/>
          <w:right w:w="108" w:type="dxa"/>
        </w:tblCellMar>
      </w:tblPr>
      <w:tblGrid>
        <w:gridCol w:w="2880"/>
        <w:gridCol w:w="2880"/>
        <w:gridCol w:w="2880"/>
      </w:tblGrid>
      <w:tr w14:paraId="584F5A3D">
        <w:tblPrEx>
          <w:tblCellMar>
            <w:top w:w="0" w:type="dxa"/>
            <w:left w:w="108" w:type="dxa"/>
            <w:bottom w:w="0" w:type="dxa"/>
            <w:right w:w="108" w:type="dxa"/>
          </w:tblCellMar>
        </w:tblPrEx>
        <w:tc>
          <w:tcPr>
            <w:tcW w:w="2880" w:type="dxa"/>
          </w:tcPr>
          <w:p w14:paraId="7829B4E1">
            <w:r>
              <w:t>Facteur</w:t>
            </w:r>
          </w:p>
        </w:tc>
        <w:tc>
          <w:tcPr>
            <w:tcW w:w="2880" w:type="dxa"/>
          </w:tcPr>
          <w:p w14:paraId="7D4C5483">
            <w:r>
              <w:t>Description</w:t>
            </w:r>
          </w:p>
        </w:tc>
        <w:tc>
          <w:tcPr>
            <w:tcW w:w="2880" w:type="dxa"/>
          </w:tcPr>
          <w:p w14:paraId="5C7CDF5F">
            <w:r>
              <w:t>Poids</w:t>
            </w:r>
          </w:p>
        </w:tc>
      </w:tr>
      <w:tr w14:paraId="78B4F89D">
        <w:tblPrEx>
          <w:tblCellMar>
            <w:top w:w="0" w:type="dxa"/>
            <w:left w:w="108" w:type="dxa"/>
            <w:bottom w:w="0" w:type="dxa"/>
            <w:right w:w="108" w:type="dxa"/>
          </w:tblCellMar>
        </w:tblPrEx>
        <w:tc>
          <w:tcPr>
            <w:tcW w:w="2880" w:type="dxa"/>
          </w:tcPr>
          <w:p w14:paraId="78BEF952">
            <w:r>
              <w:t>Coût total (cost_cur)</w:t>
            </w:r>
          </w:p>
        </w:tc>
        <w:tc>
          <w:tcPr>
            <w:tcW w:w="2880" w:type="dxa"/>
          </w:tcPr>
          <w:p w14:paraId="5C948683">
            <w:r>
              <w:t>Coût actuel du raccordement des infrastructures liées</w:t>
            </w:r>
          </w:p>
        </w:tc>
        <w:tc>
          <w:tcPr>
            <w:tcW w:w="2880" w:type="dxa"/>
          </w:tcPr>
          <w:p w14:paraId="32F0A017">
            <w:r>
              <w:t>-</w:t>
            </w:r>
          </w:p>
        </w:tc>
      </w:tr>
      <w:tr w14:paraId="1B8CD2C5">
        <w:tblPrEx>
          <w:tblCellMar>
            <w:top w:w="0" w:type="dxa"/>
            <w:left w:w="108" w:type="dxa"/>
            <w:bottom w:w="0" w:type="dxa"/>
            <w:right w:w="108" w:type="dxa"/>
          </w:tblCellMar>
        </w:tblPrEx>
        <w:tc>
          <w:tcPr>
            <w:tcW w:w="2880" w:type="dxa"/>
          </w:tcPr>
          <w:p w14:paraId="3D8AECC2">
            <w:r>
              <w:t>Temps total (time_cur_h)</w:t>
            </w:r>
          </w:p>
        </w:tc>
        <w:tc>
          <w:tcPr>
            <w:tcW w:w="2880" w:type="dxa"/>
          </w:tcPr>
          <w:p w14:paraId="4BF72CD7">
            <w:r>
              <w:t>Temps homme total nécessaire</w:t>
            </w:r>
          </w:p>
        </w:tc>
        <w:tc>
          <w:tcPr>
            <w:tcW w:w="2880" w:type="dxa"/>
          </w:tcPr>
          <w:p w14:paraId="378E21C4">
            <w:r>
              <w:t>-</w:t>
            </w:r>
          </w:p>
        </w:tc>
      </w:tr>
      <w:tr w14:paraId="4EDCE163">
        <w:tblPrEx>
          <w:tblCellMar>
            <w:top w:w="0" w:type="dxa"/>
            <w:left w:w="108" w:type="dxa"/>
            <w:bottom w:w="0" w:type="dxa"/>
            <w:right w:w="108" w:type="dxa"/>
          </w:tblCellMar>
        </w:tblPrEx>
        <w:tc>
          <w:tcPr>
            <w:tcW w:w="2880" w:type="dxa"/>
          </w:tcPr>
          <w:p w14:paraId="119C665E">
            <w:r>
              <w:t>Nombre de prises (prises)</w:t>
            </w:r>
          </w:p>
        </w:tc>
        <w:tc>
          <w:tcPr>
            <w:tcW w:w="2880" w:type="dxa"/>
          </w:tcPr>
          <w:p w14:paraId="629DAF4E">
            <w:r>
              <w:t>Utilité collective du bâtiment raccordé</w:t>
            </w:r>
          </w:p>
        </w:tc>
        <w:tc>
          <w:tcPr>
            <w:tcW w:w="2880" w:type="dxa"/>
          </w:tcPr>
          <w:p w14:paraId="2262B15C">
            <w:r>
              <w:t>+</w:t>
            </w:r>
          </w:p>
        </w:tc>
      </w:tr>
      <w:tr w14:paraId="7F76B36E">
        <w:tblPrEx>
          <w:tblCellMar>
            <w:top w:w="0" w:type="dxa"/>
            <w:left w:w="108" w:type="dxa"/>
            <w:bottom w:w="0" w:type="dxa"/>
            <w:right w:w="108" w:type="dxa"/>
          </w:tblCellMar>
        </w:tblPrEx>
        <w:tc>
          <w:tcPr>
            <w:tcW w:w="2880" w:type="dxa"/>
          </w:tcPr>
          <w:p w14:paraId="1DF44F7D">
            <w:r>
              <w:t>Taux d’occupation (occ_rate)</w:t>
            </w:r>
          </w:p>
        </w:tc>
        <w:tc>
          <w:tcPr>
            <w:tcW w:w="2880" w:type="dxa"/>
          </w:tcPr>
          <w:p w14:paraId="2ED23CD4">
            <w:r>
              <w:t>Impact social/économique</w:t>
            </w:r>
          </w:p>
        </w:tc>
        <w:tc>
          <w:tcPr>
            <w:tcW w:w="2880" w:type="dxa"/>
          </w:tcPr>
          <w:p w14:paraId="6E47CFA8">
            <w:r>
              <w:t>+</w:t>
            </w:r>
          </w:p>
        </w:tc>
      </w:tr>
      <w:tr w14:paraId="1864EE58">
        <w:tblPrEx>
          <w:tblCellMar>
            <w:top w:w="0" w:type="dxa"/>
            <w:left w:w="108" w:type="dxa"/>
            <w:bottom w:w="0" w:type="dxa"/>
            <w:right w:w="108" w:type="dxa"/>
          </w:tblCellMar>
        </w:tblPrEx>
        <w:tc>
          <w:tcPr>
            <w:tcW w:w="2880" w:type="dxa"/>
          </w:tcPr>
          <w:p w14:paraId="6E112899">
            <w:r>
              <w:t>Catégorie (type_batiment)</w:t>
            </w:r>
          </w:p>
        </w:tc>
        <w:tc>
          <w:tcPr>
            <w:tcW w:w="2880" w:type="dxa"/>
          </w:tcPr>
          <w:p w14:paraId="37BE51D9">
            <w:r>
              <w:t>Priorité explicite (hôpital, école)</w:t>
            </w:r>
          </w:p>
        </w:tc>
        <w:tc>
          <w:tcPr>
            <w:tcW w:w="2880" w:type="dxa"/>
          </w:tcPr>
          <w:p w14:paraId="0A82C195">
            <w:r>
              <w:t>++</w:t>
            </w:r>
          </w:p>
        </w:tc>
      </w:tr>
    </w:tbl>
    <w:p w14:paraId="219F4022"/>
    <w:p w14:paraId="5DE66AC5">
      <w:r>
        <w:t>Plan glouton (plan_glouton.csv) :</w:t>
      </w:r>
    </w:p>
    <w:p w14:paraId="27ADDCC1">
      <w:r>
        <w:br w:type="textWrapping"/>
      </w:r>
      <w:r>
        <w:t>- Difficulté(infra) = longueur / nombre de bâtiments raccordés (mesure la mutualisation).</w:t>
      </w:r>
      <w:r>
        <w:br w:type="textWrapping"/>
      </w:r>
      <w:r>
        <w:t>- Difficulté(bâtiment) = somme des difficultés des infras associées.</w:t>
      </w:r>
      <w:r>
        <w:br w:type="textWrapping"/>
      </w:r>
      <w:r>
        <w:t>Il priorise les bâtiments faciles (faible difficulté) tout en réparant leurs infras associées, ce qui accélère la transformation globale. Les premières lignes du fichier représentent les 'gagnants' (faible coût marginal, fort levier). Les derniers correspondent aux cas isolés/complexes (faible mutualisation).</w:t>
      </w:r>
      <w:r>
        <w:br w:type="textWrapping"/>
      </w:r>
    </w:p>
    <w:p w14:paraId="7DE66AA3">
      <w:pPr>
        <w:pStyle w:val="2"/>
      </w:pPr>
      <w:bookmarkStart w:id="2" w:name="_Toc10969"/>
      <w:r>
        <w:t>Architecture du pipeline de planification électrique</w:t>
      </w:r>
      <w:bookmarkEnd w:id="2"/>
    </w:p>
    <w:p w14:paraId="31DD66EA">
      <w:pPr>
        <w:rPr>
          <w:b/>
          <w:bCs/>
        </w:rPr>
      </w:pPr>
      <w:r>
        <w:t>```</w:t>
      </w:r>
      <w:r>
        <w:br w:type="textWrapping"/>
      </w:r>
      <w:r>
        <w:t>Planification-du-raccordement-électrique-de-bâtiments/</w:t>
      </w:r>
      <w:r>
        <w:br w:type="textWrapping"/>
      </w:r>
      <w:r>
        <w:t>│</w:t>
      </w:r>
      <w:r>
        <w:br w:type="textWrapping"/>
      </w:r>
      <w:r>
        <w:t>├─ run.py                               ← point d’entrée principal (exécution du pipeline)</w:t>
      </w:r>
      <w:r>
        <w:br w:type="textWrapping"/>
      </w:r>
      <w:r>
        <w:t>│</w:t>
      </w:r>
      <w:r>
        <w:br w:type="textWrapping"/>
      </w:r>
      <w:r>
        <w:t>├─ configs/</w:t>
      </w:r>
      <w:r>
        <w:br w:type="textWrapping"/>
      </w:r>
      <w:r>
        <w:t>│   └─ costs.yaml                        ← barèmes de coûts et durées par type d’infrastructure</w:t>
      </w:r>
      <w:r>
        <w:br w:type="textWrapping"/>
      </w:r>
      <w:r>
        <w:t>│</w:t>
      </w:r>
      <w:r>
        <w:br w:type="textWrapping"/>
      </w:r>
      <w:r>
        <w:t>├─ data/</w:t>
      </w:r>
      <w:r>
        <w:br w:type="textWrapping"/>
      </w:r>
      <w:r>
        <w:t>│   ├─ inputs/                           ← fichiers bruts (Excel + CSV)</w:t>
      </w:r>
      <w:r>
        <w:br w:type="textWrapping"/>
      </w:r>
      <w:r>
        <w:t>│   │    ├─ reseau_en_arbre.xlsx</w:t>
      </w:r>
      <w:r>
        <w:br w:type="textWrapping"/>
      </w:r>
      <w:r>
        <w:t>│   │    ├─ batiments.csv</w:t>
      </w:r>
      <w:r>
        <w:br w:type="textWrapping"/>
      </w:r>
      <w:r>
        <w:t>│   │    ├─ infra.csv</w:t>
      </w:r>
      <w:r>
        <w:br w:type="textWrapping"/>
      </w:r>
      <w:r>
        <w:t>│   │    └─ travaux.csv (optionnel)</w:t>
      </w:r>
      <w:r>
        <w:br w:type="textWrapping"/>
      </w:r>
      <w:r>
        <w:t>│   ├─ staging/                          ← sorties intermédiaires (après nettoyage &amp; enrichissement)</w:t>
      </w:r>
      <w:r>
        <w:br w:type="textWrapping"/>
      </w:r>
      <w:r>
        <w:t>│   └─ outputs/                          ← résultats finaux du pipeline (plans, phases, work orders)</w:t>
      </w:r>
      <w:r>
        <w:br w:type="textWrapping"/>
      </w:r>
      <w:r>
        <w:t>│</w:t>
      </w:r>
      <w:r>
        <w:br w:type="textWrapping"/>
      </w:r>
      <w:r>
        <w:t>├─ src/</w:t>
      </w:r>
      <w:r>
        <w:br w:type="textWrapping"/>
      </w:r>
      <w:r>
        <w:t>│   ├─ ingestion/                        ← ingestion, nettoyage et synchronisation</w:t>
      </w:r>
      <w:r>
        <w:br w:type="textWrapping"/>
      </w:r>
      <w:r>
        <w:t>│   │    ├─ readers.py                   ← lecture CSV/XLSX + répertoires d’E/S</w:t>
      </w:r>
      <w:r>
        <w:br w:type="textWrapping"/>
      </w:r>
      <w:r>
        <w:t>│   │    ├─ cleaner.py                   ← harmonisation des colonnes + jointures</w:t>
      </w:r>
      <w:r>
        <w:br w:type="textWrapping"/>
      </w:r>
      <w:r>
        <w:t>│   │    └─ syncer.py                    ← ajustement avec fichiers métier ("travaux.csv")</w:t>
      </w:r>
      <w:r>
        <w:br w:type="textWrapping"/>
      </w:r>
      <w:r>
        <w:t>│   │</w:t>
      </w:r>
      <w:r>
        <w:br w:type="textWrapping"/>
      </w:r>
      <w:r>
        <w:t>│   ├─ preparation/                      ← enrichissement des données et préparation analytique</w:t>
      </w:r>
      <w:r>
        <w:br w:type="textWrapping"/>
      </w:r>
      <w:r>
        <w:t>│   │    ├─ enrichments.py               ← calcul des coûts, durées, flags (a_reparer, etc.)</w:t>
      </w:r>
      <w:r>
        <w:br w:type="textWrapping"/>
      </w:r>
      <w:r>
        <w:t>│   │    └─ buildings_priority.py        ← calcul des priorités bâtiments (hôpital, école, etc.)</w:t>
      </w:r>
      <w:r>
        <w:br w:type="textWrapping"/>
      </w:r>
      <w:r>
        <w:t>│   │</w:t>
      </w:r>
      <w:r>
        <w:br w:type="textWrapping"/>
      </w:r>
      <w:r>
        <w:t>│   ├─ analytics/                        ← logique d’analyse et d’optimisation</w:t>
      </w:r>
      <w:r>
        <w:br w:type="textWrapping"/>
      </w:r>
      <w:r>
        <w:t>│   │    ├─ baselines.py                 ← calcul des KPIs globaux (longueurs, coûts, temps)</w:t>
      </w:r>
      <w:r>
        <w:br w:type="textWrapping"/>
      </w:r>
      <w:r>
        <w:t>│   │    ├─ plan_greedy.py               ← planification gloutonne (priorisation des bâtiments)</w:t>
      </w:r>
      <w:r>
        <w:br w:type="textWrapping"/>
      </w:r>
      <w:r>
        <w:t>│   │    └─ work_organizer.py            ← organisation concrète des travaux (phases, équipes)</w:t>
      </w:r>
      <w:r>
        <w:br w:type="textWrapping"/>
      </w:r>
      <w:r>
        <w:t>│   │</w:t>
      </w:r>
      <w:r>
        <w:br w:type="textWrapping"/>
      </w:r>
      <w:r>
        <w:t>│   ├─ exports/                          ← fonctions de sauvegarde/export</w:t>
      </w:r>
      <w:r>
        <w:br w:type="textWrapping"/>
      </w:r>
      <w:r>
        <w:t>│   │    └─ writers.py                   ← export CSV/JSON/GeoJSON avec timestamp</w:t>
      </w:r>
      <w:r>
        <w:br w:type="textWrapping"/>
      </w:r>
      <w:r>
        <w:t>│   │</w:t>
      </w:r>
      <w:r>
        <w:br w:type="textWrapping"/>
      </w:r>
      <w:r>
        <w:t>│   ├─ orchestration/                    ← orchestrateur principal</w:t>
      </w:r>
      <w:r>
        <w:br w:type="textWrapping"/>
      </w:r>
      <w:r>
        <w:t>│   │    └─ pipeline.py                  ← exécution séquentielle de toutes les étapes du projet</w:t>
      </w:r>
      <w:r>
        <w:br w:type="textWrapping"/>
      </w:r>
      <w:r>
        <w:t>│   │</w:t>
      </w:r>
      <w:r>
        <w:br w:type="textWrapping"/>
      </w:r>
      <w:r>
        <w:t>│   └─ utils/</w:t>
      </w:r>
      <w:r>
        <w:br w:type="textWrapping"/>
      </w:r>
      <w:r>
        <w:t>│        └─ paths.py                     ← gestion centralisée des chemins (inputs, staging, outputs)</w:t>
      </w:r>
      <w:r>
        <w:br w:type="textWrapping"/>
      </w:r>
      <w:r>
        <w:t>│</w:t>
      </w:r>
      <w:r>
        <w:br w:type="textWrapping"/>
      </w:r>
      <w:r>
        <w:t>└─ requirements.txt                      ← dépendances Python (pandas, geopandas, yaml, etc.)</w:t>
      </w:r>
      <w:r>
        <w:br w:type="textWrapping"/>
      </w:r>
      <w:r>
        <w:t>```</w:t>
      </w:r>
      <w:r>
        <w:br w:type="textWrapping"/>
      </w:r>
    </w:p>
    <w:p w14:paraId="796573A3">
      <w:pPr>
        <w:rPr>
          <w:b/>
          <w:bCs/>
        </w:rPr>
      </w:pPr>
      <w:r>
        <w:rPr>
          <w:b/>
          <w:bCs/>
        </w:rPr>
        <w:t>Résumé exécutif du pipeline :</w:t>
      </w:r>
    </w:p>
    <w:tbl>
      <w:tblPr>
        <w:tblStyle w:val="37"/>
        <w:tblW w:w="0" w:type="auto"/>
        <w:tblInd w:w="0" w:type="dxa"/>
        <w:tblLayout w:type="autofit"/>
        <w:tblCellMar>
          <w:top w:w="0" w:type="dxa"/>
          <w:left w:w="108" w:type="dxa"/>
          <w:bottom w:w="0" w:type="dxa"/>
          <w:right w:w="108" w:type="dxa"/>
        </w:tblCellMar>
      </w:tblPr>
      <w:tblGrid>
        <w:gridCol w:w="1554"/>
        <w:gridCol w:w="2177"/>
        <w:gridCol w:w="1536"/>
        <w:gridCol w:w="1404"/>
        <w:gridCol w:w="2185"/>
      </w:tblGrid>
      <w:tr w14:paraId="7EDF9802">
        <w:tblPrEx>
          <w:tblCellMar>
            <w:top w:w="0" w:type="dxa"/>
            <w:left w:w="108" w:type="dxa"/>
            <w:bottom w:w="0" w:type="dxa"/>
            <w:right w:w="108" w:type="dxa"/>
          </w:tblCellMar>
        </w:tblPrEx>
        <w:tc>
          <w:tcPr>
            <w:tcW w:w="1728" w:type="dxa"/>
          </w:tcPr>
          <w:p w14:paraId="21DD23B5">
            <w:r>
              <w:t>Niveau</w:t>
            </w:r>
          </w:p>
        </w:tc>
        <w:tc>
          <w:tcPr>
            <w:tcW w:w="1728" w:type="dxa"/>
          </w:tcPr>
          <w:p w14:paraId="64764D33">
            <w:r>
              <w:t>Module principal</w:t>
            </w:r>
          </w:p>
        </w:tc>
        <w:tc>
          <w:tcPr>
            <w:tcW w:w="1728" w:type="dxa"/>
          </w:tcPr>
          <w:p w14:paraId="39136673">
            <w:r>
              <w:t>Rôle clé</w:t>
            </w:r>
          </w:p>
        </w:tc>
        <w:tc>
          <w:tcPr>
            <w:tcW w:w="1728" w:type="dxa"/>
          </w:tcPr>
          <w:p w14:paraId="525495AD">
            <w:r>
              <w:t>Entrée</w:t>
            </w:r>
          </w:p>
        </w:tc>
        <w:tc>
          <w:tcPr>
            <w:tcW w:w="1728" w:type="dxa"/>
          </w:tcPr>
          <w:p w14:paraId="08159F10">
            <w:r>
              <w:t>Sortie</w:t>
            </w:r>
          </w:p>
        </w:tc>
      </w:tr>
      <w:tr w14:paraId="1FF418B3">
        <w:tblPrEx>
          <w:tblCellMar>
            <w:top w:w="0" w:type="dxa"/>
            <w:left w:w="108" w:type="dxa"/>
            <w:bottom w:w="0" w:type="dxa"/>
            <w:right w:w="108" w:type="dxa"/>
          </w:tblCellMar>
        </w:tblPrEx>
        <w:tc>
          <w:tcPr>
            <w:tcW w:w="1728" w:type="dxa"/>
          </w:tcPr>
          <w:p w14:paraId="7AF2833C">
            <w:r>
              <w:t>Ingestion</w:t>
            </w:r>
          </w:p>
        </w:tc>
        <w:tc>
          <w:tcPr>
            <w:tcW w:w="1728" w:type="dxa"/>
          </w:tcPr>
          <w:p w14:paraId="69485DC6">
            <w:r>
              <w:t>readers.py, cleaner.py</w:t>
            </w:r>
          </w:p>
        </w:tc>
        <w:tc>
          <w:tcPr>
            <w:tcW w:w="1728" w:type="dxa"/>
          </w:tcPr>
          <w:p w14:paraId="57904F92">
            <w:r>
              <w:t>Lecture et fusion des sources</w:t>
            </w:r>
          </w:p>
        </w:tc>
        <w:tc>
          <w:tcPr>
            <w:tcW w:w="1728" w:type="dxa"/>
          </w:tcPr>
          <w:p w14:paraId="680FBFB9">
            <w:r>
              <w:t>CSV/XLSX</w:t>
            </w:r>
          </w:p>
        </w:tc>
        <w:tc>
          <w:tcPr>
            <w:tcW w:w="1728" w:type="dxa"/>
          </w:tcPr>
          <w:p w14:paraId="06ECD88A">
            <w:r>
              <w:t>DataFrame consolidée</w:t>
            </w:r>
          </w:p>
        </w:tc>
      </w:tr>
      <w:tr w14:paraId="329CF64E">
        <w:tblPrEx>
          <w:tblCellMar>
            <w:top w:w="0" w:type="dxa"/>
            <w:left w:w="108" w:type="dxa"/>
            <w:bottom w:w="0" w:type="dxa"/>
            <w:right w:w="108" w:type="dxa"/>
          </w:tblCellMar>
        </w:tblPrEx>
        <w:tc>
          <w:tcPr>
            <w:tcW w:w="1728" w:type="dxa"/>
          </w:tcPr>
          <w:p w14:paraId="4B22B89F">
            <w:r>
              <w:t>Préparation</w:t>
            </w:r>
          </w:p>
        </w:tc>
        <w:tc>
          <w:tcPr>
            <w:tcW w:w="1728" w:type="dxa"/>
          </w:tcPr>
          <w:p w14:paraId="6BCA31FD">
            <w:r>
              <w:t>enrichments.py, buildings_priority.py</w:t>
            </w:r>
          </w:p>
        </w:tc>
        <w:tc>
          <w:tcPr>
            <w:tcW w:w="1728" w:type="dxa"/>
          </w:tcPr>
          <w:p w14:paraId="7B37C7AD">
            <w:r>
              <w:t>Coûts, durées, priorités</w:t>
            </w:r>
          </w:p>
        </w:tc>
        <w:tc>
          <w:tcPr>
            <w:tcW w:w="1728" w:type="dxa"/>
          </w:tcPr>
          <w:p w14:paraId="117010FE">
            <w:r>
              <w:t>Données jointes</w:t>
            </w:r>
          </w:p>
        </w:tc>
        <w:tc>
          <w:tcPr>
            <w:tcW w:w="1728" w:type="dxa"/>
          </w:tcPr>
          <w:p w14:paraId="4F00D456">
            <w:r>
              <w:t>Données enrichies</w:t>
            </w:r>
          </w:p>
        </w:tc>
      </w:tr>
      <w:tr w14:paraId="34FFCDD3">
        <w:tblPrEx>
          <w:tblCellMar>
            <w:top w:w="0" w:type="dxa"/>
            <w:left w:w="108" w:type="dxa"/>
            <w:bottom w:w="0" w:type="dxa"/>
            <w:right w:w="108" w:type="dxa"/>
          </w:tblCellMar>
        </w:tblPrEx>
        <w:tc>
          <w:tcPr>
            <w:tcW w:w="1728" w:type="dxa"/>
          </w:tcPr>
          <w:p w14:paraId="3C1BCB8D">
            <w:r>
              <w:t>Analyse</w:t>
            </w:r>
          </w:p>
        </w:tc>
        <w:tc>
          <w:tcPr>
            <w:tcW w:w="1728" w:type="dxa"/>
          </w:tcPr>
          <w:p w14:paraId="43357C62">
            <w:r>
              <w:t>baselines.py, plan_greedy.py</w:t>
            </w:r>
          </w:p>
        </w:tc>
        <w:tc>
          <w:tcPr>
            <w:tcW w:w="1728" w:type="dxa"/>
          </w:tcPr>
          <w:p w14:paraId="329E31B7">
            <w:r>
              <w:t>KPI + planification optimisée</w:t>
            </w:r>
          </w:p>
        </w:tc>
        <w:tc>
          <w:tcPr>
            <w:tcW w:w="1728" w:type="dxa"/>
          </w:tcPr>
          <w:p w14:paraId="74991EB6">
            <w:r>
              <w:t>Données enrichies</w:t>
            </w:r>
          </w:p>
        </w:tc>
        <w:tc>
          <w:tcPr>
            <w:tcW w:w="1728" w:type="dxa"/>
          </w:tcPr>
          <w:p w14:paraId="064A6F59">
            <w:r>
              <w:t>Plan d’action</w:t>
            </w:r>
          </w:p>
        </w:tc>
      </w:tr>
      <w:tr w14:paraId="19EACC98">
        <w:tblPrEx>
          <w:tblCellMar>
            <w:top w:w="0" w:type="dxa"/>
            <w:left w:w="108" w:type="dxa"/>
            <w:bottom w:w="0" w:type="dxa"/>
            <w:right w:w="108" w:type="dxa"/>
          </w:tblCellMar>
        </w:tblPrEx>
        <w:tc>
          <w:tcPr>
            <w:tcW w:w="1728" w:type="dxa"/>
          </w:tcPr>
          <w:p w14:paraId="3CF94E77">
            <w:r>
              <w:t>Organisation</w:t>
            </w:r>
          </w:p>
        </w:tc>
        <w:tc>
          <w:tcPr>
            <w:tcW w:w="1728" w:type="dxa"/>
          </w:tcPr>
          <w:p w14:paraId="432E440A">
            <w:r>
              <w:t>work_organizer.py</w:t>
            </w:r>
          </w:p>
        </w:tc>
        <w:tc>
          <w:tcPr>
            <w:tcW w:w="1728" w:type="dxa"/>
          </w:tcPr>
          <w:p w14:paraId="64AF39C8">
            <w:r>
              <w:t>Phases et chantiers</w:t>
            </w:r>
          </w:p>
        </w:tc>
        <w:tc>
          <w:tcPr>
            <w:tcW w:w="1728" w:type="dxa"/>
          </w:tcPr>
          <w:p w14:paraId="0AF85FE8">
            <w:r>
              <w:t>Plan glouton</w:t>
            </w:r>
          </w:p>
        </w:tc>
        <w:tc>
          <w:tcPr>
            <w:tcW w:w="1728" w:type="dxa"/>
          </w:tcPr>
          <w:p w14:paraId="25E24958">
            <w:r>
              <w:t>work_orders.csv, phases_summary.csv</w:t>
            </w:r>
          </w:p>
        </w:tc>
      </w:tr>
      <w:tr w14:paraId="09165FB6">
        <w:tblPrEx>
          <w:tblCellMar>
            <w:top w:w="0" w:type="dxa"/>
            <w:left w:w="108" w:type="dxa"/>
            <w:bottom w:w="0" w:type="dxa"/>
            <w:right w:w="108" w:type="dxa"/>
          </w:tblCellMar>
        </w:tblPrEx>
        <w:tc>
          <w:tcPr>
            <w:tcW w:w="1728" w:type="dxa"/>
          </w:tcPr>
          <w:p w14:paraId="526B1E7E">
            <w:r>
              <w:t>Export</w:t>
            </w:r>
          </w:p>
        </w:tc>
        <w:tc>
          <w:tcPr>
            <w:tcW w:w="1728" w:type="dxa"/>
          </w:tcPr>
          <w:p w14:paraId="2B14FE90">
            <w:r>
              <w:t>writers.py</w:t>
            </w:r>
          </w:p>
        </w:tc>
        <w:tc>
          <w:tcPr>
            <w:tcW w:w="1728" w:type="dxa"/>
          </w:tcPr>
          <w:p w14:paraId="2ADB3342">
            <w:r>
              <w:t>Sauvegarde structurée</w:t>
            </w:r>
          </w:p>
        </w:tc>
        <w:tc>
          <w:tcPr>
            <w:tcW w:w="1728" w:type="dxa"/>
          </w:tcPr>
          <w:p w14:paraId="2B0B7684">
            <w:r>
              <w:t>Toutes</w:t>
            </w:r>
          </w:p>
        </w:tc>
        <w:tc>
          <w:tcPr>
            <w:tcW w:w="1728" w:type="dxa"/>
          </w:tcPr>
          <w:p w14:paraId="617DCA99">
            <w:r>
              <w:t>CSV/JSON dans outputs</w:t>
            </w:r>
          </w:p>
        </w:tc>
      </w:tr>
    </w:tbl>
    <w:p w14:paraId="5DEF8F1C">
      <w:r>
        <w:br w:type="textWrapping"/>
      </w:r>
      <w:r>
        <w:rPr>
          <w:rFonts w:hint="default"/>
          <w:lang w:val="fr-FR"/>
        </w:rPr>
        <w:drawing>
          <wp:inline distT="0" distB="0" distL="114300" distR="114300">
            <wp:extent cx="5632450" cy="6838950"/>
            <wp:effectExtent l="0" t="0" r="6350" b="3810"/>
            <wp:docPr id="1" name="Image 1" descr="WhatsApp Image 2025-10-31 à 11.43.31_441fd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WhatsApp Image 2025-10-31 à 11.43.31_441fd656"/>
                    <pic:cNvPicPr>
                      <a:picLocks noChangeAspect="1"/>
                    </pic:cNvPicPr>
                  </pic:nvPicPr>
                  <pic:blipFill>
                    <a:blip r:embed="rId6"/>
                    <a:stretch>
                      <a:fillRect/>
                    </a:stretch>
                  </pic:blipFill>
                  <pic:spPr>
                    <a:xfrm>
                      <a:off x="0" y="0"/>
                      <a:ext cx="5632450" cy="6838950"/>
                    </a:xfrm>
                    <a:prstGeom prst="rect">
                      <a:avLst/>
                    </a:prstGeom>
                  </pic:spPr>
                </pic:pic>
              </a:graphicData>
            </a:graphic>
          </wp:inline>
        </w:drawing>
      </w:r>
    </w:p>
    <w:p w14:paraId="70191E4B">
      <w:pPr>
        <w:pStyle w:val="2"/>
        <w:numPr>
          <w:numId w:val="0"/>
        </w:numPr>
        <w:ind w:leftChars="0"/>
      </w:pPr>
      <w:bookmarkStart w:id="3" w:name="_Toc26621"/>
    </w:p>
    <w:p w14:paraId="67205311">
      <w:pPr>
        <w:pStyle w:val="2"/>
        <w:numPr>
          <w:numId w:val="0"/>
        </w:numPr>
        <w:ind w:leftChars="0"/>
      </w:pPr>
      <w:r>
        <w:t>Plan de raccordement et ordre de priorité</w:t>
      </w:r>
      <w:bookmarkEnd w:id="3"/>
    </w:p>
    <w:p w14:paraId="775FB967">
      <w:pPr>
        <w:numPr>
          <w:ilvl w:val="0"/>
          <w:numId w:val="0"/>
        </w:numPr>
      </w:pPr>
    </w:p>
    <w:p w14:paraId="4F481BB5">
      <w:r>
        <w:t>Le plan comprend 80 étapes réparties en 5 phases : Phase 0 (Hôpital), Phase 1 (40 % du coût), Phases 2–4 (20 % chacune).</w:t>
      </w:r>
    </w:p>
    <w:p w14:paraId="6BC4BE8F">
      <w:pPr>
        <w:pStyle w:val="3"/>
      </w:pPr>
      <w:bookmarkStart w:id="4" w:name="_Toc2061"/>
      <w:r>
        <w:rPr>
          <w:rFonts w:hint="default"/>
          <w:lang w:val="fr-FR"/>
        </w:rPr>
        <w:t>A)</w:t>
      </w:r>
      <w:r>
        <w:t xml:space="preserve"> Segments à réparer (segments_a_reparer.csv)</w:t>
      </w:r>
      <w:bookmarkEnd w:id="4"/>
    </w:p>
    <w:p w14:paraId="4D23A20A">
      <w:r>
        <w:t>Fichier des tronçons marqués a_reparer = 1. Chaque ligne est un infra_id relié à un ou plusieurs bâtiments.</w:t>
      </w:r>
    </w:p>
    <w:p w14:paraId="75491B7B">
      <w:r>
        <w:t>Colonnes essentielles :</w:t>
      </w:r>
      <w:r>
        <w:br w:type="textWrapping"/>
      </w:r>
      <w:r>
        <w:t>- type_infra : aérien, semi-aérien, fourreau</w:t>
      </w:r>
      <w:r>
        <w:br w:type="textWrapping"/>
      </w:r>
      <w:r>
        <w:t>- longueur : distance du tronçon</w:t>
      </w:r>
      <w:r>
        <w:br w:type="textWrapping"/>
      </w:r>
      <w:r>
        <w:t>- cost_total, time_total_h : chiffrage et durée estimée</w:t>
      </w:r>
      <w:r>
        <w:br w:type="textWrapping"/>
      </w:r>
      <w:r>
        <w:t>- id_batiment : bâtiment(s) impacté(s)</w:t>
      </w:r>
    </w:p>
    <w:p w14:paraId="125BBB7D">
      <w:r>
        <w:t>Observations typiques : longueurs courtes (quelques dizaines de mètres) mais coûts unitaires élevés (zones sensibles).</w:t>
      </w:r>
    </w:p>
    <w:p w14:paraId="01ACC1B7">
      <w:pPr>
        <w:pStyle w:val="3"/>
      </w:pPr>
      <w:bookmarkStart w:id="5" w:name="_Toc11443"/>
      <w:r>
        <w:rPr>
          <w:rFonts w:hint="default"/>
          <w:lang w:val="fr-FR"/>
        </w:rPr>
        <w:t>B)</w:t>
      </w:r>
      <w:r>
        <w:t xml:space="preserve"> Segments intacts (segments_ok.csv)</w:t>
      </w:r>
      <w:bookmarkEnd w:id="5"/>
    </w:p>
    <w:p w14:paraId="158B0D88">
      <w:r>
        <w:t>Tronçons fonctionnels ne nécessitant pas d’intervention (~97 % du linéaire), socle stable sur lequel s’appuie le plan.</w:t>
      </w:r>
    </w:p>
    <w:p w14:paraId="2FA23DD4">
      <w:r>
        <w:t>Distinction segments_ok vs segments_a_reparer :</w:t>
      </w:r>
      <w:r>
        <w:br w:type="textWrapping"/>
      </w:r>
      <w:r>
        <w:t>- Valeur maintenue du patrimoine ≈ 141 M€</w:t>
      </w:r>
      <w:r>
        <w:br w:type="textWrapping"/>
      </w:r>
      <w:r>
        <w:t>- Valeur de remise à niveau ≈ 4 M€</w:t>
      </w:r>
    </w:p>
    <w:p w14:paraId="22271373">
      <w:pPr>
        <w:pStyle w:val="2"/>
        <w:numPr>
          <w:numId w:val="0"/>
        </w:numPr>
      </w:pPr>
      <w:bookmarkStart w:id="6" w:name="_Toc753"/>
      <w:r>
        <w:t>Analyse des coûts et bénéfices</w:t>
      </w:r>
      <w:bookmarkEnd w:id="6"/>
    </w:p>
    <w:p w14:paraId="396A95F3">
      <w:pPr>
        <w:numPr>
          <w:numId w:val="0"/>
        </w:numPr>
      </w:pPr>
    </w:p>
    <w:p w14:paraId="6ED62F34">
      <w:r>
        <w:t>Coûts moyens :</w:t>
      </w:r>
      <w:r>
        <w:br w:type="textWrapping"/>
      </w:r>
      <w:r>
        <w:t>- Coût moyen par bâtiment : 15 441 €</w:t>
      </w:r>
      <w:r>
        <w:br w:type="textWrapping"/>
      </w:r>
      <w:r>
        <w:t>- Temps moyen par bâtiment : 74 h</w:t>
      </w:r>
      <w:r>
        <w:br w:type="textWrapping"/>
      </w:r>
      <w:r>
        <w:t>- Coût moyen par prise : 3 760 €</w:t>
      </w:r>
      <w:r>
        <w:br w:type="textWrapping"/>
      </w:r>
      <w:r>
        <w:t>- Temps moyen par prise : 18 h</w:t>
      </w:r>
    </w:p>
    <w:p w14:paraId="138C45D3">
      <w:r>
        <w:t>Répartition des ressources : coût de main-d’œuvre ≈ 37,5 €/h (~18 % du total). La priorisation réduit le coût marginal moyen par prise d’environ 40 % par rapport à un tri aléatoire. Progression du coût cumulé linéaire et stable.</w:t>
      </w:r>
    </w:p>
    <w:p w14:paraId="4A0C7A1C">
      <w:r>
        <w:t>Baselines (bat_agg_baseline.csv, infra_agg_baseline.csv) : états de référence avant planification pour justifier les critères de priorisation et documenter l’évolution des KPI après simulation.</w:t>
      </w:r>
    </w:p>
    <w:p w14:paraId="14ECD713">
      <w:pPr>
        <w:pStyle w:val="2"/>
      </w:pPr>
      <w:bookmarkStart w:id="7" w:name="_Toc31636"/>
      <w:r>
        <w:t>Organisation des travaux (work_orders.csv)</w:t>
      </w:r>
      <w:bookmarkEnd w:id="7"/>
    </w:p>
    <w:p w14:paraId="3C6FC4D5"/>
    <w:p w14:paraId="433D82E4">
      <w:r>
        <w:t>Fichier opérationnel clé : traduction du plan glouton en ordres de travaux.</w:t>
      </w:r>
    </w:p>
    <w:p w14:paraId="1329C114">
      <w:r>
        <w:t>Colonnes principales :</w:t>
      </w:r>
      <w:r>
        <w:br w:type="textWrapping"/>
      </w:r>
      <w:r>
        <w:t>- phase : 0 à 4 (0 = hôpital, 1 = 40 %, 2–4 = 20 %)</w:t>
      </w:r>
      <w:r>
        <w:br w:type="textWrapping"/>
      </w:r>
      <w:r>
        <w:t>- infra_id, id_batiment, type_infra, longueur</w:t>
      </w:r>
      <w:r>
        <w:br w:type="textWrapping"/>
      </w:r>
      <w:r>
        <w:t>- workers (≤ 4), time_h_effective (après parallélisation)</w:t>
      </w:r>
      <w:r>
        <w:br w:type="textWrapping"/>
      </w:r>
      <w:r>
        <w:t>- labor_cost, material_cost, total_cost</w:t>
      </w:r>
    </w:p>
    <w:p w14:paraId="00A4F79B">
      <w:r>
        <w:t>Interprétation :</w:t>
      </w:r>
      <w:r>
        <w:br w:type="textWrapping"/>
      </w:r>
      <w:r>
        <w:t>- Phase 0 : hôpital → réparations critiques prioritaires</w:t>
      </w:r>
      <w:r>
        <w:br w:type="textWrapping"/>
      </w:r>
      <w:r>
        <w:t>- Phase 1 : 40 % du budget sur chantiers à fort impact</w:t>
      </w:r>
      <w:r>
        <w:br w:type="textWrapping"/>
      </w:r>
      <w:r>
        <w:t>- Phases 2–4 : distribution équitable par tranches de 20 %</w:t>
      </w:r>
      <w:r>
        <w:br w:type="textWrapping"/>
      </w:r>
      <w:r>
        <w:t>→ Couverture rapide des bâtiments stratégiques, lissage budgétaire, sécurisation des zones sensibles.</w:t>
      </w:r>
    </w:p>
    <w:p w14:paraId="0AB7B65E">
      <w:pPr>
        <w:pStyle w:val="3"/>
        <w:numPr>
          <w:numId w:val="0"/>
        </w:numPr>
      </w:pPr>
      <w:bookmarkStart w:id="11" w:name="_GoBack"/>
      <w:bookmarkEnd w:id="11"/>
      <w:bookmarkStart w:id="8" w:name="_Toc1990"/>
      <w:r>
        <w:t>Résumé des phases (phases_summary.csv)</w:t>
      </w:r>
      <w:bookmarkEnd w:id="8"/>
    </w:p>
    <w:p w14:paraId="61365437"/>
    <w:p w14:paraId="48FA705D">
      <w:r>
        <w:t>Consolidation du coût total, du temps et du nombre de tâches par phase (valeurs typiques) :</w:t>
      </w:r>
    </w:p>
    <w:tbl>
      <w:tblPr>
        <w:tblStyle w:val="37"/>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58626E94">
        <w:tblPrEx>
          <w:tblCellMar>
            <w:top w:w="0" w:type="dxa"/>
            <w:left w:w="108" w:type="dxa"/>
            <w:bottom w:w="0" w:type="dxa"/>
            <w:right w:w="108" w:type="dxa"/>
          </w:tblCellMar>
        </w:tblPrEx>
        <w:tc>
          <w:tcPr>
            <w:tcW w:w="1728" w:type="dxa"/>
          </w:tcPr>
          <w:p w14:paraId="30E4C0A2">
            <w:r>
              <w:t>Phase</w:t>
            </w:r>
          </w:p>
        </w:tc>
        <w:tc>
          <w:tcPr>
            <w:tcW w:w="1728" w:type="dxa"/>
          </w:tcPr>
          <w:p w14:paraId="16CF00DE">
            <w:r>
              <w:t>Part budgétaire</w:t>
            </w:r>
          </w:p>
        </w:tc>
        <w:tc>
          <w:tcPr>
            <w:tcW w:w="1728" w:type="dxa"/>
          </w:tcPr>
          <w:p w14:paraId="10E0C9FE">
            <w:r>
              <w:t>Coût (€)</w:t>
            </w:r>
          </w:p>
        </w:tc>
        <w:tc>
          <w:tcPr>
            <w:tcW w:w="1728" w:type="dxa"/>
          </w:tcPr>
          <w:p w14:paraId="2F5DF07B">
            <w:r>
              <w:t>Temps (h)</w:t>
            </w:r>
          </w:p>
        </w:tc>
        <w:tc>
          <w:tcPr>
            <w:tcW w:w="1728" w:type="dxa"/>
          </w:tcPr>
          <w:p w14:paraId="120E0479">
            <w:r>
              <w:t>Nb tâches</w:t>
            </w:r>
          </w:p>
        </w:tc>
      </w:tr>
      <w:tr w14:paraId="5FF31F0F">
        <w:tblPrEx>
          <w:tblCellMar>
            <w:top w:w="0" w:type="dxa"/>
            <w:left w:w="108" w:type="dxa"/>
            <w:bottom w:w="0" w:type="dxa"/>
            <w:right w:w="108" w:type="dxa"/>
          </w:tblCellMar>
        </w:tblPrEx>
        <w:tc>
          <w:tcPr>
            <w:tcW w:w="1728" w:type="dxa"/>
          </w:tcPr>
          <w:p w14:paraId="3878C058">
            <w:r>
              <w:t>0</w:t>
            </w:r>
          </w:p>
        </w:tc>
        <w:tc>
          <w:tcPr>
            <w:tcW w:w="1728" w:type="dxa"/>
          </w:tcPr>
          <w:p w14:paraId="7163D189">
            <w:r>
              <w:t>0 %</w:t>
            </w:r>
          </w:p>
        </w:tc>
        <w:tc>
          <w:tcPr>
            <w:tcW w:w="1728" w:type="dxa"/>
          </w:tcPr>
          <w:p w14:paraId="507C1920">
            <w:r>
              <w:t>~10 000</w:t>
            </w:r>
          </w:p>
        </w:tc>
        <w:tc>
          <w:tcPr>
            <w:tcW w:w="1728" w:type="dxa"/>
          </w:tcPr>
          <w:p w14:paraId="014272BF">
            <w:r>
              <w:t>100</w:t>
            </w:r>
          </w:p>
        </w:tc>
        <w:tc>
          <w:tcPr>
            <w:tcW w:w="1728" w:type="dxa"/>
          </w:tcPr>
          <w:p w14:paraId="0FA12204">
            <w:r>
              <w:t>1</w:t>
            </w:r>
          </w:p>
        </w:tc>
      </w:tr>
      <w:tr w14:paraId="69250DC9">
        <w:tblPrEx>
          <w:tblCellMar>
            <w:top w:w="0" w:type="dxa"/>
            <w:left w:w="108" w:type="dxa"/>
            <w:bottom w:w="0" w:type="dxa"/>
            <w:right w:w="108" w:type="dxa"/>
          </w:tblCellMar>
        </w:tblPrEx>
        <w:tc>
          <w:tcPr>
            <w:tcW w:w="1728" w:type="dxa"/>
          </w:tcPr>
          <w:p w14:paraId="43A7C67C">
            <w:r>
              <w:t>1</w:t>
            </w:r>
          </w:p>
        </w:tc>
        <w:tc>
          <w:tcPr>
            <w:tcW w:w="1728" w:type="dxa"/>
          </w:tcPr>
          <w:p w14:paraId="7CA8EDBE">
            <w:r>
              <w:t>40 %</w:t>
            </w:r>
          </w:p>
        </w:tc>
        <w:tc>
          <w:tcPr>
            <w:tcW w:w="1728" w:type="dxa"/>
          </w:tcPr>
          <w:p w14:paraId="684290EE">
            <w:r>
              <w:t>~1,6 M</w:t>
            </w:r>
          </w:p>
        </w:tc>
        <w:tc>
          <w:tcPr>
            <w:tcW w:w="1728" w:type="dxa"/>
          </w:tcPr>
          <w:p w14:paraId="3025ABF0">
            <w:r>
              <w:t>40 000</w:t>
            </w:r>
          </w:p>
        </w:tc>
        <w:tc>
          <w:tcPr>
            <w:tcW w:w="1728" w:type="dxa"/>
          </w:tcPr>
          <w:p w14:paraId="626C1840">
            <w:r>
              <w:t>120</w:t>
            </w:r>
          </w:p>
        </w:tc>
      </w:tr>
      <w:tr w14:paraId="368101F2">
        <w:tblPrEx>
          <w:tblCellMar>
            <w:top w:w="0" w:type="dxa"/>
            <w:left w:w="108" w:type="dxa"/>
            <w:bottom w:w="0" w:type="dxa"/>
            <w:right w:w="108" w:type="dxa"/>
          </w:tblCellMar>
        </w:tblPrEx>
        <w:tc>
          <w:tcPr>
            <w:tcW w:w="1728" w:type="dxa"/>
          </w:tcPr>
          <w:p w14:paraId="68A7AB3B">
            <w:r>
              <w:t>2</w:t>
            </w:r>
          </w:p>
        </w:tc>
        <w:tc>
          <w:tcPr>
            <w:tcW w:w="1728" w:type="dxa"/>
          </w:tcPr>
          <w:p w14:paraId="1FAFE002">
            <w:r>
              <w:t>20 %</w:t>
            </w:r>
          </w:p>
        </w:tc>
        <w:tc>
          <w:tcPr>
            <w:tcW w:w="1728" w:type="dxa"/>
          </w:tcPr>
          <w:p w14:paraId="7023C879">
            <w:r>
              <w:t>~0,8 M</w:t>
            </w:r>
          </w:p>
        </w:tc>
        <w:tc>
          <w:tcPr>
            <w:tcW w:w="1728" w:type="dxa"/>
          </w:tcPr>
          <w:p w14:paraId="49B8539E">
            <w:r>
              <w:t>20 000</w:t>
            </w:r>
          </w:p>
        </w:tc>
        <w:tc>
          <w:tcPr>
            <w:tcW w:w="1728" w:type="dxa"/>
          </w:tcPr>
          <w:p w14:paraId="0C3113A3">
            <w:r>
              <w:t>100</w:t>
            </w:r>
          </w:p>
        </w:tc>
      </w:tr>
      <w:tr w14:paraId="6C93C46E">
        <w:tblPrEx>
          <w:tblCellMar>
            <w:top w:w="0" w:type="dxa"/>
            <w:left w:w="108" w:type="dxa"/>
            <w:bottom w:w="0" w:type="dxa"/>
            <w:right w:w="108" w:type="dxa"/>
          </w:tblCellMar>
        </w:tblPrEx>
        <w:tc>
          <w:tcPr>
            <w:tcW w:w="1728" w:type="dxa"/>
          </w:tcPr>
          <w:p w14:paraId="0191297F">
            <w:r>
              <w:t>3</w:t>
            </w:r>
          </w:p>
        </w:tc>
        <w:tc>
          <w:tcPr>
            <w:tcW w:w="1728" w:type="dxa"/>
          </w:tcPr>
          <w:p w14:paraId="24F8FDEA">
            <w:r>
              <w:t>20 %</w:t>
            </w:r>
          </w:p>
        </w:tc>
        <w:tc>
          <w:tcPr>
            <w:tcW w:w="1728" w:type="dxa"/>
          </w:tcPr>
          <w:p w14:paraId="1019C95D">
            <w:r>
              <w:t>~0,8 M</w:t>
            </w:r>
          </w:p>
        </w:tc>
        <w:tc>
          <w:tcPr>
            <w:tcW w:w="1728" w:type="dxa"/>
          </w:tcPr>
          <w:p w14:paraId="382E8112">
            <w:r>
              <w:t>20 000</w:t>
            </w:r>
          </w:p>
        </w:tc>
        <w:tc>
          <w:tcPr>
            <w:tcW w:w="1728" w:type="dxa"/>
          </w:tcPr>
          <w:p w14:paraId="0BC300A5">
            <w:r>
              <w:t>90</w:t>
            </w:r>
          </w:p>
        </w:tc>
      </w:tr>
      <w:tr w14:paraId="022B7FE5">
        <w:tblPrEx>
          <w:tblCellMar>
            <w:top w:w="0" w:type="dxa"/>
            <w:left w:w="108" w:type="dxa"/>
            <w:bottom w:w="0" w:type="dxa"/>
            <w:right w:w="108" w:type="dxa"/>
          </w:tblCellMar>
        </w:tblPrEx>
        <w:tc>
          <w:tcPr>
            <w:tcW w:w="1728" w:type="dxa"/>
          </w:tcPr>
          <w:p w14:paraId="32DAA8DB">
            <w:r>
              <w:t>4</w:t>
            </w:r>
          </w:p>
        </w:tc>
        <w:tc>
          <w:tcPr>
            <w:tcW w:w="1728" w:type="dxa"/>
          </w:tcPr>
          <w:p w14:paraId="2CD1913D">
            <w:r>
              <w:t>20 %</w:t>
            </w:r>
          </w:p>
        </w:tc>
        <w:tc>
          <w:tcPr>
            <w:tcW w:w="1728" w:type="dxa"/>
          </w:tcPr>
          <w:p w14:paraId="45C12817">
            <w:r>
              <w:t>~0,8 M</w:t>
            </w:r>
          </w:p>
        </w:tc>
        <w:tc>
          <w:tcPr>
            <w:tcW w:w="1728" w:type="dxa"/>
          </w:tcPr>
          <w:p w14:paraId="301A437D">
            <w:r>
              <w:t>20 000</w:t>
            </w:r>
          </w:p>
        </w:tc>
        <w:tc>
          <w:tcPr>
            <w:tcW w:w="1728" w:type="dxa"/>
          </w:tcPr>
          <w:p w14:paraId="2B46E43E">
            <w:r>
              <w:t>85</w:t>
            </w:r>
          </w:p>
        </w:tc>
      </w:tr>
    </w:tbl>
    <w:p w14:paraId="1DE7DF18"/>
    <w:p w14:paraId="5FCBF187">
      <w:r>
        <w:t>Lecture : la Phase 1 absorbe le plus de valeur pour maximiser rapidement le nombre de bâtiments raccordés ; les phases suivantes stabilisent le chantier jusqu’à couverture complète.</w:t>
      </w:r>
    </w:p>
    <w:p w14:paraId="4E9D49F3">
      <w:pPr>
        <w:pStyle w:val="2"/>
      </w:pPr>
      <w:bookmarkStart w:id="9" w:name="_Toc2128"/>
      <w:r>
        <w:t>Focus hôpital</w:t>
      </w:r>
      <w:bookmarkEnd w:id="9"/>
    </w:p>
    <w:p w14:paraId="252994F0">
      <w:r>
        <w:t>Log du pipeline : HÔPITAL — temps estimé ~12–15 h ≤ objectif 16 h. Avec 4 ouvriers, aucune rupture d’alimentation pendant les 20 h d’autonomie. Valide la robustesse du plan de priorisation et des barèmes YAML.</w:t>
      </w:r>
    </w:p>
    <w:p w14:paraId="41CB9D4E">
      <w:pPr>
        <w:pStyle w:val="2"/>
        <w:numPr>
          <w:numId w:val="0"/>
        </w:numPr>
      </w:pPr>
      <w:bookmarkStart w:id="10" w:name="_Toc10418"/>
    </w:p>
    <w:p w14:paraId="2FC76078">
      <w:pPr>
        <w:pStyle w:val="2"/>
        <w:numPr>
          <w:numId w:val="0"/>
        </w:numPr>
      </w:pPr>
      <w:r>
        <w:t>Conclusion</w:t>
      </w:r>
      <w:bookmarkEnd w:id="10"/>
    </w:p>
    <w:p w14:paraId="21596349"/>
    <w:p w14:paraId="32FC036A">
      <w:r>
        <w:t>Le modèle agit comme un simulateur de planification optimisée :</w:t>
      </w:r>
      <w:r>
        <w:br w:type="textWrapping"/>
      </w:r>
      <w:r>
        <w:t>- Nettoie, enrichit et priorise les données réseau/bâtiment</w:t>
      </w:r>
      <w:r>
        <w:br w:type="textWrapping"/>
      </w:r>
      <w:r>
        <w:t>- Produit un plan glouton rationnel (priorité coût/mutualisation)</w:t>
      </w:r>
      <w:r>
        <w:br w:type="textWrapping"/>
      </w:r>
      <w:r>
        <w:t>- Orchestre le chantier en 4 phases équilibrées</w:t>
      </w:r>
      <w:r>
        <w:br w:type="textWrapping"/>
      </w:r>
      <w:r>
        <w:t>- Vérifie la faisabilité temporelle et financière (ex. hôpital)</w:t>
      </w:r>
      <w:r>
        <w:br w:type="textWrapping"/>
      </w:r>
      <w:r>
        <w:t>- Documente l’ensemble dans des fichiers analytiques exploitables (baselines, KPI, work_orders)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1"/>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4"/>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F40B3F"/>
    <w:rsid w:val="4C3D77C0"/>
    <w:rsid w:val="4D5949AA"/>
    <w:rsid w:val="5B4B1C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9"/>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7"/>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8"/>
    <w:unhideWhenUsed/>
    <w:qFormat/>
    <w:uiPriority w:val="99"/>
    <w:pPr>
      <w:spacing w:after="120" w:line="480" w:lineRule="auto"/>
    </w:pPr>
  </w:style>
  <w:style w:type="paragraph" w:styleId="24">
    <w:name w:val="footer"/>
    <w:basedOn w:val="1"/>
    <w:link w:val="39"/>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8"/>
    <w:unhideWhenUsed/>
    <w:qFormat/>
    <w:uiPriority w:val="99"/>
    <w:pPr>
      <w:tabs>
        <w:tab w:val="center" w:pos="4680"/>
        <w:tab w:val="right" w:pos="9360"/>
      </w:tabs>
      <w:spacing w:after="0" w:line="240" w:lineRule="auto"/>
    </w:pPr>
  </w:style>
  <w:style w:type="paragraph" w:styleId="27">
    <w:name w:val="macro"/>
    <w:link w:val="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toc 2"/>
    <w:basedOn w:val="1"/>
    <w:next w:val="1"/>
    <w:semiHidden/>
    <w:unhideWhenUsed/>
    <w:uiPriority w:val="39"/>
    <w:pPr>
      <w:ind w:left="420" w:leftChars="200"/>
    </w:pPr>
  </w:style>
  <w:style w:type="paragraph" w:styleId="31">
    <w:name w:val="List Bullet 3"/>
    <w:basedOn w:val="1"/>
    <w:unhideWhenUsed/>
    <w:qFormat/>
    <w:uiPriority w:val="99"/>
    <w:pPr>
      <w:numPr>
        <w:ilvl w:val="0"/>
        <w:numId w:val="5"/>
      </w:numPr>
      <w:contextualSpacing/>
    </w:pPr>
  </w:style>
  <w:style w:type="paragraph" w:styleId="32">
    <w:name w:val="List 2"/>
    <w:basedOn w:val="1"/>
    <w:unhideWhenUsed/>
    <w:qFormat/>
    <w:uiPriority w:val="99"/>
    <w:pPr>
      <w:ind w:left="720" w:hanging="360"/>
      <w:contextualSpacing/>
    </w:pPr>
  </w:style>
  <w:style w:type="paragraph" w:styleId="33">
    <w:name w:val="List Continue"/>
    <w:basedOn w:val="1"/>
    <w:unhideWhenUsed/>
    <w:qFormat/>
    <w:uiPriority w:val="99"/>
    <w:pPr>
      <w:spacing w:after="120"/>
      <w:ind w:left="360"/>
      <w:contextualSpacing/>
    </w:pPr>
  </w:style>
  <w:style w:type="paragraph" w:styleId="34">
    <w:name w:val="List Bullet"/>
    <w:basedOn w:val="1"/>
    <w:unhideWhenUsed/>
    <w:qFormat/>
    <w:uiPriority w:val="99"/>
    <w:pPr>
      <w:numPr>
        <w:ilvl w:val="0"/>
        <w:numId w:val="6"/>
      </w:numPr>
      <w:contextualSpacing/>
    </w:pPr>
  </w:style>
  <w:style w:type="paragraph" w:styleId="35">
    <w:name w:val="Title"/>
    <w:basedOn w:val="1"/>
    <w:next w:val="1"/>
    <w:link w:val="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36">
    <w:name w:val="toc 1"/>
    <w:basedOn w:val="1"/>
    <w:next w:val="1"/>
    <w:semiHidden/>
    <w:unhideWhenUsed/>
    <w:uiPriority w:val="39"/>
  </w:style>
  <w:style w:type="character" w:customStyle="1" w:styleId="38">
    <w:name w:val="Header Char"/>
    <w:basedOn w:val="11"/>
    <w:link w:val="26"/>
    <w:qFormat/>
    <w:uiPriority w:val="99"/>
  </w:style>
  <w:style w:type="character" w:customStyle="1" w:styleId="39">
    <w:name w:val="Footer Char"/>
    <w:basedOn w:val="11"/>
    <w:link w:val="24"/>
    <w:qFormat/>
    <w:uiPriority w:val="99"/>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4">
    <w:name w:val="Title Char"/>
    <w:basedOn w:val="11"/>
    <w:link w:val="3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5">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6">
    <w:name w:val="List Paragraph"/>
    <w:basedOn w:val="1"/>
    <w:qFormat/>
    <w:uiPriority w:val="34"/>
    <w:pPr>
      <w:ind w:left="720"/>
      <w:contextualSpacing/>
    </w:pPr>
  </w:style>
  <w:style w:type="character" w:customStyle="1" w:styleId="47">
    <w:name w:val="Body Text Char"/>
    <w:basedOn w:val="11"/>
    <w:link w:val="21"/>
    <w:qFormat/>
    <w:uiPriority w:val="99"/>
  </w:style>
  <w:style w:type="character" w:customStyle="1" w:styleId="48">
    <w:name w:val="Body Text 2 Char"/>
    <w:basedOn w:val="11"/>
    <w:link w:val="23"/>
    <w:qFormat/>
    <w:uiPriority w:val="99"/>
  </w:style>
  <w:style w:type="character" w:customStyle="1" w:styleId="49">
    <w:name w:val="Body Text 3 Char"/>
    <w:basedOn w:val="11"/>
    <w:link w:val="18"/>
    <w:qFormat/>
    <w:uiPriority w:val="99"/>
    <w:rPr>
      <w:sz w:val="16"/>
      <w:szCs w:val="16"/>
    </w:rPr>
  </w:style>
  <w:style w:type="character" w:customStyle="1" w:styleId="50">
    <w:name w:val="Macro Text Char"/>
    <w:basedOn w:val="11"/>
    <w:link w:val="27"/>
    <w:qFormat/>
    <w:uiPriority w:val="99"/>
    <w:rPr>
      <w:rFonts w:ascii="Courier" w:hAnsi="Courier"/>
      <w:sz w:val="20"/>
      <w:szCs w:val="20"/>
    </w:rPr>
  </w:style>
  <w:style w:type="paragraph" w:styleId="51">
    <w:name w:val="Quote"/>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11"/>
    <w:link w:val="51"/>
    <w:qFormat/>
    <w:uiPriority w:val="29"/>
    <w:rPr>
      <w:i/>
      <w:iCs/>
      <w:color w:val="000000" w:themeColor="text1"/>
      <w14:textFill>
        <w14:solidFill>
          <w14:schemeClr w14:val="tx1"/>
        </w14:solidFill>
      </w14:textFill>
    </w:rPr>
  </w:style>
  <w:style w:type="character" w:customStyle="1" w:styleId="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9">
    <w:name w:val="Intense Quote"/>
    <w:basedOn w:val="1"/>
    <w:next w:val="1"/>
    <w:link w:val="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0">
    <w:name w:val="Intense Quote Char"/>
    <w:basedOn w:val="11"/>
    <w:link w:val="59"/>
    <w:qFormat/>
    <w:uiPriority w:val="30"/>
    <w:rPr>
      <w:b/>
      <w:bCs/>
      <w:i/>
      <w:iCs/>
      <w:color w:val="4F81BD" w:themeColor="accent1"/>
      <w14:textFill>
        <w14:solidFill>
          <w14:schemeClr w14:val="accent1"/>
        </w14:solidFill>
      </w14:textFill>
    </w:rPr>
  </w:style>
  <w:style w:type="character" w:customStyle="1" w:styleId="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2">
    <w:name w:val="Intense Emphasis"/>
    <w:basedOn w:val="11"/>
    <w:qFormat/>
    <w:uiPriority w:val="21"/>
    <w:rPr>
      <w:b/>
      <w:bCs/>
      <w:i/>
      <w:iCs/>
      <w:color w:val="4F81BD" w:themeColor="accent1"/>
      <w14:textFill>
        <w14:solidFill>
          <w14:schemeClr w14:val="accent1"/>
        </w14:solidFill>
      </w14:textFill>
    </w:rPr>
  </w:style>
  <w:style w:type="character" w:customStyle="1" w:styleId="63">
    <w:name w:val="Subtle Reference"/>
    <w:basedOn w:val="11"/>
    <w:qFormat/>
    <w:uiPriority w:val="31"/>
    <w:rPr>
      <w:smallCaps/>
      <w:color w:val="C0504D" w:themeColor="accent2"/>
      <w:u w:val="single"/>
      <w14:textFill>
        <w14:solidFill>
          <w14:schemeClr w14:val="accent2"/>
        </w14:solidFill>
      </w14:textFill>
    </w:rPr>
  </w:style>
  <w:style w:type="character" w:customStyle="1" w:styleId="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5">
    <w:name w:val="Book Title"/>
    <w:basedOn w:val="11"/>
    <w:qFormat/>
    <w:uiPriority w:val="33"/>
    <w:rPr>
      <w:b/>
      <w:bCs/>
      <w:smallCaps/>
      <w:spacing w:val="5"/>
    </w:rPr>
  </w:style>
  <w:style w:type="paragraph" w:customStyle="1" w:styleId="66">
    <w:name w:val="TOC Heading"/>
    <w:basedOn w:val="2"/>
    <w:next w:val="1"/>
    <w:semiHidden/>
    <w:unhideWhenUsed/>
    <w:qFormat/>
    <w:uiPriority w:val="39"/>
    <w:pPr>
      <w:outlineLvl w:val="9"/>
    </w:pPr>
  </w:style>
  <w:style w:type="table" w:styleId="67">
    <w:name w:val="Table Grid"/>
    <w:basedOn w:val="3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8">
    <w:name w:val="Light Shading"/>
    <w:basedOn w:val="37"/>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37"/>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37"/>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37"/>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37"/>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37"/>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37"/>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37"/>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37"/>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37"/>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37"/>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37"/>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37"/>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37"/>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37"/>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37"/>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37"/>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37"/>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37"/>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37"/>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37"/>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37"/>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37"/>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37"/>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37"/>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37"/>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37"/>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37"/>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37"/>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37"/>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37"/>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37"/>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37"/>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37"/>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37"/>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37"/>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37"/>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37"/>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37"/>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37"/>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37"/>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37"/>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37"/>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37"/>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37"/>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37"/>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37"/>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37"/>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37"/>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37"/>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37"/>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37"/>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Amazigh Akilal</cp:lastModifiedBy>
  <dcterms:modified xsi:type="dcterms:W3CDTF">2025-10-31T11:18:49Z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1036-12.2.0.23131</vt:lpwstr>
  </property>
  <property fmtid="{D5CDD505-2E9C-101B-9397-08002B2CF9AE}" pid="3" name="ICV">
    <vt:lpwstr>346DE74FA65C44118A71EA5A07B5E2E8_12</vt:lpwstr>
  </property>
</Properties>
</file>